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28BF03">
      <w:pPr>
        <w:spacing w:line="360" w:lineRule="auto"/>
        <w:jc w:val="center"/>
        <w:rPr>
          <w:rFonts w:hint="eastAsia"/>
          <w:b/>
          <w:bCs/>
          <w:sz w:val="28"/>
          <w:szCs w:val="36"/>
          <w:lang w:val="en-US" w:eastAsia="zh-CN"/>
        </w:rPr>
      </w:pPr>
      <w:r>
        <w:rPr>
          <w:rFonts w:hint="eastAsia"/>
          <w:b/>
          <w:bCs/>
          <w:sz w:val="28"/>
          <w:szCs w:val="36"/>
          <w:lang w:val="en-US" w:eastAsia="zh-CN"/>
        </w:rPr>
        <w:t>投标文件制作注意事项（</w:t>
      </w:r>
      <w:r>
        <w:rPr>
          <w:rFonts w:hint="eastAsia"/>
          <w:b/>
          <w:bCs/>
          <w:color w:val="C00000"/>
          <w:sz w:val="40"/>
          <w:szCs w:val="48"/>
          <w:highlight w:val="yellow"/>
          <w:lang w:val="en-US" w:eastAsia="zh-CN"/>
        </w:rPr>
        <w:t>必看</w:t>
      </w:r>
      <w:r>
        <w:rPr>
          <w:rFonts w:hint="eastAsia"/>
          <w:b/>
          <w:bCs/>
          <w:sz w:val="28"/>
          <w:szCs w:val="36"/>
          <w:lang w:val="en-US" w:eastAsia="zh-CN"/>
        </w:rPr>
        <w:t>）</w:t>
      </w:r>
    </w:p>
    <w:p w14:paraId="2376588E">
      <w:pPr>
        <w:spacing w:line="360" w:lineRule="auto"/>
        <w:jc w:val="center"/>
        <w:rPr>
          <w:rFonts w:hint="eastAsia"/>
          <w:b/>
          <w:bCs/>
          <w:sz w:val="28"/>
          <w:szCs w:val="36"/>
          <w:lang w:val="en-US" w:eastAsia="zh-CN"/>
        </w:rPr>
      </w:pPr>
    </w:p>
    <w:p w14:paraId="7E0C34E1">
      <w:pPr>
        <w:numPr>
          <w:ilvl w:val="0"/>
          <w:numId w:val="1"/>
        </w:numPr>
        <w:spacing w:line="360" w:lineRule="auto"/>
        <w:jc w:val="left"/>
        <w:rPr>
          <w:rFonts w:hint="default"/>
          <w:b w:val="0"/>
          <w:bCs w:val="0"/>
          <w:sz w:val="28"/>
          <w:szCs w:val="28"/>
          <w:lang w:val="en-US" w:eastAsia="zh-CN"/>
        </w:rPr>
      </w:pPr>
      <w:r>
        <w:rPr>
          <w:rFonts w:hint="eastAsia"/>
          <w:b w:val="0"/>
          <w:bCs w:val="0"/>
          <w:sz w:val="24"/>
          <w:szCs w:val="24"/>
          <w:lang w:val="en-US" w:eastAsia="zh-CN"/>
        </w:rPr>
        <w:t>供应商投标文件资格条件按照招标文件中投标文件格式“</w:t>
      </w:r>
      <w:r>
        <w:rPr>
          <w:rFonts w:hint="eastAsia"/>
          <w:b/>
          <w:bCs/>
          <w:sz w:val="24"/>
          <w:szCs w:val="24"/>
          <w:lang w:val="en-US" w:eastAsia="zh-CN"/>
        </w:rPr>
        <w:t>第四章 资格审查</w:t>
      </w:r>
      <w:r>
        <w:rPr>
          <w:rFonts w:hint="eastAsia"/>
          <w:b w:val="0"/>
          <w:bCs w:val="0"/>
          <w:sz w:val="24"/>
          <w:szCs w:val="24"/>
          <w:lang w:val="en-US" w:eastAsia="zh-CN"/>
        </w:rPr>
        <w:t>”要求</w:t>
      </w:r>
      <w:r>
        <w:rPr>
          <w:rFonts w:hint="eastAsia"/>
          <w:b/>
          <w:bCs/>
          <w:sz w:val="28"/>
          <w:szCs w:val="28"/>
          <w:lang w:val="en-US" w:eastAsia="zh-CN"/>
        </w:rPr>
        <w:t>逐项</w:t>
      </w:r>
      <w:r>
        <w:rPr>
          <w:rFonts w:hint="eastAsia"/>
          <w:b w:val="0"/>
          <w:bCs w:val="0"/>
          <w:sz w:val="24"/>
          <w:szCs w:val="24"/>
          <w:lang w:val="en-US" w:eastAsia="zh-CN"/>
        </w:rPr>
        <w:t>响应，检查好</w:t>
      </w:r>
      <w:r>
        <w:rPr>
          <w:rFonts w:hint="eastAsia"/>
          <w:b/>
          <w:bCs/>
          <w:sz w:val="28"/>
          <w:szCs w:val="28"/>
          <w:lang w:val="en-US" w:eastAsia="zh-CN"/>
        </w:rPr>
        <w:t>不能漏放</w:t>
      </w:r>
      <w:r>
        <w:rPr>
          <w:rFonts w:hint="eastAsia"/>
          <w:b w:val="0"/>
          <w:bCs w:val="0"/>
          <w:sz w:val="24"/>
          <w:szCs w:val="24"/>
          <w:lang w:val="en-US" w:eastAsia="zh-CN"/>
        </w:rPr>
        <w:t>；</w:t>
      </w:r>
    </w:p>
    <w:p w14:paraId="23626E05">
      <w:pPr>
        <w:numPr>
          <w:ilvl w:val="0"/>
          <w:numId w:val="1"/>
        </w:numPr>
        <w:spacing w:line="360" w:lineRule="auto"/>
        <w:jc w:val="left"/>
        <w:rPr>
          <w:rFonts w:hint="default"/>
          <w:b w:val="0"/>
          <w:bCs w:val="0"/>
          <w:sz w:val="24"/>
          <w:szCs w:val="24"/>
          <w:lang w:val="en-US" w:eastAsia="zh-CN"/>
        </w:rPr>
      </w:pPr>
      <w:r>
        <w:rPr>
          <w:rFonts w:hint="default"/>
          <w:b w:val="0"/>
          <w:bCs w:val="0"/>
          <w:sz w:val="24"/>
          <w:szCs w:val="24"/>
          <w:lang w:val="en-US" w:eastAsia="zh-CN"/>
        </w:rPr>
        <w:t>财务资信状况良好</w:t>
      </w:r>
      <w:r>
        <w:rPr>
          <w:rFonts w:hint="eastAsia"/>
          <w:b w:val="0"/>
          <w:bCs w:val="0"/>
          <w:sz w:val="24"/>
          <w:szCs w:val="24"/>
          <w:lang w:val="en-US" w:eastAsia="zh-CN"/>
        </w:rPr>
        <w:t>要求提供“2023年度经审计的财务审计报告或开标截止日之前近半年内银行资信证明”，如提供审计报告，检查好为</w:t>
      </w:r>
      <w:r>
        <w:rPr>
          <w:rFonts w:hint="eastAsia"/>
          <w:b/>
          <w:bCs/>
          <w:sz w:val="24"/>
          <w:szCs w:val="24"/>
          <w:highlight w:val="none"/>
          <w:lang w:val="en-US" w:eastAsia="zh-CN"/>
        </w:rPr>
        <w:t>2023 年</w:t>
      </w:r>
      <w:r>
        <w:rPr>
          <w:rFonts w:hint="eastAsia"/>
          <w:b w:val="0"/>
          <w:bCs w:val="0"/>
          <w:sz w:val="24"/>
          <w:szCs w:val="24"/>
          <w:highlight w:val="none"/>
          <w:lang w:val="en-US" w:eastAsia="zh-CN"/>
        </w:rPr>
        <w:t>经</w:t>
      </w:r>
      <w:r>
        <w:rPr>
          <w:rFonts w:hint="eastAsia"/>
          <w:b/>
          <w:bCs/>
          <w:sz w:val="28"/>
          <w:szCs w:val="28"/>
          <w:highlight w:val="none"/>
          <w:u w:val="thick"/>
          <w:lang w:val="en-US" w:eastAsia="zh-CN"/>
        </w:rPr>
        <w:t>第三方审计</w:t>
      </w:r>
      <w:r>
        <w:rPr>
          <w:rFonts w:hint="eastAsia"/>
          <w:b w:val="0"/>
          <w:bCs w:val="0"/>
          <w:sz w:val="24"/>
          <w:szCs w:val="24"/>
          <w:highlight w:val="none"/>
          <w:lang w:val="en-US" w:eastAsia="zh-CN"/>
        </w:rPr>
        <w:t>的</w:t>
      </w:r>
      <w:r>
        <w:rPr>
          <w:rFonts w:hint="eastAsia"/>
          <w:b/>
          <w:bCs/>
          <w:sz w:val="28"/>
          <w:szCs w:val="28"/>
          <w:highlight w:val="none"/>
          <w:lang w:val="en-US" w:eastAsia="zh-CN"/>
        </w:rPr>
        <w:t>完整的</w:t>
      </w:r>
      <w:r>
        <w:rPr>
          <w:rFonts w:hint="eastAsia"/>
          <w:b w:val="0"/>
          <w:bCs w:val="0"/>
          <w:sz w:val="24"/>
          <w:szCs w:val="24"/>
          <w:highlight w:val="none"/>
          <w:lang w:val="en-US" w:eastAsia="zh-CN"/>
        </w:rPr>
        <w:t>审计报告；如提供资信证明，检查好时间为在开标日期前12个月内任意时段银行出具的资信证明；</w:t>
      </w:r>
    </w:p>
    <w:p w14:paraId="460BE691">
      <w:pPr>
        <w:numPr>
          <w:ilvl w:val="0"/>
          <w:numId w:val="1"/>
        </w:numPr>
        <w:spacing w:line="360" w:lineRule="auto"/>
        <w:jc w:val="left"/>
        <w:rPr>
          <w:rFonts w:hint="default"/>
          <w:b w:val="0"/>
          <w:bCs w:val="0"/>
          <w:sz w:val="24"/>
          <w:szCs w:val="24"/>
          <w:lang w:val="en-US" w:eastAsia="zh-CN"/>
        </w:rPr>
      </w:pPr>
      <w:r>
        <w:rPr>
          <w:rFonts w:hint="eastAsia"/>
          <w:b w:val="0"/>
          <w:bCs w:val="0"/>
          <w:sz w:val="24"/>
          <w:szCs w:val="24"/>
          <w:highlight w:val="none"/>
          <w:lang w:val="en-US" w:eastAsia="zh-CN"/>
        </w:rPr>
        <w:t>社会保障资金缴纳记录</w:t>
      </w:r>
      <w:r>
        <w:rPr>
          <w:rFonts w:hint="eastAsia"/>
          <w:b/>
          <w:bCs/>
          <w:sz w:val="28"/>
          <w:szCs w:val="28"/>
          <w:highlight w:val="none"/>
          <w:u w:val="thick"/>
          <w:lang w:val="en-US" w:eastAsia="zh-CN"/>
        </w:rPr>
        <w:t>和</w:t>
      </w:r>
      <w:r>
        <w:rPr>
          <w:rFonts w:hint="eastAsia"/>
          <w:b w:val="0"/>
          <w:bCs w:val="0"/>
          <w:sz w:val="24"/>
          <w:szCs w:val="24"/>
          <w:highlight w:val="none"/>
          <w:lang w:val="en-US" w:eastAsia="zh-CN"/>
        </w:rPr>
        <w:t>依法缴纳税收记录证明文件</w:t>
      </w:r>
      <w:r>
        <w:rPr>
          <w:rFonts w:hint="eastAsia"/>
          <w:b/>
          <w:bCs/>
          <w:sz w:val="28"/>
          <w:szCs w:val="28"/>
          <w:highlight w:val="none"/>
          <w:u w:val="thick"/>
          <w:lang w:val="en-US" w:eastAsia="zh-CN"/>
        </w:rPr>
        <w:t>（纳税和社保应分别提供相对应的证明材料）</w:t>
      </w:r>
      <w:r>
        <w:rPr>
          <w:rFonts w:hint="eastAsia"/>
          <w:b w:val="0"/>
          <w:bCs w:val="0"/>
          <w:sz w:val="24"/>
          <w:szCs w:val="24"/>
          <w:highlight w:val="none"/>
          <w:lang w:val="en-US" w:eastAsia="zh-CN"/>
        </w:rPr>
        <w:t>的缴纳时间为</w:t>
      </w:r>
      <w:r>
        <w:rPr>
          <w:rFonts w:hint="eastAsia" w:ascii="仿宋" w:hAnsi="仿宋" w:eastAsia="仿宋" w:cs="仿宋"/>
          <w:b/>
          <w:bCs/>
          <w:sz w:val="24"/>
          <w:highlight w:val="none"/>
        </w:rPr>
        <w:t>投标截止日期前12个月内</w:t>
      </w:r>
      <w:bookmarkStart w:id="0" w:name="_GoBack"/>
      <w:bookmarkEnd w:id="0"/>
      <w:r>
        <w:rPr>
          <w:rFonts w:hint="eastAsia" w:ascii="仿宋" w:hAnsi="仿宋" w:eastAsia="仿宋" w:cs="仿宋"/>
          <w:b/>
          <w:bCs/>
          <w:sz w:val="24"/>
          <w:highlight w:val="none"/>
        </w:rPr>
        <w:t>任意时段</w:t>
      </w:r>
      <w:r>
        <w:rPr>
          <w:rFonts w:hint="eastAsia" w:ascii="仿宋" w:hAnsi="仿宋" w:eastAsia="仿宋" w:cs="仿宋"/>
          <w:b/>
          <w:bCs/>
          <w:sz w:val="24"/>
          <w:highlight w:val="none"/>
          <w:lang w:eastAsia="zh-CN"/>
        </w:rPr>
        <w:t>。</w:t>
      </w:r>
    </w:p>
    <w:p w14:paraId="6F27447B">
      <w:pPr>
        <w:numPr>
          <w:ilvl w:val="0"/>
          <w:numId w:val="0"/>
        </w:numPr>
        <w:spacing w:line="360" w:lineRule="auto"/>
        <w:jc w:val="left"/>
        <w:rPr>
          <w:rFonts w:hint="default"/>
          <w:b w:val="0"/>
          <w:bCs w:val="0"/>
          <w:sz w:val="24"/>
          <w:szCs w:val="24"/>
          <w:lang w:val="en-US" w:eastAsia="zh-CN"/>
        </w:rPr>
      </w:pPr>
      <w:r>
        <w:rPr>
          <w:rFonts w:hint="eastAsia"/>
          <w:b w:val="0"/>
          <w:bCs w:val="0"/>
          <w:sz w:val="24"/>
          <w:szCs w:val="24"/>
          <w:lang w:val="en-US" w:eastAsia="zh-CN"/>
        </w:rPr>
        <w:t>4、本项目为专门面向中小企业采购项目,中小企业声明函必须填写完整，且数据真实有效，所投</w:t>
      </w:r>
      <w:r>
        <w:rPr>
          <w:rFonts w:hint="eastAsia"/>
          <w:b/>
          <w:bCs/>
          <w:sz w:val="28"/>
          <w:szCs w:val="28"/>
          <w:u w:val="single"/>
          <w:lang w:val="en-US" w:eastAsia="zh-CN"/>
        </w:rPr>
        <w:t>所有产品制造商</w:t>
      </w:r>
      <w:r>
        <w:rPr>
          <w:rFonts w:hint="eastAsia"/>
          <w:b w:val="0"/>
          <w:bCs w:val="0"/>
          <w:sz w:val="24"/>
          <w:szCs w:val="24"/>
          <w:lang w:val="en-US" w:eastAsia="zh-CN"/>
        </w:rPr>
        <w:t>必须全部为中小微企业。</w:t>
      </w:r>
    </w:p>
    <w:p w14:paraId="5FE25051">
      <w:pPr>
        <w:widowControl w:val="0"/>
        <w:numPr>
          <w:ilvl w:val="0"/>
          <w:numId w:val="0"/>
        </w:numPr>
        <w:spacing w:line="360" w:lineRule="auto"/>
        <w:jc w:val="left"/>
        <w:rPr>
          <w:rFonts w:hint="eastAsia"/>
          <w:b w:val="0"/>
          <w:bCs w:val="0"/>
          <w:sz w:val="24"/>
          <w:szCs w:val="24"/>
          <w:lang w:val="en-US" w:eastAsia="zh-CN"/>
        </w:rPr>
      </w:pPr>
    </w:p>
    <w:p w14:paraId="106BA88E">
      <w:pPr>
        <w:widowControl w:val="0"/>
        <w:numPr>
          <w:ilvl w:val="0"/>
          <w:numId w:val="0"/>
        </w:numPr>
        <w:spacing w:line="360" w:lineRule="auto"/>
        <w:jc w:val="left"/>
        <w:rPr>
          <w:rFonts w:hint="eastAsia"/>
          <w:b w:val="0"/>
          <w:bCs w:val="0"/>
          <w:sz w:val="24"/>
          <w:szCs w:val="24"/>
          <w:lang w:val="en-US" w:eastAsia="zh-CN"/>
        </w:rPr>
      </w:pPr>
    </w:p>
    <w:p w14:paraId="13A9D0BE">
      <w:pPr>
        <w:widowControl w:val="0"/>
        <w:numPr>
          <w:ilvl w:val="0"/>
          <w:numId w:val="0"/>
        </w:numPr>
        <w:spacing w:line="360" w:lineRule="auto"/>
        <w:jc w:val="center"/>
        <w:rPr>
          <w:rFonts w:hint="default"/>
          <w:b/>
          <w:bCs/>
          <w:sz w:val="32"/>
          <w:szCs w:val="32"/>
          <w:highlight w:val="yellow"/>
          <w:lang w:val="en-US" w:eastAsia="zh-CN"/>
        </w:rPr>
      </w:pPr>
      <w:r>
        <w:rPr>
          <w:rFonts w:hint="eastAsia"/>
          <w:b/>
          <w:bCs/>
          <w:sz w:val="32"/>
          <w:szCs w:val="32"/>
          <w:highlight w:val="yellow"/>
          <w:lang w:val="en-US" w:eastAsia="zh-CN"/>
        </w:rPr>
        <w:t>以上条款需逐项检查并响应，否则可能引起废标!!!</w:t>
      </w:r>
    </w:p>
    <w:p w14:paraId="7031632F">
      <w:pPr>
        <w:widowControl w:val="0"/>
        <w:numPr>
          <w:ilvl w:val="0"/>
          <w:numId w:val="0"/>
        </w:numPr>
        <w:spacing w:line="360" w:lineRule="auto"/>
        <w:jc w:val="left"/>
        <w:rPr>
          <w:rFonts w:hint="eastAsia"/>
          <w:b w:val="0"/>
          <w:bCs w:val="0"/>
          <w:sz w:val="24"/>
          <w:szCs w:val="24"/>
          <w:lang w:val="en-US" w:eastAsia="zh-CN"/>
        </w:rPr>
      </w:pPr>
    </w:p>
    <w:p w14:paraId="27577451">
      <w:pPr>
        <w:widowControl w:val="0"/>
        <w:numPr>
          <w:ilvl w:val="0"/>
          <w:numId w:val="0"/>
        </w:numPr>
        <w:spacing w:line="360" w:lineRule="auto"/>
        <w:jc w:val="left"/>
        <w:rPr>
          <w:rFonts w:hint="default"/>
          <w:b w:val="0"/>
          <w:bCs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61A208"/>
    <w:multiLevelType w:val="singleLevel"/>
    <w:tmpl w:val="0C61A20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580419D3"/>
    <w:rsid w:val="06C74ECC"/>
    <w:rsid w:val="08183C31"/>
    <w:rsid w:val="091619E9"/>
    <w:rsid w:val="0EE860AF"/>
    <w:rsid w:val="15C5112E"/>
    <w:rsid w:val="1A615318"/>
    <w:rsid w:val="1DB4365C"/>
    <w:rsid w:val="23B842A2"/>
    <w:rsid w:val="23FD1519"/>
    <w:rsid w:val="24142D67"/>
    <w:rsid w:val="2566419C"/>
    <w:rsid w:val="26FF00CE"/>
    <w:rsid w:val="2A900FAD"/>
    <w:rsid w:val="2C385376"/>
    <w:rsid w:val="2F4370E7"/>
    <w:rsid w:val="33813B89"/>
    <w:rsid w:val="341E7629"/>
    <w:rsid w:val="3D4B18E2"/>
    <w:rsid w:val="440A3726"/>
    <w:rsid w:val="574127B6"/>
    <w:rsid w:val="580419D3"/>
    <w:rsid w:val="59484FC5"/>
    <w:rsid w:val="5B242EC8"/>
    <w:rsid w:val="5B6F15CE"/>
    <w:rsid w:val="5C2C0286"/>
    <w:rsid w:val="61461DEA"/>
    <w:rsid w:val="64714F34"/>
    <w:rsid w:val="69E340A2"/>
    <w:rsid w:val="71AD36B7"/>
    <w:rsid w:val="729C0BC8"/>
    <w:rsid w:val="76FE0619"/>
    <w:rsid w:val="78B535CE"/>
    <w:rsid w:val="7BFC6FC8"/>
    <w:rsid w:val="7D6E1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325</Words>
  <Characters>335</Characters>
  <Lines>0</Lines>
  <Paragraphs>0</Paragraphs>
  <TotalTime>11</TotalTime>
  <ScaleCrop>false</ScaleCrop>
  <LinksUpToDate>false</LinksUpToDate>
  <CharactersWithSpaces>337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2024-03-15T02:00:00Z</dcterms:created>
  <dc:creator>夏日微凉</dc:creator>
  <cp:lastModifiedBy>夏日微凉</cp:lastModifiedBy>
  <cp:lastPrinted>2024-07-22T08:08:00Z</cp:lastPrinted>
  <dcterms:modified xsi:type="dcterms:W3CDTF">2024-07-23T01:39:27Z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1F1B0409E6B34979900469ECB8F7460C_11</vt:lpwstr>
  </property>
</Properties>
</file>