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13EE0B">
      <w:pPr>
        <w:spacing w:line="360" w:lineRule="auto"/>
        <w:outlineLvl w:val="9"/>
        <w:rPr>
          <w:rFonts w:hint="eastAsia" w:ascii="宋体" w:hAnsi="宋体" w:eastAsia="宋体" w:cs="宋体"/>
          <w:bCs/>
          <w:sz w:val="28"/>
          <w:szCs w:val="28"/>
        </w:rPr>
      </w:pPr>
      <w:r>
        <w:rPr>
          <w:rFonts w:hint="eastAsia" w:ascii="宋体" w:hAnsi="宋体" w:eastAsia="宋体" w:cs="宋体"/>
          <w:bCs/>
          <w:sz w:val="28"/>
          <w:szCs w:val="28"/>
        </w:rPr>
        <w:t>合同编号：</w:t>
      </w:r>
    </w:p>
    <w:p w14:paraId="031960F9">
      <w:pPr>
        <w:spacing w:line="360" w:lineRule="auto"/>
        <w:outlineLvl w:val="9"/>
        <w:rPr>
          <w:rFonts w:hint="eastAsia" w:ascii="宋体" w:hAnsi="宋体" w:eastAsia="宋体" w:cs="宋体"/>
          <w:bCs/>
          <w:sz w:val="24"/>
          <w:szCs w:val="24"/>
        </w:rPr>
      </w:pPr>
    </w:p>
    <w:p w14:paraId="7EDF189B">
      <w:pPr>
        <w:spacing w:line="360" w:lineRule="auto"/>
        <w:outlineLvl w:val="9"/>
        <w:rPr>
          <w:rFonts w:hint="eastAsia" w:ascii="宋体" w:hAnsi="宋体" w:eastAsia="宋体" w:cs="宋体"/>
          <w:bCs/>
          <w:sz w:val="24"/>
          <w:szCs w:val="24"/>
        </w:rPr>
      </w:pPr>
    </w:p>
    <w:p w14:paraId="4C78B008">
      <w:pPr>
        <w:spacing w:line="360" w:lineRule="auto"/>
        <w:outlineLvl w:val="9"/>
        <w:rPr>
          <w:rFonts w:hint="eastAsia" w:ascii="宋体" w:hAnsi="宋体" w:eastAsia="宋体" w:cs="宋体"/>
          <w:bCs/>
          <w:sz w:val="24"/>
          <w:szCs w:val="24"/>
        </w:rPr>
      </w:pPr>
    </w:p>
    <w:p w14:paraId="6D83F6B9">
      <w:pPr>
        <w:spacing w:line="360" w:lineRule="auto"/>
        <w:outlineLvl w:val="9"/>
        <w:rPr>
          <w:rFonts w:hint="eastAsia" w:ascii="宋体" w:hAnsi="宋体" w:eastAsia="宋体" w:cs="宋体"/>
          <w:bCs/>
          <w:sz w:val="24"/>
          <w:szCs w:val="24"/>
        </w:rPr>
      </w:pPr>
    </w:p>
    <w:p w14:paraId="2409F670">
      <w:pPr>
        <w:spacing w:line="360" w:lineRule="auto"/>
        <w:jc w:val="center"/>
        <w:outlineLvl w:val="9"/>
        <w:rPr>
          <w:rFonts w:hint="eastAsia" w:ascii="宋体" w:hAnsi="宋体" w:eastAsia="宋体" w:cs="宋体"/>
          <w:b/>
          <w:bCs w:val="0"/>
          <w:sz w:val="40"/>
          <w:szCs w:val="40"/>
        </w:rPr>
      </w:pPr>
      <w:r>
        <w:rPr>
          <w:rFonts w:hint="eastAsia" w:ascii="宋体" w:hAnsi="宋体" w:eastAsia="宋体" w:cs="宋体"/>
          <w:b/>
          <w:bCs w:val="0"/>
          <w:sz w:val="40"/>
          <w:szCs w:val="40"/>
        </w:rPr>
        <w:t>陕西省人民医院</w:t>
      </w:r>
    </w:p>
    <w:p w14:paraId="2738C4EF">
      <w:pPr>
        <w:spacing w:line="360" w:lineRule="auto"/>
        <w:jc w:val="center"/>
        <w:outlineLvl w:val="9"/>
        <w:rPr>
          <w:rFonts w:hint="eastAsia" w:ascii="宋体" w:hAnsi="宋体" w:eastAsia="宋体" w:cs="宋体"/>
          <w:b/>
          <w:bCs w:val="0"/>
          <w:sz w:val="40"/>
          <w:szCs w:val="40"/>
        </w:rPr>
      </w:pPr>
      <w:r>
        <w:rPr>
          <w:rFonts w:hint="eastAsia" w:ascii="宋体" w:hAnsi="宋体" w:eastAsia="宋体" w:cs="宋体"/>
          <w:b/>
          <w:bCs w:val="0"/>
          <w:sz w:val="40"/>
          <w:szCs w:val="40"/>
        </w:rPr>
        <w:t>货物采购项目供货协议</w:t>
      </w:r>
    </w:p>
    <w:p w14:paraId="4FFAF216">
      <w:pPr>
        <w:spacing w:line="360" w:lineRule="auto"/>
        <w:outlineLvl w:val="9"/>
        <w:rPr>
          <w:rFonts w:hint="eastAsia" w:ascii="宋体" w:hAnsi="宋体" w:eastAsia="宋体" w:cs="宋体"/>
          <w:bCs/>
          <w:sz w:val="24"/>
          <w:szCs w:val="24"/>
        </w:rPr>
      </w:pPr>
    </w:p>
    <w:p w14:paraId="383A29F7">
      <w:pPr>
        <w:spacing w:line="360" w:lineRule="auto"/>
        <w:outlineLvl w:val="9"/>
        <w:rPr>
          <w:rFonts w:hint="eastAsia" w:ascii="宋体" w:hAnsi="宋体" w:eastAsia="宋体" w:cs="宋体"/>
          <w:bCs/>
          <w:sz w:val="24"/>
          <w:szCs w:val="24"/>
        </w:rPr>
      </w:pPr>
    </w:p>
    <w:p w14:paraId="34C8B345">
      <w:pPr>
        <w:spacing w:line="360" w:lineRule="auto"/>
        <w:outlineLvl w:val="9"/>
        <w:rPr>
          <w:rFonts w:hint="eastAsia" w:ascii="宋体" w:hAnsi="宋体" w:eastAsia="宋体" w:cs="宋体"/>
          <w:bCs/>
          <w:sz w:val="24"/>
          <w:szCs w:val="24"/>
        </w:rPr>
      </w:pPr>
    </w:p>
    <w:p w14:paraId="21DC3DA9">
      <w:pPr>
        <w:spacing w:line="360" w:lineRule="auto"/>
        <w:outlineLvl w:val="9"/>
        <w:rPr>
          <w:rFonts w:hint="eastAsia" w:ascii="宋体" w:hAnsi="宋体" w:eastAsia="宋体" w:cs="宋体"/>
          <w:bCs/>
          <w:sz w:val="24"/>
          <w:szCs w:val="24"/>
        </w:rPr>
      </w:pPr>
    </w:p>
    <w:p w14:paraId="63E41DEC">
      <w:pPr>
        <w:spacing w:line="360" w:lineRule="auto"/>
        <w:outlineLvl w:val="9"/>
        <w:rPr>
          <w:rFonts w:hint="eastAsia" w:ascii="宋体" w:hAnsi="宋体" w:eastAsia="宋体" w:cs="宋体"/>
          <w:bCs/>
          <w:sz w:val="24"/>
          <w:szCs w:val="24"/>
        </w:rPr>
      </w:pPr>
    </w:p>
    <w:p w14:paraId="11967BD9">
      <w:pPr>
        <w:spacing w:line="360" w:lineRule="auto"/>
        <w:outlineLvl w:val="9"/>
        <w:rPr>
          <w:rFonts w:hint="eastAsia" w:ascii="宋体" w:hAnsi="宋体" w:eastAsia="宋体" w:cs="宋体"/>
          <w:bCs/>
          <w:sz w:val="24"/>
          <w:szCs w:val="24"/>
        </w:rPr>
      </w:pPr>
    </w:p>
    <w:p w14:paraId="53292C68">
      <w:pPr>
        <w:pStyle w:val="3"/>
        <w:rPr>
          <w:rFonts w:hint="eastAsia" w:ascii="宋体" w:hAnsi="宋体" w:eastAsia="宋体" w:cs="宋体"/>
        </w:rPr>
      </w:pPr>
    </w:p>
    <w:p w14:paraId="254E2F29">
      <w:pPr>
        <w:spacing w:line="360" w:lineRule="auto"/>
        <w:outlineLvl w:val="9"/>
        <w:rPr>
          <w:rFonts w:hint="eastAsia" w:ascii="宋体" w:hAnsi="宋体" w:eastAsia="宋体" w:cs="宋体"/>
          <w:bCs/>
          <w:sz w:val="24"/>
          <w:szCs w:val="24"/>
        </w:rPr>
      </w:pPr>
    </w:p>
    <w:p w14:paraId="55A6AD15">
      <w:pPr>
        <w:keepNext w:val="0"/>
        <w:keepLines w:val="0"/>
        <w:pageBreakBefore w:val="0"/>
        <w:widowControl w:val="0"/>
        <w:tabs>
          <w:tab w:val="left" w:pos="1020"/>
        </w:tabs>
        <w:kinsoku/>
        <w:wordWrap/>
        <w:overflowPunct/>
        <w:topLinePunct w:val="0"/>
        <w:autoSpaceDE/>
        <w:autoSpaceDN/>
        <w:bidi w:val="0"/>
        <w:adjustRightInd/>
        <w:snapToGrid/>
        <w:spacing w:line="360" w:lineRule="auto"/>
        <w:ind w:left="0" w:firstLine="1446" w:firstLineChars="600"/>
        <w:textAlignment w:val="auto"/>
        <w:outlineLvl w:val="9"/>
        <w:rPr>
          <w:rFonts w:hint="eastAsia" w:ascii="宋体" w:hAnsi="宋体" w:eastAsia="宋体" w:cs="宋体"/>
          <w:sz w:val="24"/>
          <w:szCs w:val="24"/>
        </w:rPr>
      </w:pPr>
      <w:r>
        <w:rPr>
          <w:rFonts w:hint="eastAsia" w:ascii="宋体" w:hAnsi="宋体" w:eastAsia="宋体" w:cs="宋体"/>
          <w:b/>
          <w:sz w:val="24"/>
          <w:szCs w:val="24"/>
        </w:rPr>
        <w:t>项目编号：</w:t>
      </w:r>
    </w:p>
    <w:p w14:paraId="39F2B8AD">
      <w:pPr>
        <w:keepNext w:val="0"/>
        <w:keepLines w:val="0"/>
        <w:pageBreakBefore w:val="0"/>
        <w:widowControl w:val="0"/>
        <w:tabs>
          <w:tab w:val="left" w:pos="1020"/>
        </w:tabs>
        <w:kinsoku/>
        <w:wordWrap/>
        <w:overflowPunct/>
        <w:topLinePunct w:val="0"/>
        <w:autoSpaceDE/>
        <w:autoSpaceDN/>
        <w:bidi w:val="0"/>
        <w:adjustRightInd/>
        <w:snapToGrid/>
        <w:spacing w:line="360" w:lineRule="auto"/>
        <w:ind w:left="0" w:firstLine="1446" w:firstLineChars="600"/>
        <w:textAlignment w:val="auto"/>
        <w:outlineLvl w:val="9"/>
        <w:rPr>
          <w:rFonts w:hint="eastAsia" w:ascii="宋体" w:hAnsi="宋体" w:eastAsia="宋体" w:cs="宋体"/>
          <w:b/>
          <w:sz w:val="24"/>
          <w:szCs w:val="24"/>
        </w:rPr>
      </w:pPr>
      <w:r>
        <w:rPr>
          <w:rFonts w:hint="eastAsia" w:ascii="宋体" w:hAnsi="宋体" w:eastAsia="宋体" w:cs="宋体"/>
          <w:b/>
          <w:sz w:val="24"/>
          <w:szCs w:val="24"/>
        </w:rPr>
        <w:t>采购项目：</w:t>
      </w:r>
    </w:p>
    <w:p w14:paraId="3B7FCBBF">
      <w:pPr>
        <w:keepNext w:val="0"/>
        <w:keepLines w:val="0"/>
        <w:pageBreakBefore w:val="0"/>
        <w:widowControl w:val="0"/>
        <w:kinsoku/>
        <w:wordWrap/>
        <w:overflowPunct/>
        <w:topLinePunct w:val="0"/>
        <w:autoSpaceDE/>
        <w:autoSpaceDN/>
        <w:bidi w:val="0"/>
        <w:adjustRightInd/>
        <w:snapToGrid/>
        <w:spacing w:line="360" w:lineRule="auto"/>
        <w:ind w:left="0" w:firstLine="1446" w:firstLineChars="600"/>
        <w:textAlignment w:val="auto"/>
        <w:outlineLvl w:val="9"/>
        <w:rPr>
          <w:rFonts w:hint="eastAsia" w:ascii="宋体" w:hAnsi="宋体" w:eastAsia="宋体" w:cs="宋体"/>
          <w:b/>
          <w:sz w:val="24"/>
          <w:szCs w:val="24"/>
        </w:rPr>
      </w:pPr>
      <w:r>
        <w:rPr>
          <w:rFonts w:hint="eastAsia" w:ascii="宋体" w:hAnsi="宋体" w:eastAsia="宋体" w:cs="宋体"/>
          <w:b/>
          <w:sz w:val="24"/>
          <w:szCs w:val="24"/>
        </w:rPr>
        <w:t>采购单位：</w:t>
      </w:r>
    </w:p>
    <w:p w14:paraId="127600E1">
      <w:pPr>
        <w:keepNext w:val="0"/>
        <w:keepLines w:val="0"/>
        <w:pageBreakBefore w:val="0"/>
        <w:widowControl w:val="0"/>
        <w:kinsoku/>
        <w:wordWrap/>
        <w:overflowPunct/>
        <w:topLinePunct w:val="0"/>
        <w:autoSpaceDE/>
        <w:autoSpaceDN/>
        <w:bidi w:val="0"/>
        <w:adjustRightInd/>
        <w:snapToGrid/>
        <w:spacing w:line="360" w:lineRule="auto"/>
        <w:ind w:left="0" w:firstLine="1446" w:firstLineChars="600"/>
        <w:textAlignment w:val="auto"/>
        <w:outlineLvl w:val="9"/>
        <w:rPr>
          <w:rFonts w:hint="eastAsia" w:ascii="宋体" w:hAnsi="宋体" w:eastAsia="宋体" w:cs="宋体"/>
          <w:b/>
          <w:sz w:val="24"/>
          <w:szCs w:val="24"/>
          <w:lang w:val="en-US" w:eastAsia="zh-CN"/>
        </w:rPr>
      </w:pPr>
      <w:r>
        <w:rPr>
          <w:rFonts w:hint="eastAsia" w:ascii="宋体" w:hAnsi="宋体" w:eastAsia="宋体" w:cs="宋体"/>
          <w:b/>
          <w:sz w:val="24"/>
          <w:szCs w:val="24"/>
        </w:rPr>
        <w:t>供货单位：</w:t>
      </w:r>
    </w:p>
    <w:p w14:paraId="26114B0F">
      <w:pPr>
        <w:keepNext w:val="0"/>
        <w:keepLines w:val="0"/>
        <w:pageBreakBefore w:val="0"/>
        <w:widowControl w:val="0"/>
        <w:kinsoku/>
        <w:wordWrap/>
        <w:overflowPunct/>
        <w:topLinePunct w:val="0"/>
        <w:autoSpaceDE/>
        <w:autoSpaceDN/>
        <w:bidi w:val="0"/>
        <w:adjustRightInd/>
        <w:snapToGrid/>
        <w:spacing w:line="360" w:lineRule="auto"/>
        <w:ind w:left="0" w:firstLine="1446" w:firstLineChars="600"/>
        <w:textAlignment w:val="auto"/>
        <w:outlineLvl w:val="9"/>
        <w:rPr>
          <w:rFonts w:hint="eastAsia" w:ascii="宋体" w:hAnsi="宋体" w:eastAsia="宋体" w:cs="宋体"/>
          <w:b/>
          <w:bCs/>
          <w:sz w:val="24"/>
          <w:szCs w:val="24"/>
        </w:rPr>
      </w:pPr>
      <w:r>
        <w:rPr>
          <w:rFonts w:hint="eastAsia" w:ascii="宋体" w:hAnsi="宋体" w:eastAsia="宋体" w:cs="宋体"/>
          <w:b/>
          <w:sz w:val="24"/>
          <w:szCs w:val="24"/>
        </w:rPr>
        <w:t>招标代理：</w:t>
      </w:r>
    </w:p>
    <w:p w14:paraId="18A6DD94">
      <w:pPr>
        <w:spacing w:line="360" w:lineRule="auto"/>
        <w:outlineLvl w:val="9"/>
        <w:rPr>
          <w:rFonts w:hint="eastAsia" w:ascii="宋体" w:hAnsi="宋体" w:eastAsia="宋体" w:cs="宋体"/>
          <w:bCs/>
          <w:sz w:val="24"/>
          <w:szCs w:val="24"/>
        </w:rPr>
      </w:pPr>
    </w:p>
    <w:p w14:paraId="698BFEF2">
      <w:pPr>
        <w:spacing w:line="360" w:lineRule="auto"/>
        <w:outlineLvl w:val="9"/>
        <w:rPr>
          <w:rFonts w:hint="eastAsia" w:ascii="宋体" w:hAnsi="宋体" w:eastAsia="宋体" w:cs="宋体"/>
          <w:bCs/>
          <w:sz w:val="24"/>
          <w:szCs w:val="24"/>
        </w:rPr>
      </w:pPr>
    </w:p>
    <w:p w14:paraId="4E101619">
      <w:pPr>
        <w:pStyle w:val="3"/>
        <w:rPr>
          <w:rFonts w:hint="eastAsia" w:ascii="宋体" w:hAnsi="宋体" w:eastAsia="宋体" w:cs="宋体"/>
          <w:bCs/>
          <w:sz w:val="24"/>
          <w:szCs w:val="24"/>
        </w:rPr>
      </w:pPr>
    </w:p>
    <w:p w14:paraId="19319025">
      <w:pPr>
        <w:rPr>
          <w:rFonts w:hint="eastAsia" w:ascii="宋体" w:hAnsi="宋体" w:eastAsia="宋体" w:cs="宋体"/>
        </w:rPr>
      </w:pPr>
    </w:p>
    <w:p w14:paraId="6F34DC30">
      <w:pPr>
        <w:spacing w:line="360" w:lineRule="auto"/>
        <w:outlineLvl w:val="9"/>
        <w:rPr>
          <w:rFonts w:hint="eastAsia" w:ascii="宋体" w:hAnsi="宋体" w:eastAsia="宋体" w:cs="宋体"/>
          <w:bCs/>
          <w:sz w:val="24"/>
          <w:szCs w:val="24"/>
        </w:rPr>
      </w:pPr>
    </w:p>
    <w:p w14:paraId="40D57C85">
      <w:pPr>
        <w:spacing w:line="360" w:lineRule="auto"/>
        <w:jc w:val="center"/>
        <w:outlineLvl w:val="9"/>
        <w:rPr>
          <w:rFonts w:hint="eastAsia" w:ascii="宋体" w:hAnsi="宋体" w:eastAsia="宋体" w:cs="宋体"/>
          <w:bCs/>
          <w:sz w:val="24"/>
          <w:szCs w:val="24"/>
        </w:rPr>
      </w:pPr>
      <w:r>
        <w:rPr>
          <w:rFonts w:hint="eastAsia" w:ascii="宋体" w:hAnsi="宋体" w:eastAsia="宋体" w:cs="宋体"/>
          <w:bCs/>
          <w:sz w:val="24"/>
          <w:szCs w:val="24"/>
        </w:rPr>
        <w:t>202</w:t>
      </w:r>
      <w:r>
        <w:rPr>
          <w:rFonts w:hint="eastAsia" w:ascii="宋体" w:hAnsi="宋体" w:eastAsia="宋体" w:cs="宋体"/>
          <w:bCs/>
          <w:sz w:val="24"/>
          <w:szCs w:val="24"/>
          <w:lang w:val="en-US" w:eastAsia="zh-CN"/>
        </w:rPr>
        <w:t>4</w:t>
      </w:r>
      <w:r>
        <w:rPr>
          <w:rFonts w:hint="eastAsia" w:ascii="宋体" w:hAnsi="宋体" w:eastAsia="宋体" w:cs="宋体"/>
          <w:bCs/>
          <w:sz w:val="24"/>
          <w:szCs w:val="24"/>
        </w:rPr>
        <w:t>年</w:t>
      </w:r>
      <w:r>
        <w:rPr>
          <w:rFonts w:hint="eastAsia" w:ascii="宋体" w:hAnsi="宋体" w:eastAsia="宋体" w:cs="宋体"/>
          <w:bCs/>
          <w:sz w:val="24"/>
          <w:szCs w:val="24"/>
          <w:lang w:val="en-US" w:eastAsia="zh-CN"/>
        </w:rPr>
        <w:t xml:space="preserve">  </w:t>
      </w:r>
      <w:r>
        <w:rPr>
          <w:rFonts w:hint="eastAsia" w:ascii="宋体" w:hAnsi="宋体" w:eastAsia="宋体" w:cs="宋体"/>
          <w:bCs/>
          <w:sz w:val="24"/>
          <w:szCs w:val="24"/>
        </w:rPr>
        <w:t>月</w:t>
      </w:r>
      <w:r>
        <w:rPr>
          <w:rFonts w:hint="eastAsia" w:ascii="宋体" w:hAnsi="宋体" w:eastAsia="宋体" w:cs="宋体"/>
          <w:bCs/>
          <w:sz w:val="24"/>
          <w:szCs w:val="24"/>
          <w:lang w:val="en-US" w:eastAsia="zh-CN"/>
        </w:rPr>
        <w:t xml:space="preserve">  </w:t>
      </w:r>
      <w:r>
        <w:rPr>
          <w:rFonts w:hint="eastAsia" w:ascii="宋体" w:hAnsi="宋体" w:eastAsia="宋体" w:cs="宋体"/>
          <w:bCs/>
          <w:sz w:val="24"/>
          <w:szCs w:val="24"/>
        </w:rPr>
        <w:t>日</w:t>
      </w:r>
    </w:p>
    <w:p w14:paraId="12758BF5">
      <w:pPr>
        <w:rPr>
          <w:rFonts w:hint="eastAsia" w:ascii="宋体" w:hAnsi="宋体" w:eastAsia="宋体" w:cs="宋体"/>
          <w:bCs/>
          <w:sz w:val="24"/>
          <w:szCs w:val="24"/>
        </w:rPr>
      </w:pPr>
      <w:r>
        <w:rPr>
          <w:rFonts w:hint="eastAsia" w:ascii="宋体" w:hAnsi="宋体" w:eastAsia="宋体" w:cs="宋体"/>
          <w:bCs/>
          <w:sz w:val="24"/>
          <w:szCs w:val="24"/>
        </w:rPr>
        <w:br w:type="page"/>
      </w:r>
    </w:p>
    <w:p w14:paraId="4E1F367B">
      <w:pPr>
        <w:spacing w:line="360" w:lineRule="auto"/>
        <w:jc w:val="center"/>
        <w:outlineLvl w:val="9"/>
        <w:rPr>
          <w:rFonts w:hint="eastAsia" w:ascii="宋体" w:hAnsi="宋体" w:eastAsia="宋体" w:cs="宋体"/>
          <w:bCs/>
          <w:sz w:val="24"/>
          <w:szCs w:val="24"/>
        </w:rPr>
      </w:pPr>
      <w:r>
        <w:rPr>
          <w:rFonts w:hint="eastAsia" w:ascii="宋体" w:hAnsi="宋体" w:eastAsia="宋体" w:cs="宋体"/>
          <w:bCs/>
          <w:sz w:val="24"/>
          <w:szCs w:val="24"/>
        </w:rPr>
        <w:t>陕西省人民医院货物供货协议</w:t>
      </w:r>
    </w:p>
    <w:p w14:paraId="25795E29">
      <w:pPr>
        <w:spacing w:line="360" w:lineRule="auto"/>
        <w:jc w:val="center"/>
        <w:outlineLvl w:val="9"/>
        <w:rPr>
          <w:rFonts w:hint="eastAsia" w:ascii="宋体" w:hAnsi="宋体" w:eastAsia="宋体" w:cs="宋体"/>
          <w:b/>
          <w:bCs/>
          <w:sz w:val="24"/>
          <w:szCs w:val="24"/>
          <w:lang w:val="en-US" w:eastAsia="zh-CN"/>
        </w:rPr>
      </w:pPr>
      <w:r>
        <w:rPr>
          <w:rFonts w:hint="eastAsia" w:ascii="宋体" w:hAnsi="宋体" w:eastAsia="宋体" w:cs="宋体"/>
          <w:b/>
          <w:bCs/>
          <w:sz w:val="24"/>
          <w:szCs w:val="24"/>
        </w:rPr>
        <w:t>编号：</w:t>
      </w:r>
    </w:p>
    <w:p w14:paraId="5796EF37">
      <w:pPr>
        <w:shd w:val="clear" w:color="auto" w:fill="FFFFFF"/>
        <w:snapToGrid w:val="0"/>
        <w:spacing w:line="360" w:lineRule="auto"/>
        <w:outlineLvl w:val="9"/>
        <w:rPr>
          <w:rFonts w:hint="eastAsia" w:ascii="宋体" w:hAnsi="宋体" w:eastAsia="宋体" w:cs="宋体"/>
          <w:sz w:val="24"/>
          <w:szCs w:val="24"/>
        </w:rPr>
      </w:pPr>
      <w:r>
        <w:rPr>
          <w:rFonts w:hint="eastAsia" w:ascii="宋体" w:hAnsi="宋体" w:eastAsia="宋体" w:cs="宋体"/>
          <w:sz w:val="24"/>
          <w:szCs w:val="24"/>
        </w:rPr>
        <w:t>甲方：陕西省人民医院</w:t>
      </w:r>
    </w:p>
    <w:p w14:paraId="6D8912DF">
      <w:pPr>
        <w:shd w:val="clear" w:color="auto" w:fill="FFFFFF"/>
        <w:snapToGrid w:val="0"/>
        <w:spacing w:line="360" w:lineRule="auto"/>
        <w:outlineLvl w:val="9"/>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住所地：西安友谊西路256号</w:t>
      </w:r>
    </w:p>
    <w:p w14:paraId="347360B1">
      <w:pPr>
        <w:autoSpaceDE w:val="0"/>
        <w:autoSpaceDN w:val="0"/>
        <w:adjustRightInd w:val="0"/>
        <w:spacing w:line="360" w:lineRule="auto"/>
        <w:outlineLvl w:val="9"/>
        <w:rPr>
          <w:rFonts w:hint="eastAsia" w:ascii="宋体" w:hAnsi="宋体" w:eastAsia="宋体" w:cs="宋体"/>
          <w:sz w:val="24"/>
          <w:szCs w:val="24"/>
          <w:lang w:val="en-US" w:eastAsia="zh-CN"/>
        </w:rPr>
      </w:pPr>
      <w:r>
        <w:rPr>
          <w:rFonts w:hint="eastAsia" w:ascii="宋体" w:hAnsi="宋体" w:eastAsia="宋体" w:cs="宋体"/>
          <w:sz w:val="24"/>
          <w:szCs w:val="24"/>
        </w:rPr>
        <w:t>乙方：</w:t>
      </w:r>
      <w:r>
        <w:rPr>
          <w:rFonts w:hint="eastAsia" w:ascii="宋体" w:hAnsi="宋体" w:eastAsia="宋体" w:cs="宋体"/>
          <w:sz w:val="24"/>
          <w:szCs w:val="24"/>
          <w:lang w:val="en-US" w:eastAsia="zh-CN"/>
        </w:rPr>
        <w:t xml:space="preserve">                           </w:t>
      </w:r>
    </w:p>
    <w:p w14:paraId="1AB5B279">
      <w:pPr>
        <w:autoSpaceDE w:val="0"/>
        <w:autoSpaceDN w:val="0"/>
        <w:adjustRightInd w:val="0"/>
        <w:spacing w:line="360" w:lineRule="auto"/>
        <w:jc w:val="left"/>
        <w:outlineLvl w:val="9"/>
        <w:rPr>
          <w:rFonts w:hint="eastAsia" w:ascii="宋体" w:hAnsi="宋体" w:eastAsia="宋体" w:cs="宋体"/>
          <w:kern w:val="0"/>
          <w:sz w:val="24"/>
          <w:szCs w:val="24"/>
          <w:u w:val="none"/>
          <w:lang w:val="en-US" w:eastAsia="zh-CN"/>
        </w:rPr>
      </w:pPr>
      <w:r>
        <w:rPr>
          <w:rFonts w:hint="eastAsia" w:ascii="宋体" w:hAnsi="宋体" w:eastAsia="宋体" w:cs="宋体"/>
          <w:sz w:val="24"/>
          <w:szCs w:val="24"/>
        </w:rPr>
        <w:t>法定代表人：</w:t>
      </w:r>
      <w:r>
        <w:rPr>
          <w:rFonts w:hint="eastAsia" w:ascii="宋体" w:hAnsi="宋体" w:eastAsia="宋体" w:cs="宋体"/>
          <w:sz w:val="24"/>
          <w:szCs w:val="24"/>
          <w:lang w:val="en-US" w:eastAsia="zh-CN"/>
        </w:rPr>
        <w:t xml:space="preserve">    </w:t>
      </w:r>
      <w:r>
        <w:rPr>
          <w:rFonts w:hint="eastAsia" w:ascii="宋体" w:hAnsi="宋体" w:eastAsia="宋体" w:cs="宋体"/>
          <w:caps/>
          <w:sz w:val="24"/>
          <w:szCs w:val="24"/>
        </w:rPr>
        <w:t xml:space="preserve">      </w:t>
      </w:r>
      <w:r>
        <w:rPr>
          <w:rFonts w:hint="eastAsia" w:ascii="宋体" w:hAnsi="宋体" w:eastAsia="宋体" w:cs="宋体"/>
          <w:sz w:val="24"/>
          <w:szCs w:val="24"/>
        </w:rPr>
        <w:t>住所地：</w:t>
      </w:r>
      <w:r>
        <w:rPr>
          <w:rFonts w:hint="eastAsia" w:ascii="宋体" w:hAnsi="宋体" w:eastAsia="宋体" w:cs="宋体"/>
          <w:kern w:val="0"/>
          <w:sz w:val="24"/>
          <w:szCs w:val="24"/>
          <w:u w:val="none"/>
          <w:lang w:val="en-US" w:eastAsia="zh-CN"/>
        </w:rPr>
        <w:t xml:space="preserve">                                     </w:t>
      </w:r>
    </w:p>
    <w:p w14:paraId="1E99E7A5">
      <w:pPr>
        <w:spacing w:line="360" w:lineRule="auto"/>
        <w:ind w:firstLine="480" w:firstLineChars="200"/>
        <w:outlineLvl w:val="9"/>
        <w:rPr>
          <w:rFonts w:hint="eastAsia" w:ascii="宋体" w:hAnsi="宋体" w:eastAsia="宋体" w:cs="宋体"/>
          <w:sz w:val="24"/>
          <w:szCs w:val="24"/>
        </w:rPr>
      </w:pPr>
      <w:r>
        <w:rPr>
          <w:rFonts w:hint="eastAsia" w:ascii="宋体" w:hAnsi="宋体" w:eastAsia="宋体" w:cs="宋体"/>
          <w:bCs/>
          <w:sz w:val="24"/>
          <w:szCs w:val="24"/>
        </w:rPr>
        <w:t>陕西省人民医院</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采购项目</w:t>
      </w:r>
      <w:r>
        <w:rPr>
          <w:rFonts w:hint="eastAsia" w:ascii="宋体" w:hAnsi="宋体" w:eastAsia="宋体" w:cs="宋体"/>
          <w:bCs/>
          <w:sz w:val="24"/>
          <w:szCs w:val="24"/>
        </w:rPr>
        <w:t>，由</w:t>
      </w:r>
      <w:r>
        <w:rPr>
          <w:rFonts w:hint="eastAsia" w:ascii="宋体" w:hAnsi="宋体" w:eastAsia="宋体" w:cs="宋体"/>
          <w:sz w:val="24"/>
          <w:szCs w:val="24"/>
          <w:u w:val="single"/>
          <w:lang w:val="en-US" w:eastAsia="zh-CN"/>
        </w:rPr>
        <w:t>陕西中技招标有限公司</w:t>
      </w:r>
      <w:r>
        <w:rPr>
          <w:rFonts w:hint="eastAsia" w:ascii="宋体" w:hAnsi="宋体" w:eastAsia="宋体" w:cs="宋体"/>
          <w:bCs/>
          <w:sz w:val="24"/>
          <w:szCs w:val="24"/>
        </w:rPr>
        <w:t>组织招标采购，选定</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为供货单位。经</w:t>
      </w:r>
      <w:r>
        <w:rPr>
          <w:rFonts w:hint="eastAsia" w:ascii="宋体" w:hAnsi="宋体" w:eastAsia="宋体" w:cs="宋体"/>
          <w:sz w:val="24"/>
          <w:szCs w:val="24"/>
          <w:u w:val="single"/>
        </w:rPr>
        <w:t>陕西省人民医院</w:t>
      </w:r>
      <w:r>
        <w:rPr>
          <w:rFonts w:hint="eastAsia" w:ascii="宋体" w:hAnsi="宋体" w:eastAsia="宋体" w:cs="宋体"/>
          <w:sz w:val="24"/>
          <w:szCs w:val="24"/>
        </w:rPr>
        <w:t>（以下简称甲方）与</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（以下简称乙方）共同协商，达成以下协议条款。</w:t>
      </w:r>
    </w:p>
    <w:p w14:paraId="7B39CB58">
      <w:pPr>
        <w:spacing w:line="360" w:lineRule="auto"/>
        <w:outlineLvl w:val="9"/>
        <w:rPr>
          <w:rFonts w:hint="eastAsia" w:ascii="宋体" w:hAnsi="宋体" w:eastAsia="宋体" w:cs="宋体"/>
          <w:bCs/>
          <w:sz w:val="24"/>
          <w:szCs w:val="24"/>
        </w:rPr>
      </w:pPr>
      <w:r>
        <w:rPr>
          <w:rFonts w:hint="eastAsia" w:ascii="宋体" w:hAnsi="宋体" w:eastAsia="宋体" w:cs="宋体"/>
          <w:sz w:val="24"/>
          <w:szCs w:val="24"/>
        </w:rPr>
        <w:t>第一条  协议内容</w:t>
      </w:r>
      <w:r>
        <w:rPr>
          <w:rFonts w:hint="eastAsia" w:ascii="宋体" w:hAnsi="宋体" w:eastAsia="宋体" w:cs="宋体"/>
          <w:bCs/>
          <w:sz w:val="24"/>
          <w:szCs w:val="24"/>
        </w:rPr>
        <w:t>（技术指标见附件）</w:t>
      </w:r>
    </w:p>
    <w:p w14:paraId="5E48DC58">
      <w:pPr>
        <w:spacing w:line="360" w:lineRule="auto"/>
        <w:outlineLvl w:val="9"/>
        <w:rPr>
          <w:rFonts w:hint="eastAsia" w:ascii="宋体" w:hAnsi="宋体" w:eastAsia="宋体" w:cs="宋体"/>
          <w:bCs/>
          <w:sz w:val="24"/>
          <w:szCs w:val="24"/>
        </w:rPr>
      </w:pPr>
      <w:r>
        <w:rPr>
          <w:rFonts w:hint="eastAsia" w:ascii="宋体" w:hAnsi="宋体" w:eastAsia="宋体" w:cs="宋体"/>
          <w:bCs/>
          <w:sz w:val="24"/>
          <w:szCs w:val="24"/>
        </w:rPr>
        <w:t>（一）乙方负责按协议中确定的耗材品牌、规格、型号、数量、原产地及配套内容进行供货；按时运到甲方指定的交货地点，负责耗材到货后搬运工作，达到正常使用；负责为甲方培训维护人员，指导操作使用，做好售后服务。</w:t>
      </w:r>
    </w:p>
    <w:p w14:paraId="00CCCEB7">
      <w:pPr>
        <w:spacing w:line="360" w:lineRule="auto"/>
        <w:outlineLvl w:val="9"/>
        <w:rPr>
          <w:rFonts w:hint="eastAsia" w:ascii="宋体" w:hAnsi="宋体" w:eastAsia="宋体" w:cs="宋体"/>
          <w:bCs/>
          <w:sz w:val="24"/>
          <w:szCs w:val="24"/>
        </w:rPr>
      </w:pPr>
      <w:r>
        <w:rPr>
          <w:rFonts w:hint="eastAsia" w:ascii="宋体" w:hAnsi="宋体" w:eastAsia="宋体" w:cs="宋体"/>
          <w:bCs/>
          <w:sz w:val="24"/>
          <w:szCs w:val="24"/>
        </w:rPr>
        <w:t xml:space="preserve">（二）招标文件、乙方的投标文件及评标过程中的澄清、承诺内容均作为协议的组成部分，具有同等法律效力。 </w:t>
      </w:r>
    </w:p>
    <w:p w14:paraId="2197F17D">
      <w:pPr>
        <w:spacing w:line="360" w:lineRule="auto"/>
        <w:outlineLvl w:val="9"/>
        <w:rPr>
          <w:rFonts w:hint="eastAsia" w:ascii="宋体" w:hAnsi="宋体" w:eastAsia="宋体" w:cs="宋体"/>
          <w:bCs/>
          <w:sz w:val="24"/>
          <w:szCs w:val="24"/>
        </w:rPr>
      </w:pPr>
      <w:r>
        <w:rPr>
          <w:rFonts w:hint="eastAsia" w:ascii="宋体" w:hAnsi="宋体" w:eastAsia="宋体" w:cs="宋体"/>
          <w:bCs/>
          <w:sz w:val="24"/>
          <w:szCs w:val="24"/>
        </w:rPr>
        <w:t>第二条  协议价款（币种：人民币，单位：元，含税价）</w:t>
      </w:r>
    </w:p>
    <w:p w14:paraId="3BB37245">
      <w:pPr>
        <w:spacing w:line="360" w:lineRule="auto"/>
        <w:outlineLvl w:val="9"/>
        <w:rPr>
          <w:rFonts w:hint="eastAsia" w:ascii="宋体" w:hAnsi="宋体" w:eastAsia="宋体" w:cs="宋体"/>
          <w:bCs/>
          <w:sz w:val="24"/>
          <w:szCs w:val="24"/>
        </w:rPr>
      </w:pPr>
      <w:r>
        <w:rPr>
          <w:rFonts w:hint="eastAsia" w:ascii="宋体" w:hAnsi="宋体" w:eastAsia="宋体" w:cs="宋体"/>
          <w:bCs/>
          <w:sz w:val="24"/>
          <w:szCs w:val="24"/>
        </w:rPr>
        <w:t>（一）中标货物品牌、型号、产地、单价：详见附件-供货清单。</w:t>
      </w:r>
    </w:p>
    <w:p w14:paraId="6724C17A">
      <w:pPr>
        <w:spacing w:line="360" w:lineRule="auto"/>
        <w:outlineLvl w:val="9"/>
        <w:rPr>
          <w:rFonts w:hint="eastAsia" w:ascii="宋体" w:hAnsi="宋体" w:eastAsia="宋体" w:cs="宋体"/>
          <w:bCs/>
          <w:sz w:val="24"/>
          <w:szCs w:val="24"/>
        </w:rPr>
      </w:pPr>
      <w:r>
        <w:rPr>
          <w:rFonts w:hint="eastAsia" w:ascii="宋体" w:hAnsi="宋体" w:eastAsia="宋体" w:cs="宋体"/>
          <w:bCs/>
          <w:sz w:val="24"/>
          <w:szCs w:val="24"/>
        </w:rPr>
        <w:t>（二）包装价格，应包括货到甲方指定现场的配套设备及维修、保养等服务全过程费用。</w:t>
      </w:r>
    </w:p>
    <w:p w14:paraId="5897FBB3">
      <w:pPr>
        <w:spacing w:line="360" w:lineRule="auto"/>
        <w:outlineLvl w:val="9"/>
        <w:rPr>
          <w:rFonts w:hint="eastAsia" w:ascii="宋体" w:hAnsi="宋体" w:eastAsia="宋体" w:cs="宋体"/>
          <w:bCs/>
          <w:sz w:val="24"/>
          <w:szCs w:val="24"/>
        </w:rPr>
      </w:pPr>
      <w:r>
        <w:rPr>
          <w:rFonts w:hint="eastAsia" w:ascii="宋体" w:hAnsi="宋体" w:eastAsia="宋体" w:cs="宋体"/>
          <w:bCs/>
          <w:sz w:val="24"/>
          <w:szCs w:val="24"/>
        </w:rPr>
        <w:t>（三）乙方保证向甲方以西安市场最低价格提供货物，如遇陕西市场价格调整降低，乙方必须第一时间通知甲方调整至低价采购。</w:t>
      </w:r>
    </w:p>
    <w:p w14:paraId="25C1494E">
      <w:pPr>
        <w:spacing w:line="360" w:lineRule="auto"/>
        <w:outlineLvl w:val="9"/>
        <w:rPr>
          <w:rFonts w:hint="eastAsia" w:ascii="宋体" w:hAnsi="宋体" w:eastAsia="宋体" w:cs="宋体"/>
          <w:bCs/>
          <w:sz w:val="24"/>
          <w:szCs w:val="24"/>
        </w:rPr>
      </w:pPr>
      <w:r>
        <w:rPr>
          <w:rFonts w:hint="eastAsia" w:ascii="宋体" w:hAnsi="宋体" w:eastAsia="宋体" w:cs="宋体"/>
          <w:bCs/>
          <w:sz w:val="24"/>
          <w:szCs w:val="24"/>
        </w:rPr>
        <w:t>第三条  款项结算</w:t>
      </w:r>
    </w:p>
    <w:p w14:paraId="023D86E5">
      <w:pPr>
        <w:spacing w:line="360" w:lineRule="auto"/>
        <w:outlineLvl w:val="9"/>
        <w:rPr>
          <w:rFonts w:hint="eastAsia" w:ascii="宋体" w:hAnsi="宋体" w:eastAsia="宋体" w:cs="宋体"/>
          <w:bCs/>
          <w:sz w:val="24"/>
          <w:szCs w:val="24"/>
        </w:rPr>
      </w:pPr>
      <w:r>
        <w:rPr>
          <w:rFonts w:hint="eastAsia" w:ascii="宋体" w:hAnsi="宋体" w:eastAsia="宋体" w:cs="宋体"/>
          <w:bCs/>
          <w:sz w:val="24"/>
          <w:szCs w:val="24"/>
        </w:rPr>
        <w:t>（一）协议款由甲方负责结算，在付款前，乙方必须开具全额发票给甲方，否则，甲方有权拒绝付款，无需承担任何责任，且乙方不得以此为由拒绝履行协议义务。</w:t>
      </w:r>
    </w:p>
    <w:p w14:paraId="21B6CA5D">
      <w:pPr>
        <w:spacing w:line="360" w:lineRule="auto"/>
        <w:outlineLvl w:val="9"/>
        <w:rPr>
          <w:rFonts w:hint="eastAsia" w:ascii="宋体" w:hAnsi="宋体" w:eastAsia="宋体" w:cs="宋体"/>
          <w:bCs/>
          <w:sz w:val="24"/>
          <w:szCs w:val="24"/>
        </w:rPr>
      </w:pPr>
      <w:r>
        <w:rPr>
          <w:rFonts w:hint="eastAsia" w:ascii="宋体" w:hAnsi="宋体" w:eastAsia="宋体" w:cs="宋体"/>
          <w:bCs/>
          <w:sz w:val="24"/>
          <w:szCs w:val="24"/>
        </w:rPr>
        <w:t>（二）货到后由甲方验收。验收合格并经甲方办理入库手续并签字确认，货款发票入甲方财务账之日起，3个月内据实结算, 期满后统一支付。</w:t>
      </w:r>
    </w:p>
    <w:p w14:paraId="25F1D29A">
      <w:pPr>
        <w:spacing w:line="360" w:lineRule="auto"/>
        <w:outlineLvl w:val="9"/>
        <w:rPr>
          <w:rFonts w:hint="eastAsia" w:ascii="宋体" w:hAnsi="宋体" w:eastAsia="宋体" w:cs="宋体"/>
          <w:bCs/>
          <w:sz w:val="24"/>
          <w:szCs w:val="24"/>
        </w:rPr>
      </w:pPr>
      <w:r>
        <w:rPr>
          <w:rFonts w:hint="eastAsia" w:ascii="宋体" w:hAnsi="宋体" w:eastAsia="宋体" w:cs="宋体"/>
          <w:bCs/>
          <w:sz w:val="24"/>
          <w:szCs w:val="24"/>
        </w:rPr>
        <w:t>（三）付款方式：甲方和乙方的付款必须仅按照协议中所提供的户名及账户进行银行结算。</w:t>
      </w:r>
    </w:p>
    <w:p w14:paraId="01E4CE37">
      <w:pPr>
        <w:autoSpaceDE w:val="0"/>
        <w:autoSpaceDN w:val="0"/>
        <w:adjustRightInd w:val="0"/>
        <w:spacing w:line="360" w:lineRule="auto"/>
        <w:outlineLvl w:val="9"/>
        <w:rPr>
          <w:rFonts w:hint="eastAsia" w:ascii="宋体" w:hAnsi="宋体" w:eastAsia="宋体" w:cs="宋体"/>
          <w:bCs/>
          <w:sz w:val="24"/>
          <w:szCs w:val="24"/>
          <w:highlight w:val="yellow"/>
          <w:u w:val="single"/>
        </w:rPr>
      </w:pPr>
      <w:r>
        <w:rPr>
          <w:rFonts w:hint="eastAsia" w:ascii="宋体" w:hAnsi="宋体" w:eastAsia="宋体" w:cs="宋体"/>
          <w:bCs/>
          <w:sz w:val="24"/>
          <w:szCs w:val="24"/>
        </w:rPr>
        <w:t>乙方账户信息：</w:t>
      </w:r>
      <w:r>
        <w:rPr>
          <w:rFonts w:hint="eastAsia" w:ascii="宋体" w:hAnsi="宋体" w:eastAsia="宋体" w:cs="宋体"/>
          <w:sz w:val="24"/>
          <w:szCs w:val="24"/>
          <w:u w:val="single"/>
          <w:lang w:val="en-US" w:eastAsia="zh-CN"/>
        </w:rPr>
        <w:t xml:space="preserve">                              </w:t>
      </w:r>
      <w:r>
        <w:rPr>
          <w:rFonts w:hint="eastAsia" w:ascii="宋体" w:hAnsi="宋体" w:eastAsia="宋体" w:cs="宋体"/>
          <w:bCs/>
          <w:sz w:val="24"/>
          <w:szCs w:val="24"/>
        </w:rPr>
        <w:t>，开户银行：</w:t>
      </w:r>
    </w:p>
    <w:p w14:paraId="588859EC">
      <w:pPr>
        <w:autoSpaceDE w:val="0"/>
        <w:autoSpaceDN w:val="0"/>
        <w:adjustRightInd w:val="0"/>
        <w:spacing w:line="360" w:lineRule="auto"/>
        <w:outlineLvl w:val="9"/>
        <w:rPr>
          <w:rFonts w:hint="eastAsia" w:ascii="宋体" w:hAnsi="宋体" w:eastAsia="宋体" w:cs="宋体"/>
          <w:bCs/>
          <w:sz w:val="24"/>
          <w:szCs w:val="24"/>
          <w:u w:val="single"/>
        </w:rPr>
      </w:pPr>
      <w:r>
        <w:rPr>
          <w:rFonts w:hint="eastAsia" w:ascii="宋体" w:hAnsi="宋体" w:eastAsia="宋体" w:cs="宋体"/>
          <w:bCs/>
          <w:sz w:val="24"/>
          <w:szCs w:val="24"/>
        </w:rPr>
        <w:t>帐号：</w:t>
      </w:r>
    </w:p>
    <w:p w14:paraId="7B8A88C7">
      <w:pPr>
        <w:spacing w:line="360" w:lineRule="auto"/>
        <w:outlineLvl w:val="9"/>
        <w:rPr>
          <w:rFonts w:hint="eastAsia" w:ascii="宋体" w:hAnsi="宋体" w:eastAsia="宋体" w:cs="宋体"/>
          <w:bCs/>
          <w:sz w:val="24"/>
          <w:szCs w:val="24"/>
        </w:rPr>
      </w:pPr>
      <w:r>
        <w:rPr>
          <w:rFonts w:hint="eastAsia" w:ascii="宋体" w:hAnsi="宋体" w:eastAsia="宋体" w:cs="宋体"/>
          <w:bCs/>
          <w:sz w:val="24"/>
          <w:szCs w:val="24"/>
        </w:rPr>
        <w:t>第四条  双方的权利和义务</w:t>
      </w:r>
    </w:p>
    <w:p w14:paraId="597BD4E6">
      <w:pPr>
        <w:spacing w:line="360" w:lineRule="auto"/>
        <w:outlineLvl w:val="9"/>
        <w:rPr>
          <w:rFonts w:hint="eastAsia" w:ascii="宋体" w:hAnsi="宋体" w:eastAsia="宋体" w:cs="宋体"/>
          <w:bCs/>
          <w:sz w:val="24"/>
          <w:szCs w:val="24"/>
        </w:rPr>
      </w:pPr>
      <w:r>
        <w:rPr>
          <w:rFonts w:hint="eastAsia" w:ascii="宋体" w:hAnsi="宋体" w:eastAsia="宋体" w:cs="宋体"/>
          <w:bCs/>
          <w:sz w:val="24"/>
          <w:szCs w:val="24"/>
        </w:rPr>
        <w:t>（一）甲方责任</w:t>
      </w:r>
    </w:p>
    <w:p w14:paraId="003B0436">
      <w:pPr>
        <w:spacing w:line="360" w:lineRule="auto"/>
        <w:ind w:firstLine="480" w:firstLineChars="200"/>
        <w:outlineLvl w:val="9"/>
        <w:rPr>
          <w:rFonts w:hint="eastAsia" w:ascii="宋体" w:hAnsi="宋体" w:eastAsia="宋体" w:cs="宋体"/>
          <w:bCs/>
          <w:sz w:val="24"/>
          <w:szCs w:val="24"/>
        </w:rPr>
      </w:pPr>
      <w:r>
        <w:rPr>
          <w:rFonts w:hint="eastAsia" w:ascii="宋体" w:hAnsi="宋体" w:eastAsia="宋体" w:cs="宋体"/>
          <w:bCs/>
          <w:sz w:val="24"/>
          <w:szCs w:val="24"/>
        </w:rPr>
        <w:t>负责核准、认定本项目相关技术资料文档；监督、参与项目执行的整个过程（包括</w:t>
      </w:r>
      <w:r>
        <w:rPr>
          <w:rFonts w:hint="eastAsia" w:ascii="宋体" w:hAnsi="宋体" w:eastAsia="宋体" w:cs="宋体"/>
          <w:sz w:val="24"/>
          <w:szCs w:val="24"/>
        </w:rPr>
        <w:t>对货物数量、质量等验收</w:t>
      </w:r>
      <w:r>
        <w:rPr>
          <w:rFonts w:hint="eastAsia" w:ascii="宋体" w:hAnsi="宋体" w:eastAsia="宋体" w:cs="宋体"/>
          <w:bCs/>
          <w:sz w:val="24"/>
          <w:szCs w:val="24"/>
        </w:rPr>
        <w:t>，人员培训、售后服务等）；为乙方提供必要的工作条件，按照协议约定支付协议款项。</w:t>
      </w:r>
    </w:p>
    <w:p w14:paraId="0B3F1A4B">
      <w:pPr>
        <w:spacing w:line="360" w:lineRule="auto"/>
        <w:outlineLvl w:val="9"/>
        <w:rPr>
          <w:rFonts w:hint="eastAsia" w:ascii="宋体" w:hAnsi="宋体" w:eastAsia="宋体" w:cs="宋体"/>
          <w:bCs/>
          <w:sz w:val="24"/>
          <w:szCs w:val="24"/>
        </w:rPr>
      </w:pPr>
      <w:r>
        <w:rPr>
          <w:rFonts w:hint="eastAsia" w:ascii="宋体" w:hAnsi="宋体" w:eastAsia="宋体" w:cs="宋体"/>
          <w:bCs/>
          <w:sz w:val="24"/>
          <w:szCs w:val="24"/>
        </w:rPr>
        <w:t>（二）乙方责任</w:t>
      </w:r>
    </w:p>
    <w:p w14:paraId="5DFB54C7">
      <w:pPr>
        <w:spacing w:line="360" w:lineRule="auto"/>
        <w:ind w:firstLine="480" w:firstLineChars="200"/>
        <w:outlineLvl w:val="9"/>
        <w:rPr>
          <w:rFonts w:hint="eastAsia" w:ascii="宋体" w:hAnsi="宋体" w:eastAsia="宋体" w:cs="宋体"/>
          <w:bCs/>
          <w:sz w:val="24"/>
          <w:szCs w:val="24"/>
        </w:rPr>
      </w:pPr>
      <w:r>
        <w:rPr>
          <w:rFonts w:hint="eastAsia" w:ascii="宋体" w:hAnsi="宋体" w:eastAsia="宋体" w:cs="宋体"/>
          <w:bCs/>
          <w:sz w:val="24"/>
          <w:szCs w:val="24"/>
        </w:rPr>
        <w:t>为甲方提交货物质检报告；负责包装符合国家相关标准的运输、贮存、保险、安装等。</w:t>
      </w:r>
    </w:p>
    <w:p w14:paraId="1D812906">
      <w:pPr>
        <w:spacing w:line="360" w:lineRule="auto"/>
        <w:outlineLvl w:val="9"/>
        <w:rPr>
          <w:rFonts w:hint="eastAsia" w:ascii="宋体" w:hAnsi="宋体" w:eastAsia="宋体" w:cs="宋体"/>
          <w:bCs/>
          <w:sz w:val="24"/>
          <w:szCs w:val="24"/>
        </w:rPr>
      </w:pPr>
      <w:r>
        <w:rPr>
          <w:rFonts w:hint="eastAsia" w:ascii="宋体" w:hAnsi="宋体" w:eastAsia="宋体" w:cs="宋体"/>
          <w:bCs/>
          <w:sz w:val="24"/>
          <w:szCs w:val="24"/>
        </w:rPr>
        <w:t>第五条  交货条件</w:t>
      </w:r>
    </w:p>
    <w:p w14:paraId="006F4E7B">
      <w:pPr>
        <w:spacing w:line="360" w:lineRule="auto"/>
        <w:outlineLvl w:val="9"/>
        <w:rPr>
          <w:rFonts w:hint="eastAsia" w:ascii="宋体" w:hAnsi="宋体" w:eastAsia="宋体" w:cs="宋体"/>
          <w:bCs/>
          <w:sz w:val="24"/>
          <w:szCs w:val="24"/>
          <w:lang w:val="en-US" w:eastAsia="zh-CN"/>
        </w:rPr>
      </w:pPr>
      <w:r>
        <w:rPr>
          <w:rFonts w:hint="eastAsia" w:ascii="宋体" w:hAnsi="宋体" w:eastAsia="宋体" w:cs="宋体"/>
          <w:bCs/>
          <w:sz w:val="24"/>
          <w:szCs w:val="24"/>
        </w:rPr>
        <w:t>（一）交货地点：陕西省人民</w:t>
      </w:r>
      <w:r>
        <w:rPr>
          <w:rFonts w:hint="eastAsia" w:ascii="宋体" w:hAnsi="宋体" w:eastAsia="宋体" w:cs="宋体"/>
          <w:bCs/>
          <w:sz w:val="24"/>
          <w:szCs w:val="24"/>
          <w:lang w:val="en-US" w:eastAsia="zh-CN"/>
        </w:rPr>
        <w:t>医院指定地点</w:t>
      </w:r>
    </w:p>
    <w:p w14:paraId="0B02A05A">
      <w:pPr>
        <w:spacing w:line="360" w:lineRule="auto"/>
        <w:ind w:firstLine="480" w:firstLineChars="200"/>
        <w:outlineLvl w:val="9"/>
        <w:rPr>
          <w:rFonts w:hint="eastAsia" w:ascii="宋体" w:hAnsi="宋体" w:eastAsia="宋体" w:cs="宋体"/>
          <w:sz w:val="24"/>
          <w:szCs w:val="24"/>
        </w:rPr>
      </w:pPr>
      <w:r>
        <w:rPr>
          <w:rFonts w:hint="eastAsia" w:ascii="宋体" w:hAnsi="宋体" w:eastAsia="宋体" w:cs="宋体"/>
          <w:sz w:val="24"/>
          <w:szCs w:val="24"/>
        </w:rPr>
        <w:t>乙方应随同货物提供相应的中文技术文件（包括合格证明、货物清单、使用说明等），现场搬运至甲方指定位置。</w:t>
      </w:r>
    </w:p>
    <w:p w14:paraId="61FA72ED">
      <w:pPr>
        <w:spacing w:line="360" w:lineRule="auto"/>
        <w:outlineLvl w:val="9"/>
        <w:rPr>
          <w:rFonts w:hint="eastAsia" w:ascii="宋体" w:hAnsi="宋体" w:eastAsia="宋体" w:cs="宋体"/>
          <w:bCs/>
          <w:sz w:val="24"/>
          <w:szCs w:val="24"/>
        </w:rPr>
      </w:pPr>
      <w:r>
        <w:rPr>
          <w:rFonts w:hint="eastAsia" w:ascii="宋体" w:hAnsi="宋体" w:eastAsia="宋体" w:cs="宋体"/>
          <w:sz w:val="24"/>
          <w:szCs w:val="24"/>
        </w:rPr>
        <w:t>（二）交货期：协议签订之日起，</w:t>
      </w:r>
      <w:r>
        <w:rPr>
          <w:rFonts w:hint="eastAsia" w:ascii="宋体" w:hAnsi="宋体" w:eastAsia="宋体" w:cs="宋体"/>
          <w:bCs/>
          <w:sz w:val="24"/>
          <w:szCs w:val="24"/>
        </w:rPr>
        <w:t>按照甲方通知将货物分批次运送到甲方指定位置并交付使用，急需货物（包括技术服务）4小时内送达,一般货物三日内送达。服务期限至</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u w:val="single"/>
        </w:rPr>
        <w:t>。</w:t>
      </w:r>
    </w:p>
    <w:p w14:paraId="2517ECA4">
      <w:pPr>
        <w:spacing w:line="360" w:lineRule="auto"/>
        <w:outlineLvl w:val="9"/>
        <w:rPr>
          <w:rFonts w:hint="eastAsia" w:ascii="宋体" w:hAnsi="宋体" w:eastAsia="宋体" w:cs="宋体"/>
          <w:bCs/>
          <w:sz w:val="24"/>
          <w:szCs w:val="24"/>
        </w:rPr>
      </w:pPr>
      <w:r>
        <w:rPr>
          <w:rFonts w:hint="eastAsia" w:ascii="宋体" w:hAnsi="宋体" w:eastAsia="宋体" w:cs="宋体"/>
          <w:bCs/>
          <w:sz w:val="24"/>
          <w:szCs w:val="24"/>
        </w:rPr>
        <w:t>第六条  运输</w:t>
      </w:r>
    </w:p>
    <w:p w14:paraId="0BEA84E5">
      <w:pPr>
        <w:spacing w:line="360" w:lineRule="auto"/>
        <w:outlineLvl w:val="9"/>
        <w:rPr>
          <w:rFonts w:hint="eastAsia" w:ascii="宋体" w:hAnsi="宋体" w:eastAsia="宋体" w:cs="宋体"/>
          <w:bCs/>
          <w:sz w:val="24"/>
          <w:szCs w:val="24"/>
        </w:rPr>
      </w:pPr>
      <w:r>
        <w:rPr>
          <w:rFonts w:hint="eastAsia" w:ascii="宋体" w:hAnsi="宋体" w:eastAsia="宋体" w:cs="宋体"/>
          <w:bCs/>
          <w:sz w:val="24"/>
          <w:szCs w:val="24"/>
        </w:rPr>
        <w:t>（一）运输由乙方负责，运杂费包含在货物协议单价内，包括但不限于货物运输所含的运输费、装卸费、仓储费、保险费等。</w:t>
      </w:r>
    </w:p>
    <w:p w14:paraId="120DEAED">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（二）乙方保证货物安全、按期运送到达甲方指定交货地点，在交付甲方</w:t>
      </w:r>
      <w:r>
        <w:rPr>
          <w:rFonts w:hint="eastAsia" w:ascii="宋体" w:hAnsi="宋体" w:eastAsia="宋体" w:cs="宋体"/>
          <w:sz w:val="24"/>
          <w:szCs w:val="24"/>
          <w:lang w:val="en-US" w:eastAsia="zh-CN"/>
        </w:rPr>
        <w:t>验收合格</w:t>
      </w:r>
      <w:r>
        <w:rPr>
          <w:rFonts w:hint="eastAsia" w:ascii="宋体" w:hAnsi="宋体" w:eastAsia="宋体" w:cs="宋体"/>
          <w:sz w:val="24"/>
          <w:szCs w:val="24"/>
        </w:rPr>
        <w:t>前发生的不可预见的风险均由乙方承担。</w:t>
      </w:r>
    </w:p>
    <w:p w14:paraId="6E6921A2">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第七条  乙方质量保证</w:t>
      </w:r>
    </w:p>
    <w:p w14:paraId="667E093C">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（一）乙方所供货物保证技术指标符合要求、质量性能可靠、进货渠道正常，全面满足招标文件要求</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且货物不存在任何权利瑕疵</w:t>
      </w:r>
      <w:r>
        <w:rPr>
          <w:rFonts w:hint="eastAsia" w:ascii="宋体" w:hAnsi="宋体" w:eastAsia="宋体" w:cs="宋体"/>
          <w:sz w:val="24"/>
          <w:szCs w:val="24"/>
        </w:rPr>
        <w:t>。</w:t>
      </w:r>
    </w:p>
    <w:p w14:paraId="3F5660CC">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（二）乙方所供货物如出现质量问题，</w:t>
      </w:r>
      <w:r>
        <w:rPr>
          <w:rFonts w:hint="eastAsia" w:ascii="宋体" w:hAnsi="宋体" w:eastAsia="宋体" w:cs="宋体"/>
          <w:sz w:val="24"/>
          <w:szCs w:val="24"/>
          <w:lang w:val="en-US" w:eastAsia="zh-CN"/>
        </w:rPr>
        <w:t>甲方</w:t>
      </w:r>
      <w:r>
        <w:rPr>
          <w:rFonts w:hint="eastAsia" w:ascii="宋体" w:hAnsi="宋体" w:eastAsia="宋体" w:cs="宋体"/>
          <w:sz w:val="24"/>
          <w:szCs w:val="24"/>
        </w:rPr>
        <w:t>可以选择换货。</w:t>
      </w:r>
      <w:r>
        <w:rPr>
          <w:rFonts w:hint="eastAsia" w:ascii="宋体" w:hAnsi="宋体" w:eastAsia="宋体" w:cs="宋体"/>
          <w:sz w:val="24"/>
          <w:szCs w:val="24"/>
          <w:lang w:val="en-US" w:eastAsia="zh-CN"/>
        </w:rPr>
        <w:t>换货后依然无法达到质量要求，甲方有权退货并终止合同，由此造成的损失全部由乙方承担。</w:t>
      </w:r>
    </w:p>
    <w:p w14:paraId="45CC8EC8">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三）据实结算3个月期间乙方承担相应质量保证责任，质量保证期间内货物质量不符合本协议约定的技术、质量要求，给甲方造成的损失即按照本协议约定应承担的违约责任，甲方有权在尚未支付价款中直接扣减相关损失费用。</w:t>
      </w:r>
    </w:p>
    <w:p w14:paraId="7A9E9DB0">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第八条  乙方免费提供技术服务</w:t>
      </w:r>
    </w:p>
    <w:p w14:paraId="277B6EDD">
      <w:pPr>
        <w:numPr>
          <w:ilvl w:val="0"/>
          <w:numId w:val="1"/>
        </w:numPr>
        <w:spacing w:line="360" w:lineRule="auto"/>
        <w:outlineLvl w:val="9"/>
        <w:rPr>
          <w:rFonts w:hint="eastAsia" w:ascii="宋体" w:hAnsi="宋体" w:eastAsia="宋体" w:cs="宋体"/>
          <w:sz w:val="24"/>
          <w:szCs w:val="24"/>
        </w:rPr>
      </w:pPr>
      <w:r>
        <w:rPr>
          <w:rFonts w:hint="eastAsia" w:ascii="宋体" w:hAnsi="宋体" w:eastAsia="宋体" w:cs="宋体"/>
          <w:sz w:val="24"/>
          <w:szCs w:val="24"/>
        </w:rPr>
        <w:t>乙方交货时需同时交付的技术资料</w:t>
      </w:r>
    </w:p>
    <w:p w14:paraId="57296D31">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1、货物合格证明；</w:t>
      </w:r>
    </w:p>
    <w:p w14:paraId="72B88D8F">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2、货物使用说明书（中文）；</w:t>
      </w:r>
    </w:p>
    <w:p w14:paraId="2DF471DC">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3、其他资料。</w:t>
      </w:r>
    </w:p>
    <w:p w14:paraId="72BB32B5">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（二）服务承诺</w:t>
      </w:r>
    </w:p>
    <w:p w14:paraId="4A5D2C81">
      <w:pPr>
        <w:spacing w:line="360" w:lineRule="auto"/>
        <w:outlineLvl w:val="9"/>
        <w:rPr>
          <w:rFonts w:hint="eastAsia" w:ascii="宋体" w:hAnsi="宋体" w:eastAsia="宋体" w:cs="宋体"/>
          <w:bCs/>
          <w:sz w:val="24"/>
          <w:szCs w:val="24"/>
        </w:rPr>
      </w:pPr>
      <w:r>
        <w:rPr>
          <w:rFonts w:hint="eastAsia" w:ascii="宋体" w:hAnsi="宋体" w:eastAsia="宋体" w:cs="宋体"/>
          <w:sz w:val="24"/>
          <w:szCs w:val="24"/>
        </w:rPr>
        <w:t>1、</w:t>
      </w:r>
      <w:r>
        <w:rPr>
          <w:rFonts w:hint="eastAsia" w:ascii="宋体" w:hAnsi="宋体" w:eastAsia="宋体" w:cs="宋体"/>
          <w:bCs/>
          <w:sz w:val="24"/>
          <w:szCs w:val="24"/>
        </w:rPr>
        <w:t>在接到甲方的服务或咨询请求后乙方技术或有关人员须在两小时之内到达甲方相关科室。乙方接到甲方通知后，未在约定时间答复或者进行处理的，甲方可自行组织解决，因此产生的</w:t>
      </w:r>
      <w:r>
        <w:rPr>
          <w:rFonts w:hint="eastAsia" w:ascii="宋体" w:hAnsi="宋体" w:eastAsia="宋体" w:cs="宋体"/>
          <w:bCs/>
          <w:sz w:val="24"/>
          <w:szCs w:val="24"/>
          <w:lang w:val="en-US" w:eastAsia="zh-CN"/>
        </w:rPr>
        <w:t>全部</w:t>
      </w:r>
      <w:r>
        <w:rPr>
          <w:rFonts w:hint="eastAsia" w:ascii="宋体" w:hAnsi="宋体" w:eastAsia="宋体" w:cs="宋体"/>
          <w:bCs/>
          <w:sz w:val="24"/>
          <w:szCs w:val="24"/>
        </w:rPr>
        <w:t>费用由乙方承担。</w:t>
      </w:r>
    </w:p>
    <w:p w14:paraId="42C0DD2A">
      <w:pPr>
        <w:spacing w:line="360" w:lineRule="auto"/>
        <w:outlineLvl w:val="9"/>
        <w:rPr>
          <w:rFonts w:hint="eastAsia" w:ascii="宋体" w:hAnsi="宋体" w:eastAsia="宋体" w:cs="宋体"/>
          <w:bCs/>
          <w:sz w:val="24"/>
          <w:szCs w:val="24"/>
        </w:rPr>
      </w:pPr>
      <w:r>
        <w:rPr>
          <w:rFonts w:hint="eastAsia" w:ascii="宋体" w:hAnsi="宋体" w:eastAsia="宋体" w:cs="宋体"/>
          <w:bCs/>
          <w:sz w:val="24"/>
          <w:szCs w:val="24"/>
        </w:rPr>
        <w:t>2、乙方在装卸货物、调试、维修服务过程发生的乙方工作人员、雇员人身损害及造成的安全事故，均由乙方承担，与甲方无关。</w:t>
      </w:r>
    </w:p>
    <w:p w14:paraId="0E469B59">
      <w:pPr>
        <w:spacing w:line="360" w:lineRule="auto"/>
        <w:outlineLvl w:val="9"/>
        <w:rPr>
          <w:rFonts w:hint="eastAsia" w:ascii="宋体" w:hAnsi="宋体" w:eastAsia="宋体" w:cs="宋体"/>
          <w:sz w:val="24"/>
          <w:szCs w:val="24"/>
        </w:rPr>
      </w:pPr>
      <w:r>
        <w:rPr>
          <w:rFonts w:hint="eastAsia" w:ascii="宋体" w:hAnsi="宋体" w:eastAsia="宋体" w:cs="宋体"/>
          <w:bCs/>
          <w:sz w:val="24"/>
          <w:szCs w:val="24"/>
        </w:rPr>
        <w:t>第九条  其它约定</w:t>
      </w:r>
    </w:p>
    <w:p w14:paraId="46E1D2DE">
      <w:pPr>
        <w:spacing w:line="360" w:lineRule="auto"/>
        <w:ind w:firstLine="480" w:firstLineChars="200"/>
        <w:outlineLvl w:val="9"/>
        <w:rPr>
          <w:rFonts w:hint="eastAsia" w:ascii="宋体" w:hAnsi="宋体" w:eastAsia="宋体" w:cs="宋体"/>
          <w:sz w:val="24"/>
          <w:szCs w:val="24"/>
        </w:rPr>
      </w:pPr>
      <w:r>
        <w:rPr>
          <w:rFonts w:hint="eastAsia" w:ascii="宋体" w:hAnsi="宋体" w:eastAsia="宋体" w:cs="宋体"/>
          <w:sz w:val="24"/>
          <w:szCs w:val="24"/>
          <w:highlight w:val="none"/>
        </w:rPr>
        <w:t>甲方以对乙方未予支付的三个月挂账货款作为货物质量保证金。</w:t>
      </w:r>
      <w:r>
        <w:rPr>
          <w:rFonts w:hint="eastAsia" w:ascii="宋体" w:hAnsi="宋体" w:eastAsia="宋体" w:cs="宋体"/>
          <w:sz w:val="24"/>
          <w:szCs w:val="24"/>
        </w:rPr>
        <w:t>若可能发生涉及货物质量的医患纠纷，甲方有权冻结乙方的未付货款，乙方有责任和义务解决因货物质量引起的不良事件；在纠纷未解决且不能排除货物因素前，甲方有权直接从冻结货款中支出患者的医疗费用等。乙方与甲方终止采供协议后，未付的三个月货款在满12个月后付清。</w:t>
      </w:r>
    </w:p>
    <w:p w14:paraId="5437F814">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第十条  违约责任</w:t>
      </w:r>
    </w:p>
    <w:p w14:paraId="6EBACBBC">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（一）按《民</w:t>
      </w:r>
      <w:bookmarkStart w:id="0" w:name="_GoBack"/>
      <w:r>
        <w:rPr>
          <w:rFonts w:hint="eastAsia" w:ascii="宋体" w:hAnsi="宋体" w:eastAsia="宋体" w:cs="宋体"/>
          <w:sz w:val="24"/>
          <w:szCs w:val="24"/>
        </w:rPr>
        <w:t>法</w:t>
      </w:r>
      <w:bookmarkEnd w:id="0"/>
      <w:r>
        <w:rPr>
          <w:rFonts w:hint="eastAsia" w:ascii="宋体" w:hAnsi="宋体" w:eastAsia="宋体" w:cs="宋体"/>
          <w:sz w:val="24"/>
          <w:szCs w:val="24"/>
        </w:rPr>
        <w:t>典》中的相关条款执行。</w:t>
      </w:r>
    </w:p>
    <w:p w14:paraId="13A8A494">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（二）甲方责任</w:t>
      </w:r>
    </w:p>
    <w:p w14:paraId="0B6C9101">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1、除乙方产品不符合本协议约定的规格、质量、技术要求外，甲方不得中途退货或者拒绝提货。</w:t>
      </w:r>
    </w:p>
    <w:p w14:paraId="225395A5">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2、甲方应按协议约定的时间向乙方付款，如果甲方延迟付款，乙方</w:t>
      </w:r>
      <w:r>
        <w:rPr>
          <w:rFonts w:hint="eastAsia" w:ascii="宋体" w:hAnsi="宋体" w:eastAsia="宋体" w:cs="宋体"/>
          <w:bCs/>
          <w:sz w:val="24"/>
          <w:szCs w:val="24"/>
        </w:rPr>
        <w:t>有权终止协议执行</w:t>
      </w:r>
      <w:r>
        <w:rPr>
          <w:rFonts w:hint="eastAsia" w:ascii="宋体" w:hAnsi="宋体" w:eastAsia="宋体" w:cs="宋体"/>
          <w:sz w:val="24"/>
          <w:szCs w:val="24"/>
        </w:rPr>
        <w:t>。</w:t>
      </w:r>
    </w:p>
    <w:p w14:paraId="4E7AB66F">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（三）乙方责任</w:t>
      </w:r>
    </w:p>
    <w:p w14:paraId="39EF2A4C">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1、乙方未能按期履行协议或乙方未按协议要求提供货物或货物质量不能满足招标技术要求，甲方有权解除协议，并对乙方的违约行为进行追究，同时按《中华人民共和国政府采购法》和陕西省政府采购供应商管理办法进行相应的处罚，因此给甲方造成的一切损失均由乙方承担。</w:t>
      </w:r>
    </w:p>
    <w:p w14:paraId="182D7048">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2、乙方延迟交货，每超过一天，应按协议货物价款的5‰支付甲方违约金，该违约金直接在货款中扣除。除不可抗力导致的迟延交货外，乙方迟延交货30天，甲方有权单方解除本协议，乙方应当支付甲方货物价值的10%的违约金。乙方未按协议、招标书的要求或投标书的承诺按时提供产品、货物质量不能满足甲方技术要求或乙方的相关服务不到位，影响甲方正常的医疗工作，甲方有权终止协议，取消乙方的供货资格，有权没收乙方的挂账货款。</w:t>
      </w:r>
    </w:p>
    <w:p w14:paraId="0241ACE2">
      <w:pPr>
        <w:spacing w:line="360" w:lineRule="auto"/>
        <w:outlineLvl w:val="9"/>
        <w:rPr>
          <w:rFonts w:hint="eastAsia" w:ascii="宋体" w:hAnsi="宋体" w:eastAsia="宋体" w:cs="宋体"/>
          <w:bCs/>
          <w:sz w:val="24"/>
          <w:szCs w:val="24"/>
        </w:rPr>
      </w:pPr>
      <w:r>
        <w:rPr>
          <w:rFonts w:hint="eastAsia" w:ascii="宋体" w:hAnsi="宋体" w:eastAsia="宋体" w:cs="宋体"/>
          <w:bCs/>
          <w:sz w:val="24"/>
          <w:szCs w:val="24"/>
        </w:rPr>
        <w:t>3、乙方保证向甲方以西安市场最优惠的价格提供货物，否则甲方有权随时终止协议执行，重新组织招标。</w:t>
      </w:r>
    </w:p>
    <w:p w14:paraId="41C1E1D5">
      <w:pPr>
        <w:spacing w:line="360" w:lineRule="auto"/>
        <w:outlineLvl w:val="9"/>
        <w:rPr>
          <w:rFonts w:hint="eastAsia" w:ascii="宋体" w:hAnsi="宋体" w:eastAsia="宋体" w:cs="宋体"/>
          <w:bCs/>
          <w:sz w:val="24"/>
          <w:szCs w:val="24"/>
        </w:rPr>
      </w:pPr>
      <w:r>
        <w:rPr>
          <w:rFonts w:hint="eastAsia" w:ascii="宋体" w:hAnsi="宋体" w:eastAsia="宋体" w:cs="宋体"/>
          <w:bCs/>
          <w:sz w:val="24"/>
          <w:szCs w:val="24"/>
        </w:rPr>
        <w:t>4、遇乙方货物政策性价格调整，乙方须如实及时通知甲方，双方可重新协商货物供应价格。</w:t>
      </w:r>
    </w:p>
    <w:p w14:paraId="004562EF">
      <w:pPr>
        <w:spacing w:line="360" w:lineRule="auto"/>
        <w:outlineLvl w:val="9"/>
        <w:rPr>
          <w:rFonts w:hint="eastAsia" w:ascii="宋体" w:hAnsi="宋体" w:eastAsia="宋体" w:cs="宋体"/>
          <w:bCs/>
          <w:sz w:val="24"/>
          <w:szCs w:val="24"/>
        </w:rPr>
      </w:pPr>
      <w:r>
        <w:rPr>
          <w:rFonts w:hint="eastAsia" w:ascii="宋体" w:hAnsi="宋体" w:eastAsia="宋体" w:cs="宋体"/>
          <w:bCs/>
          <w:sz w:val="24"/>
          <w:szCs w:val="24"/>
        </w:rPr>
        <w:t>5、在甲方重新组织招标前，乙方在未征得甲方同意前，不得终止货物供应。</w:t>
      </w:r>
    </w:p>
    <w:p w14:paraId="1D6FAF1B">
      <w:pPr>
        <w:spacing w:line="360" w:lineRule="auto"/>
        <w:outlineLvl w:val="9"/>
        <w:rPr>
          <w:rFonts w:hint="eastAsia" w:ascii="宋体" w:hAnsi="宋体" w:eastAsia="宋体" w:cs="宋体"/>
          <w:bCs/>
          <w:sz w:val="24"/>
          <w:szCs w:val="24"/>
        </w:rPr>
      </w:pPr>
      <w:r>
        <w:rPr>
          <w:rFonts w:hint="eastAsia" w:ascii="宋体" w:hAnsi="宋体" w:eastAsia="宋体" w:cs="宋体"/>
          <w:bCs/>
          <w:sz w:val="24"/>
          <w:szCs w:val="24"/>
        </w:rPr>
        <w:t>6、本协议若与甲方的上级管理机关的政策性行为或其他规定发生冲突，甲方有权与乙方协商调整协议内容或终止协议执行。</w:t>
      </w:r>
    </w:p>
    <w:p w14:paraId="7F12FBC1">
      <w:pPr>
        <w:spacing w:line="360" w:lineRule="auto"/>
        <w:outlineLvl w:val="9"/>
        <w:rPr>
          <w:rFonts w:hint="eastAsia" w:ascii="宋体" w:hAnsi="宋体" w:eastAsia="宋体" w:cs="宋体"/>
          <w:bCs/>
          <w:sz w:val="24"/>
          <w:szCs w:val="24"/>
        </w:rPr>
      </w:pPr>
      <w:r>
        <w:rPr>
          <w:rFonts w:hint="eastAsia" w:ascii="宋体" w:hAnsi="宋体" w:eastAsia="宋体" w:cs="宋体"/>
          <w:bCs/>
          <w:sz w:val="24"/>
          <w:szCs w:val="24"/>
        </w:rPr>
        <w:t>7、乙方供应甲方的货物应符合国家“两票制”政策，如乙方提供货物部分种类、型号、批次等不符合“两票制”政策要求，乙方需对此部分承担相应违约责任，甲方有权就此部分提出包括但不限于合同部分解除、退还已支付价款等。</w:t>
      </w:r>
    </w:p>
    <w:p w14:paraId="25771866">
      <w:pPr>
        <w:spacing w:line="360" w:lineRule="auto"/>
        <w:outlineLvl w:val="9"/>
        <w:rPr>
          <w:rFonts w:hint="eastAsia" w:ascii="宋体" w:hAnsi="宋体" w:eastAsia="宋体" w:cs="宋体"/>
          <w:sz w:val="24"/>
          <w:szCs w:val="24"/>
        </w:rPr>
      </w:pPr>
      <w:r>
        <w:rPr>
          <w:rFonts w:hint="eastAsia" w:ascii="宋体" w:hAnsi="宋体" w:eastAsia="宋体" w:cs="宋体"/>
          <w:bCs/>
          <w:sz w:val="24"/>
          <w:szCs w:val="24"/>
        </w:rPr>
        <w:t>8、如果甲方实行集中配送，乙方负责协议中的货物生产企业授权给甲方遴选的配送企业，确保“两票制”执行，供货价不高于中标价。</w:t>
      </w:r>
    </w:p>
    <w:p w14:paraId="2BCACFF9">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9、乙方对甲方解除协议不予认可，应在收到甲方书面解除通知之日起7日内依法提出异议。</w:t>
      </w:r>
    </w:p>
    <w:p w14:paraId="67EF76F2">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10、乙方供应的产品经过两次验收，达不到合格的，甲方有权解除本协议，且乙方应当一次性支付甲方货物价值的10%的违约金。</w:t>
      </w:r>
    </w:p>
    <w:p w14:paraId="584AAFE7">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第十一条  不可抗力</w:t>
      </w:r>
    </w:p>
    <w:p w14:paraId="6E2D3CFE">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（一）本协议不可抗力指地震、台风、火灾、战争、罢工以及其他双方不能预见、不能避免并不能克服的客观情况。</w:t>
      </w:r>
    </w:p>
    <w:p w14:paraId="50674803">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（二）由于不可抗力致使协议无法正常履行的，受不可抗力影响一方应立即将不能履行本协议的事实书面通知对方，乙方负责按照甲方要求应急解决。</w:t>
      </w:r>
    </w:p>
    <w:p w14:paraId="28C12F48">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（三）本协议在不可抗力影响范围及其持续期间内将中止履行，双方无需承担违约责任。如果不可抗力原因造成本协议中止履行超过60天，任何一方均有权解除协议。</w:t>
      </w:r>
    </w:p>
    <w:p w14:paraId="317FE505">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（四）一方迟延履行后发生不可抗力的，不能免除责任。</w:t>
      </w:r>
    </w:p>
    <w:p w14:paraId="778B7E68">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第十二条  验收</w:t>
      </w:r>
    </w:p>
    <w:p w14:paraId="2D9296F7">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（一）产品验收</w:t>
      </w:r>
    </w:p>
    <w:p w14:paraId="7428726A">
      <w:pPr>
        <w:spacing w:line="360" w:lineRule="auto"/>
        <w:outlineLvl w:val="9"/>
        <w:rPr>
          <w:rFonts w:hint="eastAsia" w:ascii="宋体" w:hAnsi="宋体" w:eastAsia="宋体" w:cs="宋体"/>
          <w:bCs/>
          <w:sz w:val="24"/>
          <w:szCs w:val="24"/>
        </w:rPr>
      </w:pPr>
      <w:r>
        <w:rPr>
          <w:rFonts w:hint="eastAsia" w:ascii="宋体" w:hAnsi="宋体" w:eastAsia="宋体" w:cs="宋体"/>
          <w:sz w:val="24"/>
          <w:szCs w:val="24"/>
        </w:rPr>
        <w:t>1、甲方应在产品到货且接到乙方书面随货同行单后当日内验收；甲方</w:t>
      </w:r>
      <w:r>
        <w:rPr>
          <w:rFonts w:hint="eastAsia" w:ascii="宋体" w:hAnsi="宋体" w:eastAsia="宋体" w:cs="宋体"/>
          <w:bCs/>
          <w:sz w:val="24"/>
          <w:szCs w:val="24"/>
        </w:rPr>
        <w:t>耗材试剂部与使用科室及乙方共同验收。</w:t>
      </w:r>
      <w:r>
        <w:rPr>
          <w:rFonts w:hint="eastAsia" w:ascii="宋体" w:hAnsi="宋体" w:eastAsia="宋体" w:cs="宋体"/>
          <w:sz w:val="24"/>
          <w:szCs w:val="24"/>
        </w:rPr>
        <w:t>对货物进行数量、质量等验收，验收合格者，甲方验收人在随货同行单上签字确认。</w:t>
      </w:r>
    </w:p>
    <w:p w14:paraId="36139DBA">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2、甲方因使用、保管、保养不善等造成产品质量下降的，不得提出异议。</w:t>
      </w:r>
    </w:p>
    <w:p w14:paraId="1CC07234">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3、乙方在接到甲方书面异议之日起，应在当日内予以回复，否则，即视为默认甲方提出的异议和处理意见。</w:t>
      </w:r>
    </w:p>
    <w:p w14:paraId="205DF904">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4、验收不合格的，乙方负责更换为合格产品，因此产生的费用和给甲方造成的损失均由乙方负责。</w:t>
      </w:r>
    </w:p>
    <w:p w14:paraId="0F08B8D5">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5、乙方出售产品的毁损灭失风险，在甲方验收合格并接收前，由乙方承担。</w:t>
      </w:r>
    </w:p>
    <w:p w14:paraId="277D3D16">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（二）乙方向甲方提交货物的所有资料，以便甲方日常管理和维护。</w:t>
      </w:r>
    </w:p>
    <w:p w14:paraId="084FFB1B">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（三）验收依据</w:t>
      </w:r>
    </w:p>
    <w:p w14:paraId="0CF190AD">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1、招标文件、投标文件、澄清表（函）；</w:t>
      </w:r>
    </w:p>
    <w:p w14:paraId="4B6E2657">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2、本协议及附件文件；</w:t>
      </w:r>
    </w:p>
    <w:p w14:paraId="5E1159CA">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3、国家相应的标准、规范。</w:t>
      </w:r>
    </w:p>
    <w:p w14:paraId="1A1DE8F7">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第十三条  协议争议解决的方式</w:t>
      </w:r>
    </w:p>
    <w:p w14:paraId="3B1242B2">
      <w:pPr>
        <w:spacing w:line="360" w:lineRule="auto"/>
        <w:ind w:firstLine="480" w:firstLineChars="200"/>
        <w:outlineLvl w:val="9"/>
        <w:rPr>
          <w:rFonts w:hint="eastAsia" w:ascii="宋体" w:hAnsi="宋体" w:eastAsia="宋体" w:cs="宋体"/>
          <w:sz w:val="24"/>
          <w:szCs w:val="24"/>
        </w:rPr>
      </w:pPr>
      <w:r>
        <w:rPr>
          <w:rFonts w:hint="eastAsia" w:ascii="宋体" w:hAnsi="宋体" w:eastAsia="宋体" w:cs="宋体"/>
          <w:sz w:val="24"/>
          <w:szCs w:val="24"/>
        </w:rPr>
        <w:t>本协议在履行过程中发生的争议，由甲、乙双方当事人协商解决；协商不成的，任意一方应向甲方所在地人民法院起诉。</w:t>
      </w:r>
    </w:p>
    <w:p w14:paraId="1259DA1B">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第十四条  其他事项</w:t>
      </w:r>
    </w:p>
    <w:p w14:paraId="4B7CFBDF">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（一）本协议经双方法定代表人或者委托代理人签字并盖公章之日起生效。</w:t>
      </w:r>
    </w:p>
    <w:p w14:paraId="49B67048">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（二）招标文件、投标文件、澄清表（函）、协议附件均为协议不可分割的部分。</w:t>
      </w:r>
    </w:p>
    <w:p w14:paraId="734F914B">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（三）对本协议条款的任何变更、修改或增减，须经双方协商同意后签署补充协议，该补充协议作为本协议的组成部分并具有同等效力。</w:t>
      </w:r>
    </w:p>
    <w:p w14:paraId="45D22D17">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（四）本协议未尽事宜双方另行协商，因执行本协议所发生的和本协议有关的一切争议，双方应友好协商解决。经协商未达成一致，任何一方可向甲方所在地有管辖权的人民法院提起诉讼。</w:t>
      </w:r>
    </w:p>
    <w:p w14:paraId="1D4861E1">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五）反不正当竞争条约。卖方不得以任何形式违反国家关于医药购销领域不正当竞争的有关规定。对可能涉嫌不正当竞争的供应商，一经查证，坚决取消供应资格，三年内不许参与医院的供销活动，并按上级的有关规定执行处罚。</w:t>
      </w:r>
    </w:p>
    <w:p w14:paraId="3D5D3E50">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（六）本协议一式七份。甲方执四份，乙方执二份。自甲乙双方法定代表人或者委托代理人签字并加盖公章后生效，协议执行完毕自动失效。（协议的服务承诺仍然有效）。传真件具有同等法律效力。</w:t>
      </w:r>
    </w:p>
    <w:p w14:paraId="12660218">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（七）本协议约定的地址为双方有效送达地址，任意一方发生变更的，应当在变更之日起7日内向另一方通知，未通知另一方的，另一方按照约定地址发出的信件自发出之日起7日内视为有效送达。</w:t>
      </w:r>
    </w:p>
    <w:p w14:paraId="1D564CE3">
      <w:pPr>
        <w:spacing w:line="360" w:lineRule="auto"/>
        <w:outlineLvl w:val="9"/>
        <w:rPr>
          <w:rFonts w:hint="eastAsia" w:ascii="宋体" w:hAnsi="宋体" w:eastAsia="宋体" w:cs="宋体"/>
          <w:sz w:val="24"/>
          <w:szCs w:val="24"/>
        </w:rPr>
      </w:pPr>
    </w:p>
    <w:p w14:paraId="7452CA00">
      <w:pPr>
        <w:spacing w:line="360" w:lineRule="auto"/>
        <w:outlineLvl w:val="9"/>
        <w:rPr>
          <w:rFonts w:hint="eastAsia" w:ascii="宋体" w:hAnsi="宋体" w:eastAsia="宋体" w:cs="宋体"/>
          <w:sz w:val="24"/>
          <w:szCs w:val="24"/>
        </w:rPr>
      </w:pPr>
    </w:p>
    <w:tbl>
      <w:tblPr>
        <w:tblStyle w:val="4"/>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28" w:type="dxa"/>
          <w:bottom w:w="0" w:type="dxa"/>
          <w:right w:w="28" w:type="dxa"/>
        </w:tblCellMar>
      </w:tblPr>
      <w:tblGrid>
        <w:gridCol w:w="1604"/>
        <w:gridCol w:w="2535"/>
        <w:gridCol w:w="1839"/>
        <w:gridCol w:w="3952"/>
      </w:tblGrid>
      <w:tr w14:paraId="5719B9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jc w:val="center"/>
        </w:trPr>
        <w:tc>
          <w:tcPr>
            <w:tcW w:w="1604" w:type="dxa"/>
            <w:tcBorders>
              <w:top w:val="single" w:color="000000" w:sz="4" w:space="0"/>
              <w:left w:val="single" w:color="000000" w:sz="4" w:space="0"/>
              <w:bottom w:val="single" w:color="000000" w:sz="4" w:space="0"/>
              <w:right w:val="single" w:color="000000" w:sz="4" w:space="0"/>
            </w:tcBorders>
            <w:noWrap w:val="0"/>
            <w:vAlign w:val="top"/>
          </w:tcPr>
          <w:p w14:paraId="618878BF">
            <w:pPr>
              <w:spacing w:line="360" w:lineRule="auto"/>
              <w:jc w:val="distribute"/>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甲    方</w:t>
            </w:r>
          </w:p>
        </w:tc>
        <w:tc>
          <w:tcPr>
            <w:tcW w:w="2535" w:type="dxa"/>
            <w:tcBorders>
              <w:top w:val="single" w:color="000000" w:sz="4" w:space="0"/>
              <w:left w:val="single" w:color="000000" w:sz="4" w:space="0"/>
              <w:bottom w:val="single" w:color="000000" w:sz="4" w:space="0"/>
              <w:right w:val="single" w:color="000000" w:sz="4" w:space="0"/>
            </w:tcBorders>
            <w:noWrap w:val="0"/>
            <w:vAlign w:val="top"/>
          </w:tcPr>
          <w:p w14:paraId="60CCBB7D">
            <w:pPr>
              <w:wordWrap w:val="0"/>
              <w:spacing w:line="360" w:lineRule="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陕西省人民医院</w:t>
            </w:r>
          </w:p>
        </w:tc>
        <w:tc>
          <w:tcPr>
            <w:tcW w:w="1839" w:type="dxa"/>
            <w:tcBorders>
              <w:top w:val="single" w:color="000000" w:sz="4" w:space="0"/>
              <w:left w:val="single" w:color="000000" w:sz="4" w:space="0"/>
              <w:bottom w:val="single" w:color="000000" w:sz="4" w:space="0"/>
              <w:right w:val="single" w:color="000000" w:sz="4" w:space="0"/>
            </w:tcBorders>
            <w:noWrap w:val="0"/>
            <w:vAlign w:val="top"/>
          </w:tcPr>
          <w:p w14:paraId="200849F8">
            <w:pPr>
              <w:spacing w:line="360" w:lineRule="auto"/>
              <w:jc w:val="distribute"/>
              <w:outlineLvl w:val="9"/>
              <w:rPr>
                <w:rFonts w:hint="eastAsia" w:ascii="宋体" w:hAnsi="宋体" w:eastAsia="宋体" w:cs="宋体"/>
                <w:sz w:val="24"/>
                <w:szCs w:val="24"/>
              </w:rPr>
            </w:pPr>
            <w:r>
              <w:rPr>
                <w:rFonts w:hint="eastAsia" w:ascii="宋体" w:hAnsi="宋体" w:eastAsia="宋体" w:cs="宋体"/>
                <w:sz w:val="24"/>
                <w:szCs w:val="24"/>
              </w:rPr>
              <w:t>乙      方</w:t>
            </w:r>
          </w:p>
        </w:tc>
        <w:tc>
          <w:tcPr>
            <w:tcW w:w="3952" w:type="dxa"/>
            <w:tcBorders>
              <w:top w:val="single" w:color="000000" w:sz="4" w:space="0"/>
              <w:left w:val="single" w:color="000000" w:sz="4" w:space="0"/>
              <w:bottom w:val="single" w:color="000000" w:sz="4" w:space="0"/>
              <w:right w:val="single" w:color="000000" w:sz="4" w:space="0"/>
            </w:tcBorders>
            <w:noWrap w:val="0"/>
            <w:vAlign w:val="top"/>
          </w:tcPr>
          <w:p w14:paraId="65696DBB">
            <w:pPr>
              <w:autoSpaceDE w:val="0"/>
              <w:autoSpaceDN w:val="0"/>
              <w:adjustRightInd w:val="0"/>
              <w:spacing w:line="360" w:lineRule="auto"/>
              <w:outlineLvl w:val="9"/>
              <w:rPr>
                <w:rFonts w:hint="eastAsia" w:ascii="宋体" w:hAnsi="宋体" w:eastAsia="宋体" w:cs="宋体"/>
                <w:kern w:val="0"/>
                <w:sz w:val="24"/>
                <w:szCs w:val="24"/>
              </w:rPr>
            </w:pPr>
          </w:p>
        </w:tc>
      </w:tr>
      <w:tr w14:paraId="205FDC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jc w:val="center"/>
        </w:trPr>
        <w:tc>
          <w:tcPr>
            <w:tcW w:w="1604" w:type="dxa"/>
            <w:tcBorders>
              <w:top w:val="single" w:color="000000" w:sz="4" w:space="0"/>
              <w:left w:val="single" w:color="000000" w:sz="4" w:space="0"/>
              <w:bottom w:val="single" w:color="000000" w:sz="4" w:space="0"/>
              <w:right w:val="single" w:color="000000" w:sz="4" w:space="0"/>
            </w:tcBorders>
            <w:noWrap w:val="0"/>
            <w:vAlign w:val="top"/>
          </w:tcPr>
          <w:p w14:paraId="077FA271">
            <w:pPr>
              <w:wordWrap w:val="0"/>
              <w:spacing w:line="360" w:lineRule="auto"/>
              <w:jc w:val="distribute"/>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地    址</w:t>
            </w:r>
          </w:p>
        </w:tc>
        <w:tc>
          <w:tcPr>
            <w:tcW w:w="2535" w:type="dxa"/>
            <w:tcBorders>
              <w:top w:val="single" w:color="000000" w:sz="4" w:space="0"/>
              <w:left w:val="single" w:color="000000" w:sz="4" w:space="0"/>
              <w:bottom w:val="single" w:color="000000" w:sz="4" w:space="0"/>
              <w:right w:val="single" w:color="000000" w:sz="4" w:space="0"/>
            </w:tcBorders>
            <w:noWrap w:val="0"/>
            <w:vAlign w:val="top"/>
          </w:tcPr>
          <w:p w14:paraId="08FDAC8D">
            <w:pPr>
              <w:wordWrap w:val="0"/>
              <w:spacing w:line="360" w:lineRule="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西安市友谊西路256号</w:t>
            </w:r>
          </w:p>
        </w:tc>
        <w:tc>
          <w:tcPr>
            <w:tcW w:w="1839" w:type="dxa"/>
            <w:tcBorders>
              <w:top w:val="single" w:color="000000" w:sz="4" w:space="0"/>
              <w:left w:val="single" w:color="000000" w:sz="4" w:space="0"/>
              <w:bottom w:val="single" w:color="000000" w:sz="4" w:space="0"/>
              <w:right w:val="single" w:color="000000" w:sz="4" w:space="0"/>
            </w:tcBorders>
            <w:noWrap w:val="0"/>
            <w:vAlign w:val="top"/>
          </w:tcPr>
          <w:p w14:paraId="2EBE6E76">
            <w:pPr>
              <w:wordWrap w:val="0"/>
              <w:spacing w:line="360" w:lineRule="auto"/>
              <w:jc w:val="distribute"/>
              <w:outlineLvl w:val="9"/>
              <w:rPr>
                <w:rFonts w:hint="eastAsia" w:ascii="宋体" w:hAnsi="宋体" w:eastAsia="宋体" w:cs="宋体"/>
                <w:sz w:val="24"/>
                <w:szCs w:val="24"/>
              </w:rPr>
            </w:pPr>
            <w:r>
              <w:rPr>
                <w:rFonts w:hint="eastAsia" w:ascii="宋体" w:hAnsi="宋体" w:eastAsia="宋体" w:cs="宋体"/>
                <w:sz w:val="24"/>
                <w:szCs w:val="24"/>
              </w:rPr>
              <w:t>地      址</w:t>
            </w:r>
          </w:p>
        </w:tc>
        <w:tc>
          <w:tcPr>
            <w:tcW w:w="3952" w:type="dxa"/>
            <w:tcBorders>
              <w:top w:val="single" w:color="000000" w:sz="4" w:space="0"/>
              <w:left w:val="single" w:color="000000" w:sz="4" w:space="0"/>
              <w:bottom w:val="single" w:color="000000" w:sz="4" w:space="0"/>
              <w:right w:val="single" w:color="000000" w:sz="4" w:space="0"/>
            </w:tcBorders>
            <w:noWrap w:val="0"/>
            <w:vAlign w:val="center"/>
          </w:tcPr>
          <w:p w14:paraId="2F2F4DE5">
            <w:pPr>
              <w:autoSpaceDE w:val="0"/>
              <w:autoSpaceDN w:val="0"/>
              <w:adjustRightInd w:val="0"/>
              <w:spacing w:line="360" w:lineRule="auto"/>
              <w:jc w:val="left"/>
              <w:outlineLvl w:val="9"/>
              <w:rPr>
                <w:rFonts w:hint="eastAsia" w:ascii="宋体" w:hAnsi="宋体" w:eastAsia="宋体" w:cs="宋体"/>
                <w:sz w:val="24"/>
                <w:szCs w:val="24"/>
              </w:rPr>
            </w:pPr>
          </w:p>
        </w:tc>
      </w:tr>
      <w:tr w14:paraId="2F6C60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trHeight w:val="751" w:hRule="atLeast"/>
          <w:jc w:val="center"/>
        </w:trPr>
        <w:tc>
          <w:tcPr>
            <w:tcW w:w="1604" w:type="dxa"/>
            <w:tcBorders>
              <w:top w:val="single" w:color="000000" w:sz="4" w:space="0"/>
              <w:left w:val="single" w:color="000000" w:sz="4" w:space="0"/>
              <w:bottom w:val="single" w:color="000000" w:sz="4" w:space="0"/>
              <w:right w:val="single" w:color="000000" w:sz="4" w:space="0"/>
            </w:tcBorders>
            <w:noWrap w:val="0"/>
            <w:vAlign w:val="center"/>
          </w:tcPr>
          <w:p w14:paraId="56531C5D">
            <w:pPr>
              <w:wordWrap w:val="0"/>
              <w:spacing w:line="360" w:lineRule="auto"/>
              <w:jc w:val="center"/>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法定代表人</w:t>
            </w:r>
          </w:p>
          <w:p w14:paraId="6F9ECBF9">
            <w:pPr>
              <w:wordWrap w:val="0"/>
              <w:spacing w:line="360" w:lineRule="auto"/>
              <w:jc w:val="center"/>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（授权委托代理人）</w:t>
            </w:r>
          </w:p>
        </w:tc>
        <w:tc>
          <w:tcPr>
            <w:tcW w:w="2535" w:type="dxa"/>
            <w:tcBorders>
              <w:top w:val="single" w:color="000000" w:sz="4" w:space="0"/>
              <w:left w:val="single" w:color="000000" w:sz="4" w:space="0"/>
              <w:bottom w:val="single" w:color="000000" w:sz="4" w:space="0"/>
              <w:right w:val="single" w:color="000000" w:sz="4" w:space="0"/>
            </w:tcBorders>
            <w:noWrap w:val="0"/>
            <w:vAlign w:val="center"/>
          </w:tcPr>
          <w:p w14:paraId="5337320F">
            <w:pPr>
              <w:wordWrap w:val="0"/>
              <w:spacing w:line="360" w:lineRule="auto"/>
              <w:jc w:val="center"/>
              <w:outlineLvl w:val="9"/>
              <w:rPr>
                <w:rFonts w:hint="eastAsia" w:ascii="宋体" w:hAnsi="宋体" w:eastAsia="宋体" w:cs="宋体"/>
                <w:color w:val="000000"/>
                <w:sz w:val="24"/>
                <w:szCs w:val="24"/>
              </w:rPr>
            </w:pPr>
          </w:p>
        </w:tc>
        <w:tc>
          <w:tcPr>
            <w:tcW w:w="1839" w:type="dxa"/>
            <w:tcBorders>
              <w:top w:val="single" w:color="000000" w:sz="4" w:space="0"/>
              <w:left w:val="single" w:color="000000" w:sz="4" w:space="0"/>
              <w:bottom w:val="single" w:color="000000" w:sz="4" w:space="0"/>
              <w:right w:val="single" w:color="000000" w:sz="4" w:space="0"/>
            </w:tcBorders>
            <w:noWrap w:val="0"/>
            <w:vAlign w:val="center"/>
          </w:tcPr>
          <w:p w14:paraId="4B17460D">
            <w:pPr>
              <w:wordWrap w:val="0"/>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法定代表人签字</w:t>
            </w:r>
          </w:p>
          <w:p w14:paraId="03F00A10">
            <w:pPr>
              <w:wordWrap w:val="0"/>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（或授权委托代理人）</w:t>
            </w:r>
          </w:p>
        </w:tc>
        <w:tc>
          <w:tcPr>
            <w:tcW w:w="3952" w:type="dxa"/>
            <w:tcBorders>
              <w:top w:val="single" w:color="000000" w:sz="4" w:space="0"/>
              <w:left w:val="single" w:color="000000" w:sz="4" w:space="0"/>
              <w:bottom w:val="single" w:color="000000" w:sz="4" w:space="0"/>
              <w:right w:val="single" w:color="000000" w:sz="4" w:space="0"/>
            </w:tcBorders>
            <w:noWrap w:val="0"/>
            <w:vAlign w:val="top"/>
          </w:tcPr>
          <w:p w14:paraId="5CB1B0D3">
            <w:pPr>
              <w:wordWrap w:val="0"/>
              <w:spacing w:line="360" w:lineRule="auto"/>
              <w:outlineLvl w:val="9"/>
              <w:rPr>
                <w:rFonts w:hint="eastAsia" w:ascii="宋体" w:hAnsi="宋体" w:eastAsia="宋体" w:cs="宋体"/>
                <w:sz w:val="24"/>
                <w:szCs w:val="24"/>
              </w:rPr>
            </w:pPr>
          </w:p>
        </w:tc>
      </w:tr>
      <w:tr w14:paraId="3E351A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jc w:val="center"/>
        </w:trPr>
        <w:tc>
          <w:tcPr>
            <w:tcW w:w="1604" w:type="dxa"/>
            <w:tcBorders>
              <w:top w:val="single" w:color="000000" w:sz="4" w:space="0"/>
              <w:left w:val="single" w:color="000000" w:sz="4" w:space="0"/>
              <w:bottom w:val="single" w:color="000000" w:sz="4" w:space="0"/>
              <w:right w:val="single" w:color="000000" w:sz="4" w:space="0"/>
            </w:tcBorders>
            <w:noWrap w:val="0"/>
            <w:vAlign w:val="top"/>
          </w:tcPr>
          <w:p w14:paraId="39F7C489">
            <w:pPr>
              <w:wordWrap w:val="0"/>
              <w:spacing w:line="360" w:lineRule="auto"/>
              <w:jc w:val="distribute"/>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合同章</w:t>
            </w:r>
          </w:p>
        </w:tc>
        <w:tc>
          <w:tcPr>
            <w:tcW w:w="2535" w:type="dxa"/>
            <w:tcBorders>
              <w:top w:val="single" w:color="000000" w:sz="4" w:space="0"/>
              <w:left w:val="single" w:color="000000" w:sz="4" w:space="0"/>
              <w:bottom w:val="single" w:color="000000" w:sz="4" w:space="0"/>
              <w:right w:val="single" w:color="000000" w:sz="4" w:space="0"/>
            </w:tcBorders>
            <w:noWrap w:val="0"/>
            <w:vAlign w:val="top"/>
          </w:tcPr>
          <w:p w14:paraId="44C15A58">
            <w:pPr>
              <w:wordWrap w:val="0"/>
              <w:spacing w:line="360" w:lineRule="auto"/>
              <w:outlineLvl w:val="9"/>
              <w:rPr>
                <w:rFonts w:hint="eastAsia" w:ascii="宋体" w:hAnsi="宋体" w:eastAsia="宋体" w:cs="宋体"/>
                <w:color w:val="000000"/>
                <w:sz w:val="24"/>
                <w:szCs w:val="24"/>
              </w:rPr>
            </w:pPr>
          </w:p>
        </w:tc>
        <w:tc>
          <w:tcPr>
            <w:tcW w:w="1839" w:type="dxa"/>
            <w:tcBorders>
              <w:top w:val="single" w:color="000000" w:sz="4" w:space="0"/>
              <w:left w:val="single" w:color="000000" w:sz="4" w:space="0"/>
              <w:bottom w:val="single" w:color="000000" w:sz="4" w:space="0"/>
              <w:right w:val="single" w:color="000000" w:sz="4" w:space="0"/>
            </w:tcBorders>
            <w:noWrap w:val="0"/>
            <w:vAlign w:val="top"/>
          </w:tcPr>
          <w:p w14:paraId="3ADA9D66">
            <w:pPr>
              <w:wordWrap w:val="0"/>
              <w:spacing w:line="360" w:lineRule="auto"/>
              <w:jc w:val="distribute"/>
              <w:outlineLvl w:val="9"/>
              <w:rPr>
                <w:rFonts w:hint="eastAsia" w:ascii="宋体" w:hAnsi="宋体" w:eastAsia="宋体" w:cs="宋体"/>
                <w:sz w:val="24"/>
                <w:szCs w:val="24"/>
              </w:rPr>
            </w:pPr>
            <w:r>
              <w:rPr>
                <w:rFonts w:hint="eastAsia" w:ascii="宋体" w:hAnsi="宋体" w:eastAsia="宋体" w:cs="宋体"/>
                <w:sz w:val="24"/>
                <w:szCs w:val="24"/>
              </w:rPr>
              <w:t>合同章</w:t>
            </w:r>
          </w:p>
        </w:tc>
        <w:tc>
          <w:tcPr>
            <w:tcW w:w="3952" w:type="dxa"/>
            <w:tcBorders>
              <w:top w:val="single" w:color="000000" w:sz="4" w:space="0"/>
              <w:left w:val="single" w:color="000000" w:sz="4" w:space="0"/>
              <w:bottom w:val="single" w:color="000000" w:sz="4" w:space="0"/>
              <w:right w:val="single" w:color="000000" w:sz="4" w:space="0"/>
            </w:tcBorders>
            <w:noWrap w:val="0"/>
            <w:vAlign w:val="center"/>
          </w:tcPr>
          <w:p w14:paraId="17282036">
            <w:pPr>
              <w:wordWrap w:val="0"/>
              <w:spacing w:line="360" w:lineRule="auto"/>
              <w:outlineLvl w:val="9"/>
              <w:rPr>
                <w:rFonts w:hint="eastAsia" w:ascii="宋体" w:hAnsi="宋体" w:eastAsia="宋体" w:cs="宋体"/>
                <w:sz w:val="24"/>
                <w:szCs w:val="24"/>
              </w:rPr>
            </w:pPr>
          </w:p>
        </w:tc>
      </w:tr>
      <w:tr w14:paraId="384FB0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jc w:val="center"/>
        </w:trPr>
        <w:tc>
          <w:tcPr>
            <w:tcW w:w="1604" w:type="dxa"/>
            <w:tcBorders>
              <w:top w:val="single" w:color="000000" w:sz="4" w:space="0"/>
              <w:left w:val="single" w:color="000000" w:sz="4" w:space="0"/>
              <w:bottom w:val="single" w:color="000000" w:sz="4" w:space="0"/>
              <w:right w:val="single" w:color="000000" w:sz="4" w:space="0"/>
            </w:tcBorders>
            <w:noWrap w:val="0"/>
            <w:vAlign w:val="top"/>
          </w:tcPr>
          <w:p w14:paraId="7685D10F">
            <w:pPr>
              <w:wordWrap w:val="0"/>
              <w:spacing w:line="360" w:lineRule="auto"/>
              <w:jc w:val="distribute"/>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联系电话</w:t>
            </w:r>
          </w:p>
        </w:tc>
        <w:tc>
          <w:tcPr>
            <w:tcW w:w="2535" w:type="dxa"/>
            <w:tcBorders>
              <w:top w:val="single" w:color="000000" w:sz="4" w:space="0"/>
              <w:left w:val="single" w:color="000000" w:sz="4" w:space="0"/>
              <w:bottom w:val="single" w:color="000000" w:sz="4" w:space="0"/>
              <w:right w:val="single" w:color="000000" w:sz="4" w:space="0"/>
            </w:tcBorders>
            <w:noWrap w:val="0"/>
            <w:vAlign w:val="top"/>
          </w:tcPr>
          <w:p w14:paraId="3AF8FC3C">
            <w:pPr>
              <w:wordWrap w:val="0"/>
              <w:spacing w:line="360" w:lineRule="auto"/>
              <w:outlineLvl w:val="9"/>
              <w:rPr>
                <w:rFonts w:hint="eastAsia" w:ascii="宋体" w:hAnsi="宋体" w:eastAsia="宋体" w:cs="宋体"/>
                <w:color w:val="000000"/>
                <w:sz w:val="24"/>
                <w:szCs w:val="24"/>
              </w:rPr>
            </w:pPr>
          </w:p>
        </w:tc>
        <w:tc>
          <w:tcPr>
            <w:tcW w:w="1839" w:type="dxa"/>
            <w:tcBorders>
              <w:top w:val="single" w:color="000000" w:sz="4" w:space="0"/>
              <w:left w:val="single" w:color="000000" w:sz="4" w:space="0"/>
              <w:bottom w:val="single" w:color="000000" w:sz="4" w:space="0"/>
              <w:right w:val="single" w:color="000000" w:sz="4" w:space="0"/>
            </w:tcBorders>
            <w:noWrap w:val="0"/>
            <w:vAlign w:val="top"/>
          </w:tcPr>
          <w:p w14:paraId="70FCAAEB">
            <w:pPr>
              <w:wordWrap w:val="0"/>
              <w:spacing w:line="360" w:lineRule="auto"/>
              <w:jc w:val="distribute"/>
              <w:outlineLvl w:val="9"/>
              <w:rPr>
                <w:rFonts w:hint="eastAsia" w:ascii="宋体" w:hAnsi="宋体" w:eastAsia="宋体" w:cs="宋体"/>
                <w:sz w:val="24"/>
                <w:szCs w:val="24"/>
              </w:rPr>
            </w:pPr>
            <w:r>
              <w:rPr>
                <w:rFonts w:hint="eastAsia" w:ascii="宋体" w:hAnsi="宋体" w:eastAsia="宋体" w:cs="宋体"/>
                <w:sz w:val="24"/>
                <w:szCs w:val="24"/>
              </w:rPr>
              <w:t>联  系  人</w:t>
            </w:r>
          </w:p>
        </w:tc>
        <w:tc>
          <w:tcPr>
            <w:tcW w:w="3952" w:type="dxa"/>
            <w:tcBorders>
              <w:top w:val="single" w:color="000000" w:sz="4" w:space="0"/>
              <w:left w:val="single" w:color="000000" w:sz="4" w:space="0"/>
              <w:bottom w:val="single" w:color="000000" w:sz="4" w:space="0"/>
              <w:right w:val="single" w:color="000000" w:sz="4" w:space="0"/>
            </w:tcBorders>
            <w:noWrap w:val="0"/>
            <w:vAlign w:val="center"/>
          </w:tcPr>
          <w:p w14:paraId="15DC15D4">
            <w:pPr>
              <w:wordWrap w:val="0"/>
              <w:spacing w:line="360" w:lineRule="auto"/>
              <w:outlineLvl w:val="9"/>
              <w:rPr>
                <w:rFonts w:hint="eastAsia" w:ascii="宋体" w:hAnsi="宋体" w:eastAsia="宋体" w:cs="宋体"/>
                <w:sz w:val="24"/>
                <w:szCs w:val="24"/>
              </w:rPr>
            </w:pPr>
          </w:p>
        </w:tc>
      </w:tr>
      <w:tr w14:paraId="389FF8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jc w:val="center"/>
        </w:trPr>
        <w:tc>
          <w:tcPr>
            <w:tcW w:w="1604" w:type="dxa"/>
            <w:tcBorders>
              <w:top w:val="single" w:color="000000" w:sz="4" w:space="0"/>
              <w:left w:val="single" w:color="000000" w:sz="4" w:space="0"/>
              <w:bottom w:val="single" w:color="000000" w:sz="4" w:space="0"/>
              <w:right w:val="single" w:color="000000" w:sz="4" w:space="0"/>
            </w:tcBorders>
            <w:noWrap w:val="0"/>
            <w:vAlign w:val="top"/>
          </w:tcPr>
          <w:p w14:paraId="07206AE5">
            <w:pPr>
              <w:wordWrap w:val="0"/>
              <w:spacing w:line="360" w:lineRule="auto"/>
              <w:jc w:val="distribute"/>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传    真</w:t>
            </w:r>
          </w:p>
        </w:tc>
        <w:tc>
          <w:tcPr>
            <w:tcW w:w="2535" w:type="dxa"/>
            <w:tcBorders>
              <w:top w:val="single" w:color="000000" w:sz="4" w:space="0"/>
              <w:left w:val="single" w:color="000000" w:sz="4" w:space="0"/>
              <w:bottom w:val="single" w:color="000000" w:sz="4" w:space="0"/>
              <w:right w:val="single" w:color="000000" w:sz="4" w:space="0"/>
            </w:tcBorders>
            <w:noWrap w:val="0"/>
            <w:vAlign w:val="top"/>
          </w:tcPr>
          <w:p w14:paraId="09F50B71">
            <w:pPr>
              <w:wordWrap w:val="0"/>
              <w:spacing w:line="360" w:lineRule="auto"/>
              <w:outlineLvl w:val="9"/>
              <w:rPr>
                <w:rFonts w:hint="eastAsia" w:ascii="宋体" w:hAnsi="宋体" w:eastAsia="宋体" w:cs="宋体"/>
                <w:color w:val="000000"/>
                <w:sz w:val="24"/>
                <w:szCs w:val="24"/>
              </w:rPr>
            </w:pPr>
          </w:p>
        </w:tc>
        <w:tc>
          <w:tcPr>
            <w:tcW w:w="1839" w:type="dxa"/>
            <w:tcBorders>
              <w:top w:val="single" w:color="000000" w:sz="4" w:space="0"/>
              <w:left w:val="single" w:color="000000" w:sz="4" w:space="0"/>
              <w:bottom w:val="single" w:color="000000" w:sz="4" w:space="0"/>
              <w:right w:val="single" w:color="000000" w:sz="4" w:space="0"/>
            </w:tcBorders>
            <w:noWrap w:val="0"/>
            <w:vAlign w:val="top"/>
          </w:tcPr>
          <w:p w14:paraId="1A58B0B6">
            <w:pPr>
              <w:wordWrap w:val="0"/>
              <w:spacing w:line="360" w:lineRule="auto"/>
              <w:jc w:val="distribute"/>
              <w:outlineLvl w:val="9"/>
              <w:rPr>
                <w:rFonts w:hint="eastAsia" w:ascii="宋体" w:hAnsi="宋体" w:eastAsia="宋体" w:cs="宋体"/>
                <w:color w:val="000000"/>
                <w:spacing w:val="20"/>
                <w:sz w:val="24"/>
                <w:szCs w:val="24"/>
              </w:rPr>
            </w:pPr>
            <w:r>
              <w:rPr>
                <w:rFonts w:hint="eastAsia" w:ascii="宋体" w:hAnsi="宋体" w:eastAsia="宋体" w:cs="宋体"/>
                <w:color w:val="000000"/>
                <w:spacing w:val="20"/>
                <w:sz w:val="24"/>
                <w:szCs w:val="24"/>
              </w:rPr>
              <w:t>座机电话</w:t>
            </w:r>
          </w:p>
        </w:tc>
        <w:tc>
          <w:tcPr>
            <w:tcW w:w="3952" w:type="dxa"/>
            <w:tcBorders>
              <w:top w:val="single" w:color="000000" w:sz="4" w:space="0"/>
              <w:left w:val="single" w:color="000000" w:sz="4" w:space="0"/>
              <w:bottom w:val="single" w:color="000000" w:sz="4" w:space="0"/>
              <w:right w:val="single" w:color="000000" w:sz="4" w:space="0"/>
            </w:tcBorders>
            <w:noWrap w:val="0"/>
            <w:vAlign w:val="top"/>
          </w:tcPr>
          <w:p w14:paraId="10617FD0">
            <w:pPr>
              <w:wordWrap w:val="0"/>
              <w:spacing w:line="360" w:lineRule="auto"/>
              <w:outlineLvl w:val="9"/>
              <w:rPr>
                <w:rFonts w:hint="eastAsia" w:ascii="宋体" w:hAnsi="宋体" w:eastAsia="宋体" w:cs="宋体"/>
                <w:bCs/>
                <w:sz w:val="24"/>
                <w:szCs w:val="24"/>
              </w:rPr>
            </w:pPr>
          </w:p>
        </w:tc>
      </w:tr>
      <w:tr w14:paraId="45600C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jc w:val="center"/>
        </w:trPr>
        <w:tc>
          <w:tcPr>
            <w:tcW w:w="1604" w:type="dxa"/>
            <w:tcBorders>
              <w:top w:val="single" w:color="000000" w:sz="4" w:space="0"/>
              <w:left w:val="single" w:color="000000" w:sz="4" w:space="0"/>
              <w:bottom w:val="single" w:color="000000" w:sz="4" w:space="0"/>
              <w:right w:val="single" w:color="000000" w:sz="4" w:space="0"/>
            </w:tcBorders>
            <w:noWrap w:val="0"/>
            <w:vAlign w:val="top"/>
          </w:tcPr>
          <w:p w14:paraId="090F11EF">
            <w:pPr>
              <w:wordWrap w:val="0"/>
              <w:spacing w:line="360" w:lineRule="auto"/>
              <w:jc w:val="distribute"/>
              <w:outlineLvl w:val="9"/>
              <w:rPr>
                <w:rFonts w:hint="eastAsia" w:ascii="宋体" w:hAnsi="宋体" w:eastAsia="宋体" w:cs="宋体"/>
                <w:color w:val="000000"/>
                <w:sz w:val="24"/>
                <w:szCs w:val="24"/>
              </w:rPr>
            </w:pPr>
            <w:r>
              <w:rPr>
                <w:rFonts w:hint="eastAsia" w:ascii="宋体" w:hAnsi="宋体" w:eastAsia="宋体" w:cs="宋体"/>
                <w:bCs/>
                <w:color w:val="000000"/>
                <w:sz w:val="24"/>
                <w:szCs w:val="24"/>
              </w:rPr>
              <w:t>联系人电话</w:t>
            </w:r>
          </w:p>
        </w:tc>
        <w:tc>
          <w:tcPr>
            <w:tcW w:w="2535" w:type="dxa"/>
            <w:tcBorders>
              <w:top w:val="single" w:color="000000" w:sz="4" w:space="0"/>
              <w:left w:val="single" w:color="000000" w:sz="4" w:space="0"/>
              <w:bottom w:val="single" w:color="000000" w:sz="4" w:space="0"/>
              <w:right w:val="single" w:color="000000" w:sz="4" w:space="0"/>
            </w:tcBorders>
            <w:noWrap w:val="0"/>
            <w:vAlign w:val="top"/>
          </w:tcPr>
          <w:p w14:paraId="2701DC25">
            <w:pPr>
              <w:wordWrap w:val="0"/>
              <w:spacing w:line="360" w:lineRule="auto"/>
              <w:outlineLvl w:val="9"/>
              <w:rPr>
                <w:rFonts w:hint="eastAsia" w:ascii="宋体" w:hAnsi="宋体" w:eastAsia="宋体" w:cs="宋体"/>
                <w:color w:val="000000"/>
                <w:sz w:val="24"/>
                <w:szCs w:val="24"/>
              </w:rPr>
            </w:pPr>
          </w:p>
        </w:tc>
        <w:tc>
          <w:tcPr>
            <w:tcW w:w="1839" w:type="dxa"/>
            <w:tcBorders>
              <w:top w:val="single" w:color="000000" w:sz="4" w:space="0"/>
              <w:left w:val="single" w:color="000000" w:sz="4" w:space="0"/>
              <w:bottom w:val="single" w:color="000000" w:sz="4" w:space="0"/>
              <w:right w:val="single" w:color="000000" w:sz="4" w:space="0"/>
            </w:tcBorders>
            <w:noWrap w:val="0"/>
            <w:vAlign w:val="top"/>
          </w:tcPr>
          <w:p w14:paraId="1B9AF43F">
            <w:pPr>
              <w:wordWrap w:val="0"/>
              <w:spacing w:line="360" w:lineRule="auto"/>
              <w:jc w:val="distribute"/>
              <w:outlineLvl w:val="9"/>
              <w:rPr>
                <w:rFonts w:hint="eastAsia" w:ascii="宋体" w:hAnsi="宋体" w:eastAsia="宋体" w:cs="宋体"/>
                <w:color w:val="000000"/>
                <w:sz w:val="24"/>
                <w:szCs w:val="24"/>
              </w:rPr>
            </w:pPr>
            <w:r>
              <w:rPr>
                <w:rFonts w:hint="eastAsia" w:ascii="宋体" w:hAnsi="宋体" w:eastAsia="宋体" w:cs="宋体"/>
                <w:bCs/>
                <w:color w:val="000000"/>
                <w:sz w:val="24"/>
                <w:szCs w:val="24"/>
              </w:rPr>
              <w:t>联系人手机</w:t>
            </w:r>
          </w:p>
        </w:tc>
        <w:tc>
          <w:tcPr>
            <w:tcW w:w="3952" w:type="dxa"/>
            <w:tcBorders>
              <w:top w:val="single" w:color="000000" w:sz="4" w:space="0"/>
              <w:left w:val="single" w:color="000000" w:sz="4" w:space="0"/>
              <w:bottom w:val="single" w:color="000000" w:sz="4" w:space="0"/>
              <w:right w:val="single" w:color="000000" w:sz="4" w:space="0"/>
            </w:tcBorders>
            <w:noWrap w:val="0"/>
            <w:vAlign w:val="top"/>
          </w:tcPr>
          <w:p w14:paraId="306E2B9B">
            <w:pPr>
              <w:wordWrap w:val="0"/>
              <w:spacing w:line="360" w:lineRule="auto"/>
              <w:outlineLvl w:val="9"/>
              <w:rPr>
                <w:rFonts w:hint="eastAsia" w:ascii="宋体" w:hAnsi="宋体" w:eastAsia="宋体" w:cs="宋体"/>
                <w:sz w:val="24"/>
                <w:szCs w:val="24"/>
              </w:rPr>
            </w:pPr>
          </w:p>
        </w:tc>
      </w:tr>
      <w:tr w14:paraId="698531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trHeight w:val="515" w:hRule="atLeast"/>
          <w:jc w:val="center"/>
        </w:trPr>
        <w:tc>
          <w:tcPr>
            <w:tcW w:w="1604" w:type="dxa"/>
            <w:tcBorders>
              <w:top w:val="single" w:color="000000" w:sz="4" w:space="0"/>
              <w:left w:val="single" w:color="000000" w:sz="4" w:space="0"/>
              <w:bottom w:val="single" w:color="000000" w:sz="4" w:space="0"/>
              <w:right w:val="single" w:color="000000" w:sz="4" w:space="0"/>
            </w:tcBorders>
            <w:noWrap w:val="0"/>
            <w:vAlign w:val="top"/>
          </w:tcPr>
          <w:p w14:paraId="45D45084">
            <w:pPr>
              <w:wordWrap w:val="0"/>
              <w:spacing w:line="360" w:lineRule="auto"/>
              <w:jc w:val="distribute"/>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开  户  行</w:t>
            </w:r>
          </w:p>
        </w:tc>
        <w:tc>
          <w:tcPr>
            <w:tcW w:w="2535" w:type="dxa"/>
            <w:tcBorders>
              <w:top w:val="single" w:color="000000" w:sz="4" w:space="0"/>
              <w:left w:val="single" w:color="000000" w:sz="4" w:space="0"/>
              <w:bottom w:val="single" w:color="000000" w:sz="4" w:space="0"/>
              <w:right w:val="single" w:color="000000" w:sz="4" w:space="0"/>
            </w:tcBorders>
            <w:noWrap w:val="0"/>
            <w:vAlign w:val="top"/>
          </w:tcPr>
          <w:p w14:paraId="130A262E">
            <w:pPr>
              <w:wordWrap w:val="0"/>
              <w:spacing w:line="360" w:lineRule="auto"/>
              <w:outlineLvl w:val="9"/>
              <w:rPr>
                <w:rFonts w:hint="eastAsia" w:ascii="宋体" w:hAnsi="宋体" w:eastAsia="宋体" w:cs="宋体"/>
                <w:color w:val="000000"/>
                <w:sz w:val="24"/>
                <w:szCs w:val="24"/>
              </w:rPr>
            </w:pPr>
          </w:p>
        </w:tc>
        <w:tc>
          <w:tcPr>
            <w:tcW w:w="1839" w:type="dxa"/>
            <w:tcBorders>
              <w:top w:val="single" w:color="000000" w:sz="4" w:space="0"/>
              <w:left w:val="single" w:color="000000" w:sz="4" w:space="0"/>
              <w:bottom w:val="single" w:color="000000" w:sz="4" w:space="0"/>
              <w:right w:val="single" w:color="000000" w:sz="4" w:space="0"/>
            </w:tcBorders>
            <w:noWrap w:val="0"/>
            <w:vAlign w:val="top"/>
          </w:tcPr>
          <w:p w14:paraId="5342B8AC">
            <w:pPr>
              <w:wordWrap w:val="0"/>
              <w:spacing w:line="360" w:lineRule="auto"/>
              <w:jc w:val="distribute"/>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开  户  行</w:t>
            </w:r>
          </w:p>
        </w:tc>
        <w:tc>
          <w:tcPr>
            <w:tcW w:w="3952" w:type="dxa"/>
            <w:tcBorders>
              <w:top w:val="single" w:color="000000" w:sz="4" w:space="0"/>
              <w:left w:val="single" w:color="000000" w:sz="4" w:space="0"/>
              <w:bottom w:val="single" w:color="000000" w:sz="4" w:space="0"/>
              <w:right w:val="single" w:color="000000" w:sz="4" w:space="0"/>
            </w:tcBorders>
            <w:noWrap w:val="0"/>
            <w:vAlign w:val="top"/>
          </w:tcPr>
          <w:p w14:paraId="769B7855">
            <w:pPr>
              <w:spacing w:line="360" w:lineRule="auto"/>
              <w:outlineLvl w:val="9"/>
              <w:rPr>
                <w:rFonts w:hint="eastAsia" w:ascii="宋体" w:hAnsi="宋体" w:eastAsia="宋体" w:cs="宋体"/>
                <w:bCs/>
                <w:sz w:val="24"/>
                <w:szCs w:val="24"/>
                <w:highlight w:val="yellow"/>
                <w:lang w:eastAsia="zh-CN"/>
              </w:rPr>
            </w:pPr>
          </w:p>
        </w:tc>
      </w:tr>
      <w:tr w14:paraId="7BA3A9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trHeight w:val="430" w:hRule="atLeast"/>
          <w:jc w:val="center"/>
        </w:trPr>
        <w:tc>
          <w:tcPr>
            <w:tcW w:w="1604" w:type="dxa"/>
            <w:tcBorders>
              <w:top w:val="single" w:color="000000" w:sz="4" w:space="0"/>
              <w:left w:val="single" w:color="000000" w:sz="4" w:space="0"/>
              <w:bottom w:val="single" w:color="000000" w:sz="4" w:space="0"/>
              <w:right w:val="single" w:color="000000" w:sz="4" w:space="0"/>
            </w:tcBorders>
            <w:noWrap w:val="0"/>
            <w:vAlign w:val="top"/>
          </w:tcPr>
          <w:p w14:paraId="19C6A354">
            <w:pPr>
              <w:wordWrap w:val="0"/>
              <w:spacing w:line="360" w:lineRule="auto"/>
              <w:jc w:val="distribute"/>
              <w:outlineLvl w:val="9"/>
              <w:rPr>
                <w:rFonts w:hint="eastAsia" w:ascii="宋体" w:hAnsi="宋体" w:eastAsia="宋体" w:cs="宋体"/>
                <w:color w:val="000000"/>
                <w:sz w:val="24"/>
                <w:szCs w:val="24"/>
              </w:rPr>
            </w:pPr>
            <w:r>
              <w:rPr>
                <w:rFonts w:hint="eastAsia" w:ascii="宋体" w:hAnsi="宋体" w:eastAsia="宋体" w:cs="宋体"/>
                <w:bCs/>
                <w:color w:val="000000"/>
                <w:sz w:val="24"/>
                <w:szCs w:val="24"/>
              </w:rPr>
              <w:t>帐      号</w:t>
            </w:r>
          </w:p>
        </w:tc>
        <w:tc>
          <w:tcPr>
            <w:tcW w:w="2535" w:type="dxa"/>
            <w:tcBorders>
              <w:top w:val="single" w:color="000000" w:sz="4" w:space="0"/>
              <w:left w:val="single" w:color="000000" w:sz="4" w:space="0"/>
              <w:bottom w:val="single" w:color="000000" w:sz="4" w:space="0"/>
              <w:right w:val="single" w:color="000000" w:sz="4" w:space="0"/>
            </w:tcBorders>
            <w:noWrap w:val="0"/>
            <w:vAlign w:val="top"/>
          </w:tcPr>
          <w:p w14:paraId="20D93009">
            <w:pPr>
              <w:wordWrap w:val="0"/>
              <w:spacing w:line="360" w:lineRule="auto"/>
              <w:outlineLvl w:val="9"/>
              <w:rPr>
                <w:rFonts w:hint="eastAsia" w:ascii="宋体" w:hAnsi="宋体" w:eastAsia="宋体" w:cs="宋体"/>
                <w:color w:val="000000"/>
                <w:sz w:val="24"/>
                <w:szCs w:val="24"/>
              </w:rPr>
            </w:pPr>
          </w:p>
        </w:tc>
        <w:tc>
          <w:tcPr>
            <w:tcW w:w="1839" w:type="dxa"/>
            <w:tcBorders>
              <w:top w:val="single" w:color="000000" w:sz="4" w:space="0"/>
              <w:left w:val="single" w:color="000000" w:sz="4" w:space="0"/>
              <w:bottom w:val="single" w:color="000000" w:sz="4" w:space="0"/>
              <w:right w:val="single" w:color="000000" w:sz="4" w:space="0"/>
            </w:tcBorders>
            <w:noWrap w:val="0"/>
            <w:vAlign w:val="top"/>
          </w:tcPr>
          <w:p w14:paraId="307092A4">
            <w:pPr>
              <w:wordWrap w:val="0"/>
              <w:spacing w:line="360" w:lineRule="auto"/>
              <w:jc w:val="distribute"/>
              <w:outlineLvl w:val="9"/>
              <w:rPr>
                <w:rFonts w:hint="eastAsia" w:ascii="宋体" w:hAnsi="宋体" w:eastAsia="宋体" w:cs="宋体"/>
                <w:color w:val="000000"/>
                <w:sz w:val="24"/>
                <w:szCs w:val="24"/>
              </w:rPr>
            </w:pPr>
            <w:r>
              <w:rPr>
                <w:rFonts w:hint="eastAsia" w:ascii="宋体" w:hAnsi="宋体" w:eastAsia="宋体" w:cs="宋体"/>
                <w:bCs/>
                <w:color w:val="000000"/>
                <w:sz w:val="24"/>
                <w:szCs w:val="24"/>
              </w:rPr>
              <w:t>帐      号</w:t>
            </w:r>
          </w:p>
        </w:tc>
        <w:tc>
          <w:tcPr>
            <w:tcW w:w="3952" w:type="dxa"/>
            <w:tcBorders>
              <w:top w:val="single" w:color="000000" w:sz="4" w:space="0"/>
              <w:left w:val="single" w:color="000000" w:sz="4" w:space="0"/>
              <w:bottom w:val="single" w:color="000000" w:sz="4" w:space="0"/>
              <w:right w:val="single" w:color="000000" w:sz="4" w:space="0"/>
            </w:tcBorders>
            <w:noWrap w:val="0"/>
            <w:vAlign w:val="top"/>
          </w:tcPr>
          <w:p w14:paraId="50119A0C">
            <w:pPr>
              <w:wordWrap w:val="0"/>
              <w:spacing w:line="360" w:lineRule="auto"/>
              <w:outlineLvl w:val="9"/>
              <w:rPr>
                <w:rFonts w:hint="eastAsia" w:ascii="宋体" w:hAnsi="宋体" w:eastAsia="宋体" w:cs="宋体"/>
                <w:sz w:val="24"/>
                <w:szCs w:val="24"/>
                <w:highlight w:val="yellow"/>
              </w:rPr>
            </w:pPr>
          </w:p>
        </w:tc>
      </w:tr>
      <w:tr w14:paraId="73DF1A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trHeight w:val="112" w:hRule="atLeast"/>
          <w:jc w:val="center"/>
        </w:trPr>
        <w:tc>
          <w:tcPr>
            <w:tcW w:w="1604" w:type="dxa"/>
            <w:tcBorders>
              <w:top w:val="single" w:color="000000" w:sz="4" w:space="0"/>
              <w:left w:val="single" w:color="000000" w:sz="4" w:space="0"/>
              <w:bottom w:val="single" w:color="000000" w:sz="4" w:space="0"/>
              <w:right w:val="single" w:color="000000" w:sz="4" w:space="0"/>
            </w:tcBorders>
            <w:noWrap w:val="0"/>
            <w:vAlign w:val="top"/>
          </w:tcPr>
          <w:p w14:paraId="2B59864F">
            <w:pPr>
              <w:wordWrap w:val="0"/>
              <w:spacing w:line="360" w:lineRule="auto"/>
              <w:jc w:val="distribute"/>
              <w:outlineLvl w:val="9"/>
              <w:rPr>
                <w:rFonts w:hint="eastAsia" w:ascii="宋体" w:hAnsi="宋体" w:eastAsia="宋体" w:cs="宋体"/>
                <w:color w:val="000000"/>
                <w:sz w:val="24"/>
                <w:szCs w:val="24"/>
              </w:rPr>
            </w:pPr>
            <w:r>
              <w:rPr>
                <w:rFonts w:hint="eastAsia" w:ascii="宋体" w:hAnsi="宋体" w:eastAsia="宋体" w:cs="宋体"/>
                <w:bCs/>
                <w:color w:val="000000"/>
                <w:sz w:val="24"/>
                <w:szCs w:val="24"/>
              </w:rPr>
              <w:t>签订日期</w:t>
            </w:r>
          </w:p>
        </w:tc>
        <w:tc>
          <w:tcPr>
            <w:tcW w:w="2535" w:type="dxa"/>
            <w:tcBorders>
              <w:top w:val="single" w:color="000000" w:sz="4" w:space="0"/>
              <w:left w:val="single" w:color="000000" w:sz="4" w:space="0"/>
              <w:bottom w:val="single" w:color="000000" w:sz="4" w:space="0"/>
              <w:right w:val="single" w:color="000000" w:sz="4" w:space="0"/>
            </w:tcBorders>
            <w:noWrap w:val="0"/>
            <w:vAlign w:val="top"/>
          </w:tcPr>
          <w:p w14:paraId="7CB7B989">
            <w:pPr>
              <w:wordWrap w:val="0"/>
              <w:spacing w:line="360" w:lineRule="auto"/>
              <w:outlineLvl w:val="9"/>
              <w:rPr>
                <w:rFonts w:hint="eastAsia" w:ascii="宋体" w:hAnsi="宋体" w:eastAsia="宋体" w:cs="宋体"/>
                <w:bCs/>
                <w:color w:val="000000"/>
                <w:sz w:val="24"/>
                <w:szCs w:val="24"/>
              </w:rPr>
            </w:pPr>
            <w:r>
              <w:rPr>
                <w:rFonts w:hint="eastAsia" w:ascii="宋体" w:hAnsi="宋体" w:eastAsia="宋体" w:cs="宋体"/>
                <w:bCs/>
                <w:color w:val="000000"/>
                <w:sz w:val="24"/>
                <w:szCs w:val="24"/>
              </w:rPr>
              <w:t>202</w:t>
            </w:r>
            <w:r>
              <w:rPr>
                <w:rFonts w:hint="eastAsia" w:ascii="宋体" w:hAnsi="宋体" w:eastAsia="宋体" w:cs="宋体"/>
                <w:bCs/>
                <w:color w:val="000000"/>
                <w:sz w:val="24"/>
                <w:szCs w:val="24"/>
                <w:lang w:val="en-US" w:eastAsia="zh-CN"/>
              </w:rPr>
              <w:t xml:space="preserve"> </w:t>
            </w:r>
            <w:r>
              <w:rPr>
                <w:rFonts w:hint="eastAsia" w:ascii="宋体" w:hAnsi="宋体" w:eastAsia="宋体" w:cs="宋体"/>
                <w:bCs/>
                <w:color w:val="000000"/>
                <w:sz w:val="24"/>
                <w:szCs w:val="24"/>
              </w:rPr>
              <w:t>年</w:t>
            </w:r>
            <w:r>
              <w:rPr>
                <w:rFonts w:hint="eastAsia" w:ascii="宋体" w:hAnsi="宋体" w:eastAsia="宋体" w:cs="宋体"/>
                <w:bCs/>
                <w:color w:val="000000"/>
                <w:sz w:val="24"/>
                <w:szCs w:val="24"/>
                <w:lang w:val="en-US" w:eastAsia="zh-CN"/>
              </w:rPr>
              <w:t xml:space="preserve">  </w:t>
            </w:r>
            <w:r>
              <w:rPr>
                <w:rFonts w:hint="eastAsia" w:ascii="宋体" w:hAnsi="宋体" w:eastAsia="宋体" w:cs="宋体"/>
                <w:bCs/>
                <w:color w:val="000000"/>
                <w:sz w:val="24"/>
                <w:szCs w:val="24"/>
              </w:rPr>
              <w:t>月</w:t>
            </w:r>
            <w:r>
              <w:rPr>
                <w:rFonts w:hint="eastAsia" w:ascii="宋体" w:hAnsi="宋体" w:eastAsia="宋体" w:cs="宋体"/>
                <w:bCs/>
                <w:color w:val="000000"/>
                <w:sz w:val="24"/>
                <w:szCs w:val="24"/>
                <w:lang w:val="en-US" w:eastAsia="zh-CN"/>
              </w:rPr>
              <w:t xml:space="preserve">  </w:t>
            </w:r>
            <w:r>
              <w:rPr>
                <w:rFonts w:hint="eastAsia" w:ascii="宋体" w:hAnsi="宋体" w:eastAsia="宋体" w:cs="宋体"/>
                <w:bCs/>
                <w:color w:val="000000"/>
                <w:sz w:val="24"/>
                <w:szCs w:val="24"/>
              </w:rPr>
              <w:t xml:space="preserve"> 日</w:t>
            </w:r>
          </w:p>
        </w:tc>
        <w:tc>
          <w:tcPr>
            <w:tcW w:w="1839" w:type="dxa"/>
            <w:tcBorders>
              <w:top w:val="single" w:color="000000" w:sz="4" w:space="0"/>
              <w:left w:val="single" w:color="000000" w:sz="4" w:space="0"/>
              <w:bottom w:val="single" w:color="000000" w:sz="4" w:space="0"/>
              <w:right w:val="single" w:color="000000" w:sz="4" w:space="0"/>
            </w:tcBorders>
            <w:noWrap w:val="0"/>
            <w:vAlign w:val="top"/>
          </w:tcPr>
          <w:p w14:paraId="2A05050B">
            <w:pPr>
              <w:wordWrap w:val="0"/>
              <w:spacing w:line="360" w:lineRule="auto"/>
              <w:jc w:val="distribute"/>
              <w:outlineLvl w:val="9"/>
              <w:rPr>
                <w:rFonts w:hint="eastAsia" w:ascii="宋体" w:hAnsi="宋体" w:eastAsia="宋体" w:cs="宋体"/>
                <w:bCs/>
                <w:color w:val="000000"/>
                <w:spacing w:val="30"/>
                <w:sz w:val="24"/>
                <w:szCs w:val="24"/>
              </w:rPr>
            </w:pPr>
            <w:r>
              <w:rPr>
                <w:rFonts w:hint="eastAsia" w:ascii="宋体" w:hAnsi="宋体" w:eastAsia="宋体" w:cs="宋体"/>
                <w:bCs/>
                <w:color w:val="000000"/>
                <w:spacing w:val="30"/>
                <w:sz w:val="24"/>
                <w:szCs w:val="24"/>
              </w:rPr>
              <w:t>签订日期</w:t>
            </w:r>
          </w:p>
        </w:tc>
        <w:tc>
          <w:tcPr>
            <w:tcW w:w="3952" w:type="dxa"/>
            <w:tcBorders>
              <w:top w:val="single" w:color="000000" w:sz="4" w:space="0"/>
              <w:left w:val="single" w:color="000000" w:sz="4" w:space="0"/>
              <w:bottom w:val="single" w:color="000000" w:sz="4" w:space="0"/>
              <w:right w:val="single" w:color="000000" w:sz="4" w:space="0"/>
            </w:tcBorders>
            <w:noWrap w:val="0"/>
            <w:vAlign w:val="center"/>
          </w:tcPr>
          <w:p w14:paraId="3DCAB591">
            <w:pPr>
              <w:wordWrap w:val="0"/>
              <w:spacing w:line="360" w:lineRule="auto"/>
              <w:ind w:firstLine="360" w:firstLineChars="150"/>
              <w:outlineLvl w:val="9"/>
              <w:rPr>
                <w:rFonts w:hint="eastAsia" w:ascii="宋体" w:hAnsi="宋体" w:eastAsia="宋体" w:cs="宋体"/>
                <w:bCs/>
                <w:color w:val="000000"/>
                <w:sz w:val="24"/>
                <w:szCs w:val="24"/>
              </w:rPr>
            </w:pPr>
            <w:r>
              <w:rPr>
                <w:rFonts w:hint="eastAsia" w:ascii="宋体" w:hAnsi="宋体" w:eastAsia="宋体" w:cs="宋体"/>
                <w:bCs/>
                <w:color w:val="000000"/>
                <w:sz w:val="24"/>
                <w:szCs w:val="24"/>
              </w:rPr>
              <w:t>202</w:t>
            </w:r>
            <w:r>
              <w:rPr>
                <w:rFonts w:hint="eastAsia" w:ascii="宋体" w:hAnsi="宋体" w:eastAsia="宋体" w:cs="宋体"/>
                <w:bCs/>
                <w:color w:val="000000"/>
                <w:sz w:val="24"/>
                <w:szCs w:val="24"/>
                <w:lang w:val="en-US" w:eastAsia="zh-CN"/>
              </w:rPr>
              <w:t xml:space="preserve"> </w:t>
            </w:r>
            <w:r>
              <w:rPr>
                <w:rFonts w:hint="eastAsia" w:ascii="宋体" w:hAnsi="宋体" w:eastAsia="宋体" w:cs="宋体"/>
                <w:bCs/>
                <w:color w:val="000000"/>
                <w:sz w:val="24"/>
                <w:szCs w:val="24"/>
              </w:rPr>
              <w:t>年</w:t>
            </w:r>
            <w:r>
              <w:rPr>
                <w:rFonts w:hint="eastAsia" w:ascii="宋体" w:hAnsi="宋体" w:eastAsia="宋体" w:cs="宋体"/>
                <w:bCs/>
                <w:color w:val="000000"/>
                <w:sz w:val="24"/>
                <w:szCs w:val="24"/>
                <w:lang w:val="en-US" w:eastAsia="zh-CN"/>
              </w:rPr>
              <w:t xml:space="preserve">  </w:t>
            </w:r>
            <w:r>
              <w:rPr>
                <w:rFonts w:hint="eastAsia" w:ascii="宋体" w:hAnsi="宋体" w:eastAsia="宋体" w:cs="宋体"/>
                <w:bCs/>
                <w:color w:val="000000"/>
                <w:sz w:val="24"/>
                <w:szCs w:val="24"/>
              </w:rPr>
              <w:t>月</w:t>
            </w:r>
            <w:r>
              <w:rPr>
                <w:rFonts w:hint="eastAsia" w:ascii="宋体" w:hAnsi="宋体" w:eastAsia="宋体" w:cs="宋体"/>
                <w:bCs/>
                <w:color w:val="000000"/>
                <w:sz w:val="24"/>
                <w:szCs w:val="24"/>
                <w:lang w:val="en-US" w:eastAsia="zh-CN"/>
              </w:rPr>
              <w:t xml:space="preserve">  </w:t>
            </w:r>
            <w:r>
              <w:rPr>
                <w:rFonts w:hint="eastAsia" w:ascii="宋体" w:hAnsi="宋体" w:eastAsia="宋体" w:cs="宋体"/>
                <w:bCs/>
                <w:color w:val="000000"/>
                <w:sz w:val="24"/>
                <w:szCs w:val="24"/>
              </w:rPr>
              <w:t>日</w:t>
            </w:r>
          </w:p>
        </w:tc>
      </w:tr>
    </w:tbl>
    <w:p w14:paraId="041D8281">
      <w:pPr>
        <w:spacing w:line="360" w:lineRule="auto"/>
        <w:jc w:val="center"/>
        <w:outlineLvl w:val="9"/>
        <w:rPr>
          <w:rFonts w:hint="eastAsia" w:ascii="宋体" w:hAnsi="宋体" w:eastAsia="宋体" w:cs="宋体"/>
          <w:b/>
          <w:bCs/>
          <w:sz w:val="24"/>
          <w:szCs w:val="24"/>
        </w:rPr>
      </w:pPr>
      <w:r>
        <w:rPr>
          <w:rFonts w:hint="eastAsia" w:ascii="宋体" w:hAnsi="宋体" w:eastAsia="宋体" w:cs="宋体"/>
          <w:b/>
          <w:bCs/>
          <w:sz w:val="24"/>
          <w:szCs w:val="24"/>
        </w:rPr>
        <w:br w:type="page"/>
      </w:r>
      <w:r>
        <w:rPr>
          <w:rFonts w:hint="eastAsia" w:ascii="宋体" w:hAnsi="宋体" w:eastAsia="宋体" w:cs="宋体"/>
          <w:b/>
          <w:bCs/>
          <w:sz w:val="24"/>
          <w:szCs w:val="24"/>
        </w:rPr>
        <w:t>陕西省人民医院</w:t>
      </w:r>
    </w:p>
    <w:p w14:paraId="01B32E8D">
      <w:pPr>
        <w:spacing w:line="360" w:lineRule="auto"/>
        <w:jc w:val="center"/>
        <w:outlineLvl w:val="9"/>
        <w:rPr>
          <w:rFonts w:hint="eastAsia" w:ascii="宋体" w:hAnsi="宋体" w:eastAsia="宋体" w:cs="宋体"/>
          <w:b/>
          <w:bCs/>
          <w:sz w:val="24"/>
          <w:szCs w:val="24"/>
        </w:rPr>
      </w:pPr>
      <w:r>
        <w:rPr>
          <w:rFonts w:hint="eastAsia" w:ascii="宋体" w:hAnsi="宋体" w:eastAsia="宋体" w:cs="宋体"/>
          <w:b/>
          <w:bCs/>
          <w:sz w:val="24"/>
          <w:szCs w:val="24"/>
        </w:rPr>
        <w:t>货物采供廉政协议书</w:t>
      </w:r>
    </w:p>
    <w:p w14:paraId="17A7AE66">
      <w:pPr>
        <w:spacing w:line="360" w:lineRule="auto"/>
        <w:ind w:firstLine="480" w:firstLineChars="200"/>
        <w:outlineLvl w:val="9"/>
        <w:rPr>
          <w:rFonts w:hint="eastAsia" w:ascii="宋体" w:hAnsi="宋体" w:eastAsia="宋体" w:cs="宋体"/>
          <w:sz w:val="24"/>
          <w:szCs w:val="24"/>
        </w:rPr>
      </w:pPr>
      <w:r>
        <w:rPr>
          <w:rFonts w:hint="eastAsia" w:ascii="宋体" w:hAnsi="宋体" w:eastAsia="宋体" w:cs="宋体"/>
          <w:sz w:val="24"/>
          <w:szCs w:val="24"/>
        </w:rPr>
        <w:t>为进一步加强医疗卫生行风建设，严肃行业纪律，促进依法执业、廉洁行医，针对医疗卫生方面群众反映强烈的突出问题，杜绝耗材、货物采供中的商业贿赂，保证医用耗材和货物在医院合理有效的使用，双方达成以下协议：</w:t>
      </w:r>
    </w:p>
    <w:p w14:paraId="103B77B8">
      <w:pPr>
        <w:spacing w:line="360" w:lineRule="auto"/>
        <w:ind w:firstLine="480" w:firstLineChars="200"/>
        <w:outlineLvl w:val="9"/>
        <w:rPr>
          <w:rFonts w:hint="eastAsia" w:ascii="宋体" w:hAnsi="宋体" w:eastAsia="宋体" w:cs="宋体"/>
          <w:sz w:val="24"/>
          <w:szCs w:val="24"/>
        </w:rPr>
      </w:pPr>
      <w:r>
        <w:rPr>
          <w:rFonts w:hint="eastAsia" w:ascii="宋体" w:hAnsi="宋体" w:eastAsia="宋体" w:cs="宋体"/>
          <w:sz w:val="24"/>
          <w:szCs w:val="24"/>
        </w:rPr>
        <w:t>1、医院对医用耗材和货物的购置活动提供专门的接待场所和部门（耗材货物部），供应企业的促销人员不得到使用科室从事业务促销活动。</w:t>
      </w:r>
    </w:p>
    <w:p w14:paraId="2E4123FE">
      <w:pPr>
        <w:spacing w:line="360" w:lineRule="auto"/>
        <w:ind w:firstLine="480" w:firstLineChars="200"/>
        <w:outlineLvl w:val="9"/>
        <w:rPr>
          <w:rFonts w:hint="eastAsia" w:ascii="宋体" w:hAnsi="宋体" w:eastAsia="宋体" w:cs="宋体"/>
          <w:sz w:val="24"/>
          <w:szCs w:val="24"/>
        </w:rPr>
      </w:pPr>
      <w:r>
        <w:rPr>
          <w:rFonts w:hint="eastAsia" w:ascii="宋体" w:hAnsi="宋体" w:eastAsia="宋体" w:cs="宋体"/>
          <w:sz w:val="24"/>
          <w:szCs w:val="24"/>
        </w:rPr>
        <w:t>2、医院严格遵守耗材及货物采购、验收、保管、供应等各项制度。严禁供应企业违反规定私自为科室提供中标外产品。</w:t>
      </w:r>
    </w:p>
    <w:p w14:paraId="4F2CA535">
      <w:pPr>
        <w:spacing w:line="360" w:lineRule="auto"/>
        <w:ind w:firstLine="480" w:firstLineChars="200"/>
        <w:outlineLvl w:val="9"/>
        <w:rPr>
          <w:rFonts w:hint="eastAsia" w:ascii="宋体" w:hAnsi="宋体" w:eastAsia="宋体" w:cs="宋体"/>
          <w:sz w:val="24"/>
          <w:szCs w:val="24"/>
        </w:rPr>
      </w:pPr>
      <w:r>
        <w:rPr>
          <w:rFonts w:hint="eastAsia" w:ascii="宋体" w:hAnsi="宋体" w:eastAsia="宋体" w:cs="宋体"/>
          <w:sz w:val="24"/>
          <w:szCs w:val="24"/>
        </w:rPr>
        <w:t>3、严禁供应企业或经销人员以各种名义、形式给予医院工作人员回扣，严禁供应企业或经销人员为医院工作人员安排、组织或支付费用的营业性娱乐场所的娱乐活动。严禁供应企业或经销人员为院内各科会议、学习班、培训班以及出国培训项目提供赞助。</w:t>
      </w:r>
    </w:p>
    <w:p w14:paraId="29C48F41">
      <w:pPr>
        <w:spacing w:line="360" w:lineRule="auto"/>
        <w:ind w:firstLine="480" w:firstLineChars="200"/>
        <w:outlineLvl w:val="9"/>
        <w:rPr>
          <w:rFonts w:hint="eastAsia" w:ascii="宋体" w:hAnsi="宋体" w:eastAsia="宋体" w:cs="宋体"/>
          <w:sz w:val="24"/>
          <w:szCs w:val="24"/>
        </w:rPr>
      </w:pPr>
      <w:r>
        <w:rPr>
          <w:rFonts w:hint="eastAsia" w:ascii="宋体" w:hAnsi="宋体" w:eastAsia="宋体" w:cs="宋体"/>
          <w:sz w:val="24"/>
          <w:szCs w:val="24"/>
        </w:rPr>
        <w:t>4、严禁供应企业或经销人员以促销为目的为医院工作人员提供现金、有价证券、支付凭证和贵重礼品。</w:t>
      </w:r>
    </w:p>
    <w:p w14:paraId="238ACD90">
      <w:pPr>
        <w:spacing w:line="360" w:lineRule="auto"/>
        <w:ind w:firstLine="480" w:firstLineChars="200"/>
        <w:outlineLvl w:val="9"/>
        <w:rPr>
          <w:rFonts w:hint="eastAsia" w:ascii="宋体" w:hAnsi="宋体" w:eastAsia="宋体" w:cs="宋体"/>
          <w:sz w:val="24"/>
          <w:szCs w:val="24"/>
        </w:rPr>
      </w:pPr>
      <w:r>
        <w:rPr>
          <w:rFonts w:hint="eastAsia" w:ascii="宋体" w:hAnsi="宋体" w:eastAsia="宋体" w:cs="宋体"/>
          <w:sz w:val="24"/>
          <w:szCs w:val="24"/>
        </w:rPr>
        <w:t>5、如发现供应企业存在“商业贿赂”行为，医院按以下规定严肃处理：①立即停止该供应企业耗材、货物在医院的使用；②没收该企业的耗材、货物销售货款；③该企业不得再次参加医院的招投标；④行贿当事人不得再次参与医院有关的采供活动；⑤情节严重者上交国家司法部门处理。⑥如有医院工作人员向供应企业索要贿赂，供应企业可向医院纪检监察处反映。</w:t>
      </w:r>
    </w:p>
    <w:p w14:paraId="4AA19DDB">
      <w:pPr>
        <w:spacing w:line="360" w:lineRule="auto"/>
        <w:ind w:firstLine="480" w:firstLineChars="200"/>
        <w:outlineLvl w:val="9"/>
        <w:rPr>
          <w:rFonts w:hint="eastAsia" w:ascii="宋体" w:hAnsi="宋体" w:eastAsia="宋体" w:cs="宋体"/>
          <w:sz w:val="24"/>
          <w:szCs w:val="24"/>
        </w:rPr>
      </w:pPr>
      <w:r>
        <w:rPr>
          <w:rFonts w:hint="eastAsia" w:ascii="宋体" w:hAnsi="宋体" w:eastAsia="宋体" w:cs="宋体"/>
          <w:sz w:val="24"/>
          <w:szCs w:val="24"/>
        </w:rPr>
        <w:t>6、医院工作人员严格执行卫生行业九不准，不得向供应企业索取、接受回扣，不得接受供应企业或经销人员以促销为目的提供的现金、有价证券、支付凭证和贵重礼品，不得接受供应企业提供的支付费用的营业性娱乐场所的娱乐活动、会议、学习班、培训班以及出国培训项目等费用赞助活动。</w:t>
      </w:r>
    </w:p>
    <w:p w14:paraId="4F5D31BC">
      <w:pPr>
        <w:spacing w:line="360" w:lineRule="auto"/>
        <w:ind w:firstLine="200"/>
        <w:outlineLvl w:val="9"/>
        <w:rPr>
          <w:rFonts w:hint="eastAsia" w:ascii="宋体" w:hAnsi="宋体" w:eastAsia="宋体" w:cs="宋体"/>
          <w:sz w:val="24"/>
          <w:szCs w:val="24"/>
        </w:rPr>
      </w:pPr>
    </w:p>
    <w:p w14:paraId="3202DDC4">
      <w:pPr>
        <w:spacing w:line="360" w:lineRule="auto"/>
        <w:ind w:firstLine="200"/>
        <w:outlineLvl w:val="9"/>
        <w:rPr>
          <w:rFonts w:hint="eastAsia" w:ascii="宋体" w:hAnsi="宋体" w:eastAsia="宋体" w:cs="宋体"/>
          <w:sz w:val="24"/>
          <w:szCs w:val="24"/>
        </w:rPr>
      </w:pPr>
    </w:p>
    <w:p w14:paraId="40A87AC6">
      <w:pPr>
        <w:spacing w:line="360" w:lineRule="auto"/>
        <w:ind w:firstLine="200"/>
        <w:outlineLvl w:val="9"/>
        <w:rPr>
          <w:rFonts w:hint="eastAsia" w:ascii="宋体" w:hAnsi="宋体" w:eastAsia="宋体" w:cs="宋体"/>
          <w:sz w:val="24"/>
          <w:szCs w:val="24"/>
        </w:rPr>
      </w:pPr>
      <w:r>
        <w:rPr>
          <w:rFonts w:hint="eastAsia" w:ascii="宋体" w:hAnsi="宋体" w:eastAsia="宋体" w:cs="宋体"/>
          <w:sz w:val="24"/>
          <w:szCs w:val="24"/>
        </w:rPr>
        <w:t>陕西省人民医院（盖章）：           供应企业（签章）：</w:t>
      </w:r>
    </w:p>
    <w:p w14:paraId="7B636CE5">
      <w:pPr>
        <w:spacing w:line="360" w:lineRule="auto"/>
        <w:ind w:firstLine="4250" w:firstLineChars="1771"/>
        <w:outlineLvl w:val="9"/>
        <w:rPr>
          <w:rFonts w:hint="eastAsia" w:ascii="宋体" w:hAnsi="宋体" w:eastAsia="宋体" w:cs="宋体"/>
          <w:sz w:val="24"/>
          <w:szCs w:val="24"/>
        </w:rPr>
      </w:pPr>
      <w:r>
        <w:rPr>
          <w:rFonts w:hint="eastAsia" w:ascii="宋体" w:hAnsi="宋体" w:eastAsia="宋体" w:cs="宋体"/>
          <w:sz w:val="24"/>
          <w:szCs w:val="24"/>
        </w:rPr>
        <w:t>供应企业代表签字：</w:t>
      </w:r>
    </w:p>
    <w:p w14:paraId="5308C73D">
      <w:pPr>
        <w:spacing w:line="360" w:lineRule="auto"/>
        <w:ind w:right="560"/>
        <w:jc w:val="center"/>
        <w:outlineLvl w:val="9"/>
        <w:rPr>
          <w:rFonts w:hint="eastAsia" w:ascii="宋体" w:hAnsi="宋体" w:eastAsia="宋体" w:cs="宋体"/>
          <w:sz w:val="24"/>
          <w:szCs w:val="24"/>
        </w:rPr>
      </w:pPr>
      <w:r>
        <w:rPr>
          <w:rFonts w:hint="eastAsia" w:ascii="宋体" w:hAnsi="宋体" w:eastAsia="宋体" w:cs="宋体"/>
          <w:sz w:val="24"/>
          <w:szCs w:val="24"/>
        </w:rPr>
        <w:t xml:space="preserve">                                  202</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年  月  日</w:t>
      </w:r>
    </w:p>
    <w:p w14:paraId="74EC358C">
      <w:pPr>
        <w:spacing w:line="360" w:lineRule="auto"/>
        <w:ind w:right="560"/>
        <w:jc w:val="center"/>
        <w:outlineLvl w:val="9"/>
        <w:rPr>
          <w:rFonts w:hint="eastAsia" w:ascii="宋体" w:hAnsi="宋体" w:eastAsia="宋体" w:cs="宋体"/>
          <w:sz w:val="24"/>
          <w:szCs w:val="24"/>
        </w:rPr>
      </w:pPr>
    </w:p>
    <w:p w14:paraId="07CE20D5">
      <w:pPr>
        <w:spacing w:line="360" w:lineRule="auto"/>
        <w:ind w:right="560"/>
        <w:jc w:val="center"/>
        <w:outlineLvl w:val="9"/>
        <w:rPr>
          <w:rFonts w:hint="eastAsia" w:ascii="宋体" w:hAnsi="宋体" w:eastAsia="宋体" w:cs="宋体"/>
          <w:sz w:val="24"/>
          <w:szCs w:val="24"/>
        </w:rPr>
      </w:pPr>
    </w:p>
    <w:p w14:paraId="15DF67F0">
      <w:pPr>
        <w:spacing w:line="360" w:lineRule="auto"/>
        <w:ind w:right="560"/>
        <w:jc w:val="center"/>
        <w:outlineLvl w:val="9"/>
        <w:rPr>
          <w:rFonts w:hint="eastAsia" w:ascii="宋体" w:hAnsi="宋体" w:eastAsia="宋体" w:cs="宋体"/>
          <w:b/>
          <w:bCs/>
          <w:sz w:val="24"/>
          <w:szCs w:val="24"/>
        </w:rPr>
      </w:pPr>
      <w:r>
        <w:rPr>
          <w:rFonts w:hint="eastAsia" w:ascii="宋体" w:hAnsi="宋体" w:eastAsia="宋体" w:cs="宋体"/>
          <w:b/>
          <w:bCs/>
          <w:sz w:val="24"/>
          <w:szCs w:val="24"/>
        </w:rPr>
        <w:t>货物（药品）质量保证书</w:t>
      </w:r>
    </w:p>
    <w:p w14:paraId="5E514AD7">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致陕西省人民医院：</w:t>
      </w:r>
    </w:p>
    <w:p w14:paraId="4BF2B39E">
      <w:pPr>
        <w:spacing w:line="360" w:lineRule="auto"/>
        <w:ind w:firstLine="480" w:firstLineChars="200"/>
        <w:outlineLvl w:val="9"/>
        <w:rPr>
          <w:rFonts w:hint="eastAsia" w:ascii="宋体" w:hAnsi="宋体" w:eastAsia="宋体" w:cs="宋体"/>
          <w:sz w:val="24"/>
          <w:szCs w:val="24"/>
        </w:rPr>
      </w:pPr>
      <w:r>
        <w:rPr>
          <w:rFonts w:hint="eastAsia" w:ascii="宋体" w:hAnsi="宋体" w:eastAsia="宋体" w:cs="宋体"/>
          <w:sz w:val="24"/>
          <w:szCs w:val="24"/>
        </w:rPr>
        <w:t>我方对供应的货物质量全过程负责。包括：</w:t>
      </w:r>
    </w:p>
    <w:p w14:paraId="67621C4C">
      <w:pPr>
        <w:spacing w:line="360" w:lineRule="auto"/>
        <w:ind w:firstLine="480" w:firstLineChars="200"/>
        <w:outlineLvl w:val="9"/>
        <w:rPr>
          <w:rFonts w:hint="eastAsia" w:ascii="宋体" w:hAnsi="宋体" w:eastAsia="宋体" w:cs="宋体"/>
          <w:sz w:val="24"/>
          <w:szCs w:val="24"/>
        </w:rPr>
      </w:pPr>
      <w:r>
        <w:rPr>
          <w:rFonts w:hint="eastAsia" w:ascii="宋体" w:hAnsi="宋体" w:eastAsia="宋体" w:cs="宋体"/>
          <w:sz w:val="24"/>
          <w:szCs w:val="24"/>
        </w:rPr>
        <w:t>1、所提供的货物为取得食品药品监督管理局批准的品种。</w:t>
      </w:r>
    </w:p>
    <w:p w14:paraId="76DBDA27">
      <w:pPr>
        <w:spacing w:line="360" w:lineRule="auto"/>
        <w:ind w:firstLine="480" w:firstLineChars="200"/>
        <w:outlineLvl w:val="9"/>
        <w:rPr>
          <w:rFonts w:hint="eastAsia" w:ascii="宋体" w:hAnsi="宋体" w:eastAsia="宋体" w:cs="宋体"/>
          <w:sz w:val="24"/>
          <w:szCs w:val="24"/>
        </w:rPr>
      </w:pPr>
      <w:r>
        <w:rPr>
          <w:rFonts w:hint="eastAsia" w:ascii="宋体" w:hAnsi="宋体" w:eastAsia="宋体" w:cs="宋体"/>
          <w:sz w:val="24"/>
          <w:szCs w:val="24"/>
        </w:rPr>
        <w:t>2、所提供的货物质量符合该品种质量标准，经检验合格。</w:t>
      </w:r>
    </w:p>
    <w:p w14:paraId="7B0932BC">
      <w:pPr>
        <w:spacing w:line="360" w:lineRule="auto"/>
        <w:ind w:firstLine="480" w:firstLineChars="200"/>
        <w:outlineLvl w:val="9"/>
        <w:rPr>
          <w:rFonts w:hint="eastAsia" w:ascii="宋体" w:hAnsi="宋体" w:eastAsia="宋体" w:cs="宋体"/>
          <w:sz w:val="24"/>
          <w:szCs w:val="24"/>
        </w:rPr>
      </w:pPr>
      <w:r>
        <w:rPr>
          <w:rFonts w:hint="eastAsia" w:ascii="宋体" w:hAnsi="宋体" w:eastAsia="宋体" w:cs="宋体"/>
          <w:sz w:val="24"/>
          <w:szCs w:val="24"/>
        </w:rPr>
        <w:t>3、除非招标人对有效期另有规定，投标人所提供体外诊断货物（药品）/医用耗材有效期不得少于6个月。</w:t>
      </w:r>
    </w:p>
    <w:p w14:paraId="454C2100">
      <w:pPr>
        <w:spacing w:line="360" w:lineRule="auto"/>
        <w:ind w:firstLine="480" w:firstLineChars="200"/>
        <w:outlineLvl w:val="9"/>
        <w:rPr>
          <w:rFonts w:hint="eastAsia" w:ascii="宋体" w:hAnsi="宋体" w:eastAsia="宋体" w:cs="宋体"/>
          <w:sz w:val="24"/>
          <w:szCs w:val="24"/>
        </w:rPr>
      </w:pPr>
      <w:r>
        <w:rPr>
          <w:rFonts w:hint="eastAsia" w:ascii="宋体" w:hAnsi="宋体" w:eastAsia="宋体" w:cs="宋体"/>
          <w:sz w:val="24"/>
          <w:szCs w:val="24"/>
        </w:rPr>
        <w:t>4、我方有与货物贮存条件相符合的运输条件(包括冷链运输)，保证货物贮存及运输途中符合规定条件。</w:t>
      </w:r>
    </w:p>
    <w:p w14:paraId="0430CD72">
      <w:pPr>
        <w:spacing w:line="360" w:lineRule="auto"/>
        <w:ind w:firstLine="480" w:firstLineChars="200"/>
        <w:outlineLvl w:val="9"/>
        <w:rPr>
          <w:rFonts w:hint="eastAsia" w:ascii="宋体" w:hAnsi="宋体" w:eastAsia="宋体" w:cs="宋体"/>
          <w:sz w:val="24"/>
          <w:szCs w:val="24"/>
        </w:rPr>
      </w:pPr>
      <w:r>
        <w:rPr>
          <w:rFonts w:hint="eastAsia" w:ascii="宋体" w:hAnsi="宋体" w:eastAsia="宋体" w:cs="宋体"/>
          <w:sz w:val="24"/>
          <w:szCs w:val="24"/>
        </w:rPr>
        <w:t>5、对送达使用单位的不合格货物无条件退换。</w:t>
      </w:r>
    </w:p>
    <w:p w14:paraId="08F88880">
      <w:pPr>
        <w:spacing w:line="360" w:lineRule="auto"/>
        <w:ind w:firstLine="480" w:firstLineChars="200"/>
        <w:outlineLvl w:val="9"/>
        <w:rPr>
          <w:rFonts w:hint="eastAsia" w:ascii="宋体" w:hAnsi="宋体" w:eastAsia="宋体" w:cs="宋体"/>
          <w:sz w:val="24"/>
          <w:szCs w:val="24"/>
        </w:rPr>
      </w:pPr>
      <w:r>
        <w:rPr>
          <w:rFonts w:hint="eastAsia" w:ascii="宋体" w:hAnsi="宋体" w:eastAsia="宋体" w:cs="宋体"/>
          <w:sz w:val="24"/>
          <w:szCs w:val="24"/>
        </w:rPr>
        <w:t>6、进口货物需按照要求有中文标识。</w:t>
      </w:r>
    </w:p>
    <w:p w14:paraId="22717E9B">
      <w:pPr>
        <w:spacing w:line="360" w:lineRule="auto"/>
        <w:ind w:firstLine="480" w:firstLineChars="200"/>
        <w:outlineLvl w:val="9"/>
        <w:rPr>
          <w:rFonts w:hint="eastAsia" w:ascii="宋体" w:hAnsi="宋体" w:eastAsia="宋体" w:cs="宋体"/>
          <w:sz w:val="24"/>
          <w:szCs w:val="24"/>
        </w:rPr>
      </w:pPr>
      <w:r>
        <w:rPr>
          <w:rFonts w:hint="eastAsia" w:ascii="宋体" w:hAnsi="宋体" w:eastAsia="宋体" w:cs="宋体"/>
          <w:sz w:val="24"/>
          <w:szCs w:val="24"/>
        </w:rPr>
        <w:t>7、因货物质量问题造成的检验结果不准、医患纠纷、国家监督管理部门处罚等一切责任由我门承担，包括经济损失。</w:t>
      </w:r>
    </w:p>
    <w:p w14:paraId="025078F4">
      <w:pPr>
        <w:spacing w:line="360" w:lineRule="auto"/>
        <w:outlineLvl w:val="9"/>
        <w:rPr>
          <w:rFonts w:hint="eastAsia" w:ascii="宋体" w:hAnsi="宋体" w:eastAsia="宋体" w:cs="宋体"/>
          <w:sz w:val="24"/>
          <w:szCs w:val="24"/>
        </w:rPr>
      </w:pPr>
    </w:p>
    <w:p w14:paraId="13BD059E">
      <w:pPr>
        <w:tabs>
          <w:tab w:val="left" w:pos="6495"/>
        </w:tabs>
        <w:spacing w:line="360" w:lineRule="auto"/>
        <w:outlineLvl w:val="9"/>
        <w:rPr>
          <w:rFonts w:hint="eastAsia" w:ascii="宋体" w:hAnsi="宋体" w:eastAsia="宋体" w:cs="宋体"/>
          <w:sz w:val="24"/>
          <w:szCs w:val="24"/>
        </w:rPr>
      </w:pPr>
      <w:r>
        <w:rPr>
          <w:rFonts w:hint="eastAsia" w:ascii="宋体" w:hAnsi="宋体" w:eastAsia="宋体" w:cs="宋体"/>
          <w:sz w:val="24"/>
          <w:szCs w:val="24"/>
        </w:rPr>
        <w:tab/>
      </w:r>
    </w:p>
    <w:p w14:paraId="4CA248BC">
      <w:pPr>
        <w:spacing w:line="360" w:lineRule="auto"/>
        <w:outlineLvl w:val="9"/>
        <w:rPr>
          <w:rFonts w:hint="eastAsia" w:ascii="宋体" w:hAnsi="宋体" w:eastAsia="宋体" w:cs="宋体"/>
          <w:sz w:val="24"/>
          <w:szCs w:val="24"/>
        </w:rPr>
      </w:pPr>
    </w:p>
    <w:p w14:paraId="5C6D3DC7">
      <w:pPr>
        <w:spacing w:line="360" w:lineRule="auto"/>
        <w:outlineLvl w:val="9"/>
        <w:rPr>
          <w:rFonts w:hint="eastAsia" w:ascii="宋体" w:hAnsi="宋体" w:eastAsia="宋体" w:cs="宋体"/>
          <w:sz w:val="24"/>
          <w:szCs w:val="24"/>
        </w:rPr>
      </w:pPr>
    </w:p>
    <w:p w14:paraId="5236FC6F">
      <w:pPr>
        <w:spacing w:line="360" w:lineRule="auto"/>
        <w:ind w:firstLine="4320" w:firstLineChars="1800"/>
        <w:outlineLvl w:val="9"/>
        <w:rPr>
          <w:rFonts w:hint="eastAsia" w:ascii="宋体" w:hAnsi="宋体" w:eastAsia="宋体" w:cs="宋体"/>
          <w:sz w:val="24"/>
          <w:szCs w:val="24"/>
        </w:rPr>
      </w:pPr>
      <w:r>
        <w:rPr>
          <w:rFonts w:hint="eastAsia" w:ascii="宋体" w:hAnsi="宋体" w:eastAsia="宋体" w:cs="宋体"/>
          <w:sz w:val="24"/>
          <w:szCs w:val="24"/>
        </w:rPr>
        <w:t>供应企业代表签字：</w:t>
      </w:r>
    </w:p>
    <w:p w14:paraId="56C3E54E">
      <w:pPr>
        <w:spacing w:line="360" w:lineRule="auto"/>
        <w:ind w:firstLine="4320" w:firstLineChars="1800"/>
        <w:outlineLvl w:val="9"/>
        <w:rPr>
          <w:rFonts w:hint="eastAsia" w:ascii="宋体" w:hAnsi="宋体" w:eastAsia="宋体" w:cs="宋体"/>
          <w:sz w:val="24"/>
          <w:szCs w:val="24"/>
        </w:rPr>
      </w:pPr>
      <w:r>
        <w:rPr>
          <w:rFonts w:hint="eastAsia" w:ascii="宋体" w:hAnsi="宋体" w:eastAsia="宋体" w:cs="宋体"/>
          <w:sz w:val="24"/>
          <w:szCs w:val="24"/>
        </w:rPr>
        <w:t>供应企业（盖章）：</w:t>
      </w:r>
    </w:p>
    <w:p w14:paraId="699A1AC4">
      <w:pPr>
        <w:ind w:firstLine="4320" w:firstLineChars="1800"/>
      </w:pPr>
      <w:r>
        <w:rPr>
          <w:rFonts w:hint="eastAsia" w:ascii="宋体" w:hAnsi="宋体" w:eastAsia="宋体" w:cs="宋体"/>
          <w:sz w:val="24"/>
          <w:szCs w:val="24"/>
        </w:rPr>
        <w:t>202</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年  月  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F452C06"/>
    <w:multiLevelType w:val="multilevel"/>
    <w:tmpl w:val="5F452C06"/>
    <w:lvl w:ilvl="0" w:tentative="0">
      <w:start w:val="1"/>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c0ZjhjMTdhMzRiZWE0ZWJlYzdmZjM1NmIxYzE0OTMifQ=="/>
  </w:docVars>
  <w:rsids>
    <w:rsidRoot w:val="00000000"/>
    <w:rsid w:val="7D2A3B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Body Text"/>
    <w:basedOn w:val="1"/>
    <w:qFormat/>
    <w:uiPriority w:val="0"/>
    <w:rPr>
      <w:color w:val="993300"/>
      <w:sz w:val="24"/>
    </w:rPr>
  </w:style>
  <w:style w:type="paragraph" w:customStyle="1" w:styleId="6">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2024-08-02T05:34:48Z</dcterms:created>
  <dc:creator>Administrator</dc:creator>
  <cp:lastModifiedBy>夏日微凉</cp:lastModifiedBy>
  <dcterms:modified xsi:type="dcterms:W3CDTF">2024-08-02T05:35:33Z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07A009DF84A84C899B45490BB9C6D220_12</vt:lpwstr>
  </property>
</Properties>
</file>