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放免中心非封闭试剂采购项目(四次)</w:t>
      </w:r>
    </w:p>
    <w:p>
      <w:pPr>
        <w:pStyle w:val="null3"/>
        <w:jc w:val="center"/>
        <w:outlineLvl w:val="5"/>
      </w:pPr>
      <w:r>
        <w:rPr>
          <w:sz w:val="15"/>
          <w:b/>
        </w:rPr>
        <w:t xml:space="preserve">项目编号: </w:t>
      </w:r>
      <w:r>
        <w:rPr>
          <w:sz w:val="15"/>
          <w:b/>
        </w:rPr>
        <w:t>SZT2023-SN-SC-ZC-HW-0899.1.2.3.4.5.6BD3</w:t>
      </w:r>
      <w:r>
        <w:br/>
      </w:r>
      <w:r>
        <w:br/>
      </w:r>
      <w:r>
        <w:br/>
      </w:r>
      <w:r>
        <w:br/>
      </w:r>
      <w:r>
        <w:br/>
      </w:r>
    </w:p>
    <w:p>
      <w:pPr>
        <w:pStyle w:val="null3"/>
        <w:jc w:val="center"/>
        <w:outlineLvl w:val="5"/>
      </w:pPr>
      <w:r>
        <w:rPr>
          <w:sz w:val="15"/>
          <w:b/>
        </w:rPr>
        <w:t>陕西省人民医院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2024年08月05日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陕西省人民医院</w:t>
      </w:r>
      <w:r>
        <w:rPr/>
        <w:t>委托，拟对</w:t>
      </w:r>
      <w:r>
        <w:rPr/>
        <w:t>放免中心非封闭试剂采购项目(四次)</w:t>
      </w:r>
      <w:r>
        <w:rPr/>
        <w:t>采用单一来源方式进行采购，现邀请贵公司参加该项目的协商。</w:t>
      </w:r>
    </w:p>
    <w:p>
      <w:pPr>
        <w:pStyle w:val="null3"/>
        <w:outlineLvl w:val="2"/>
      </w:pPr>
      <w:r>
        <w:rPr>
          <w:sz w:val="28"/>
          <w:b/>
        </w:rPr>
        <w:t>一、采购项目编号：</w:t>
      </w:r>
      <w:r>
        <w:rPr>
          <w:sz w:val="28"/>
          <w:b/>
        </w:rPr>
        <w:t>SZT2023-SN-SC-ZC-HW-0899.1.2.3.4.5.6BD3</w:t>
      </w:r>
    </w:p>
    <w:p>
      <w:pPr>
        <w:pStyle w:val="null3"/>
        <w:outlineLvl w:val="2"/>
      </w:pPr>
      <w:r>
        <w:rPr>
          <w:sz w:val="28"/>
          <w:b/>
        </w:rPr>
        <w:t>二、采购项目名称：</w:t>
      </w:r>
      <w:r>
        <w:rPr>
          <w:sz w:val="28"/>
          <w:b/>
        </w:rPr>
        <w:t>放免中心非封闭试剂采购项目(四次)</w:t>
      </w:r>
    </w:p>
    <w:p>
      <w:pPr>
        <w:pStyle w:val="null3"/>
        <w:outlineLvl w:val="2"/>
      </w:pPr>
      <w:r>
        <w:rPr>
          <w:sz w:val="28"/>
          <w:b/>
        </w:rPr>
        <w:t>三、协商项目简介：</w:t>
      </w:r>
    </w:p>
    <w:p>
      <w:pPr>
        <w:pStyle w:val="null3"/>
        <w:ind w:firstLine="480"/>
      </w:pPr>
      <w:r>
        <w:rPr/>
        <w:t>陕西省人民医院放免中心非封闭试剂采购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t>采购包2：</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t>采购包3：</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t>采购包4：</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t>采购包5：</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t>采购包6：</w:t>
      </w:r>
    </w:p>
    <w:p>
      <w:pPr>
        <w:pStyle w:val="null3"/>
      </w:pPr>
      <w:r>
        <w:rPr/>
        <w:t>1、法定代表人身份证或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2、出具医疗器械经营许可证或医疗器械经营备案证：出具供应商医疗器械经营许可证或医疗器械经营备案证</w:t>
      </w:r>
    </w:p>
    <w:p>
      <w:pPr>
        <w:pStyle w:val="null3"/>
      </w:pPr>
      <w:r>
        <w:rPr/>
        <w:t>3、出具生产厂家的医疗器械生产许可证或医疗器械生产备案证：出具生产厂家的医疗器械生产许可证或医疗器械生产备案证</w:t>
      </w:r>
    </w:p>
    <w:p>
      <w:pPr>
        <w:pStyle w:val="null3"/>
      </w:pPr>
      <w:r>
        <w:rPr/>
        <w:t>4、出具所投产品医疗器械注册证或医疗器械备案凭证：出具所投产品医疗器械注册证或医疗器械备案凭证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85253261-3833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710065</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采购包1：173,700.00元</w:t>
            </w:r>
          </w:p>
          <w:p>
            <w:pPr>
              <w:pStyle w:val="null3"/>
            </w:pPr>
            <w:r>
              <w:rPr/>
              <w:t>采购包2：49,800.00元</w:t>
            </w:r>
          </w:p>
          <w:p>
            <w:pPr>
              <w:pStyle w:val="null3"/>
            </w:pPr>
            <w:r>
              <w:rPr/>
              <w:t>采购包3：198,000.00元</w:t>
            </w:r>
          </w:p>
          <w:p>
            <w:pPr>
              <w:pStyle w:val="null3"/>
            </w:pPr>
            <w:r>
              <w:rPr/>
              <w:t>采购包4：69,300.00元</w:t>
            </w:r>
          </w:p>
          <w:p>
            <w:pPr>
              <w:pStyle w:val="null3"/>
            </w:pPr>
            <w:r>
              <w:rPr/>
              <w:t>采购包5：117,000.00元</w:t>
            </w:r>
          </w:p>
          <w:p>
            <w:pPr>
              <w:pStyle w:val="null3"/>
            </w:pPr>
            <w:r>
              <w:rPr/>
              <w:t>采购包6：67,200.00元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采购包1：173,700.00元</w:t>
            </w:r>
          </w:p>
          <w:p>
            <w:pPr>
              <w:pStyle w:val="null3"/>
            </w:pPr>
            <w:r>
              <w:rPr/>
              <w:t>采购包2：49,800.00元</w:t>
            </w:r>
          </w:p>
          <w:p>
            <w:pPr>
              <w:pStyle w:val="null3"/>
            </w:pPr>
            <w:r>
              <w:rPr/>
              <w:t>采购包3：198,000.00元</w:t>
            </w:r>
          </w:p>
          <w:p>
            <w:pPr>
              <w:pStyle w:val="null3"/>
            </w:pPr>
            <w:r>
              <w:rPr/>
              <w:t>采购包4：69,300.00元</w:t>
            </w:r>
          </w:p>
          <w:p>
            <w:pPr>
              <w:pStyle w:val="null3"/>
            </w:pPr>
            <w:r>
              <w:rPr/>
              <w:t>采购包5：117,000.00元</w:t>
            </w:r>
          </w:p>
          <w:p>
            <w:pPr>
              <w:pStyle w:val="null3"/>
            </w:pPr>
            <w:r>
              <w:rPr/>
              <w:t>采购包6：67,200.00元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采购包1保证金金额：3,000.00元</w:t>
            </w:r>
          </w:p>
          <w:p>
            <w:pPr>
              <w:pStyle w:val="null3"/>
            </w:pPr>
            <w:r>
              <w:rPr/>
              <w:t>采购包2保证金金额：900.00元</w:t>
            </w:r>
          </w:p>
          <w:p>
            <w:pPr>
              <w:pStyle w:val="null3"/>
            </w:pPr>
            <w:r>
              <w:rPr/>
              <w:t>采购包3保证金金额：3,500.00元</w:t>
            </w:r>
          </w:p>
          <w:p>
            <w:pPr>
              <w:pStyle w:val="null3"/>
            </w:pPr>
            <w:r>
              <w:rPr/>
              <w:t>采购包4保证金金额：1,200.00元</w:t>
            </w:r>
          </w:p>
          <w:p>
            <w:pPr>
              <w:pStyle w:val="null3"/>
            </w:pPr>
            <w:r>
              <w:rPr/>
              <w:t>采购包5保证金金额：2,000.00元</w:t>
            </w:r>
          </w:p>
          <w:p>
            <w:pPr>
              <w:pStyle w:val="null3"/>
            </w:pPr>
            <w:r>
              <w:rPr/>
              <w:t>采购包6保证金金额：1,200.00元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预算金额差额定率累进法计算（预算金额100万以下按规定收取，100万-500万按下浮20%收取，500万-1000万按下浮25%收取，1000 万以上按下浮30%收取）。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1、招标文件、投标文件、澄清表（函）； 2、合同及附件文件； 3、国家相应的标准、规范。</w:t>
      </w:r>
    </w:p>
    <w:p>
      <w:pPr>
        <w:pStyle w:val="null3"/>
      </w:pPr>
      <w:r>
        <w:rPr/>
        <w:t>采购包2：</w:t>
      </w:r>
    </w:p>
    <w:p>
      <w:pPr>
        <w:pStyle w:val="null3"/>
      </w:pPr>
      <w:r>
        <w:rPr/>
        <w:t>1、招标文件、投标文件、澄清表（函）； 2、合同及附件文件； 3、国家相应的标准、规范。</w:t>
      </w:r>
    </w:p>
    <w:p>
      <w:pPr>
        <w:pStyle w:val="null3"/>
      </w:pPr>
      <w:r>
        <w:rPr/>
        <w:t>采购包3：</w:t>
      </w:r>
    </w:p>
    <w:p>
      <w:pPr>
        <w:pStyle w:val="null3"/>
      </w:pPr>
      <w:r>
        <w:rPr/>
        <w:t>1、招标文件、投标文件、澄清表（函）； 2、合同及附件文件； 3、国家相应的标准、规范。</w:t>
      </w:r>
    </w:p>
    <w:p>
      <w:pPr>
        <w:pStyle w:val="null3"/>
      </w:pPr>
      <w:r>
        <w:rPr/>
        <w:t>采购包4：</w:t>
      </w:r>
    </w:p>
    <w:p>
      <w:pPr>
        <w:pStyle w:val="null3"/>
      </w:pPr>
      <w:r>
        <w:rPr/>
        <w:t>1、招标文件、投标文件、澄清表（函）； 2、合同及附件文件； 3、国家相应的标准、规范。</w:t>
      </w:r>
    </w:p>
    <w:p>
      <w:pPr>
        <w:pStyle w:val="null3"/>
      </w:pPr>
      <w:r>
        <w:rPr/>
        <w:t>采购包5：</w:t>
      </w:r>
    </w:p>
    <w:p>
      <w:pPr>
        <w:pStyle w:val="null3"/>
      </w:pPr>
      <w:r>
        <w:rPr/>
        <w:t>1、招标文件、投标文件、澄清表（函）； 2、合同及附件文件； 3、国家相应的标准、规范。</w:t>
      </w:r>
    </w:p>
    <w:p>
      <w:pPr>
        <w:pStyle w:val="null3"/>
      </w:pPr>
      <w:r>
        <w:rPr/>
        <w:t>采购包6：</w:t>
      </w:r>
    </w:p>
    <w:p>
      <w:pPr>
        <w:pStyle w:val="null3"/>
      </w:pPr>
      <w:r>
        <w:rPr/>
        <w:t>1、招标文件、投标文件、澄清表（函）； 2、合同及附件文件；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rFonts w:ascii="宋体" w:hAnsi="宋体" w:cs="宋体" w:eastAsia="宋体"/>
          <w:sz w:val="32"/>
        </w:rPr>
        <w:t>陕西省人民医院</w:t>
      </w:r>
      <w:r>
        <w:rPr>
          <w:rFonts w:ascii="宋体" w:hAnsi="宋体" w:cs="宋体" w:eastAsia="宋体"/>
          <w:sz w:val="32"/>
        </w:rPr>
        <w:t>放免中心非封闭试剂采购</w:t>
      </w:r>
    </w:p>
    <w:p>
      <w:pPr>
        <w:pStyle w:val="null3"/>
        <w:outlineLvl w:val="2"/>
      </w:pPr>
      <w:r>
        <w:rPr>
          <w:sz w:val="28"/>
          <w:b/>
        </w:rPr>
        <w:t>3.2采购内容</w:t>
      </w:r>
    </w:p>
    <w:p>
      <w:pPr>
        <w:pStyle w:val="null3"/>
      </w:pPr>
      <w:r>
        <w:rPr/>
        <w:t>采购包1：</w:t>
      </w:r>
    </w:p>
    <w:p>
      <w:pPr>
        <w:pStyle w:val="null3"/>
      </w:pPr>
      <w:r>
        <w:rPr/>
        <w:t>采购包预算金额（元）: 173,700.00</w:t>
      </w:r>
    </w:p>
    <w:p>
      <w:pPr>
        <w:pStyle w:val="null3"/>
      </w:pPr>
      <w:r>
        <w:rPr/>
        <w:t>采购包最高限价（元）: 173,700.00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放免中心非封闭试剂</w:t>
            </w:r>
          </w:p>
        </w:tc>
        <w:tc>
          <w:tcPr>
            <w:tcW w:type="dxa" w:w="831"/>
          </w:tcPr>
          <w:p>
            <w:pPr>
              <w:pStyle w:val="null3"/>
              <w:jc w:val="right"/>
            </w:pPr>
            <w:r>
              <w:rPr/>
              <w:t>1.00</w:t>
            </w:r>
          </w:p>
        </w:tc>
        <w:tc>
          <w:tcPr>
            <w:tcW w:type="dxa" w:w="831"/>
          </w:tcPr>
          <w:p>
            <w:pPr>
              <w:pStyle w:val="null3"/>
              <w:jc w:val="right"/>
            </w:pPr>
            <w:r>
              <w:rPr/>
              <w:t>173,700.00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49,800.00</w:t>
      </w:r>
    </w:p>
    <w:p>
      <w:pPr>
        <w:pStyle w:val="null3"/>
      </w:pPr>
      <w:r>
        <w:rPr/>
        <w:t>采购包最高限价（元）: 49,800.00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放免中心非封闭试剂</w:t>
            </w:r>
          </w:p>
        </w:tc>
        <w:tc>
          <w:tcPr>
            <w:tcW w:type="dxa" w:w="831"/>
          </w:tcPr>
          <w:p>
            <w:pPr>
              <w:pStyle w:val="null3"/>
              <w:jc w:val="right"/>
            </w:pPr>
            <w:r>
              <w:rPr/>
              <w:t>1.00</w:t>
            </w:r>
          </w:p>
        </w:tc>
        <w:tc>
          <w:tcPr>
            <w:tcW w:type="dxa" w:w="831"/>
          </w:tcPr>
          <w:p>
            <w:pPr>
              <w:pStyle w:val="null3"/>
              <w:jc w:val="right"/>
            </w:pPr>
            <w:r>
              <w:rPr/>
              <w:t>49,800.00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198,000.00</w:t>
      </w:r>
    </w:p>
    <w:p>
      <w:pPr>
        <w:pStyle w:val="null3"/>
      </w:pPr>
      <w:r>
        <w:rPr/>
        <w:t>采购包最高限价（元）: 198,000.00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放免中心非封闭试剂</w:t>
            </w:r>
          </w:p>
        </w:tc>
        <w:tc>
          <w:tcPr>
            <w:tcW w:type="dxa" w:w="831"/>
          </w:tcPr>
          <w:p>
            <w:pPr>
              <w:pStyle w:val="null3"/>
              <w:jc w:val="right"/>
            </w:pPr>
            <w:r>
              <w:rPr/>
              <w:t>1.00</w:t>
            </w:r>
          </w:p>
        </w:tc>
        <w:tc>
          <w:tcPr>
            <w:tcW w:type="dxa" w:w="831"/>
          </w:tcPr>
          <w:p>
            <w:pPr>
              <w:pStyle w:val="null3"/>
              <w:jc w:val="right"/>
            </w:pPr>
            <w:r>
              <w:rPr/>
              <w:t>198,000.00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69,300.00</w:t>
      </w:r>
    </w:p>
    <w:p>
      <w:pPr>
        <w:pStyle w:val="null3"/>
      </w:pPr>
      <w:r>
        <w:rPr/>
        <w:t>采购包最高限价（元）: 69,300.00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 xml:space="preserve"> 放免中心非封闭试剂</w:t>
            </w:r>
          </w:p>
        </w:tc>
        <w:tc>
          <w:tcPr>
            <w:tcW w:type="dxa" w:w="831"/>
          </w:tcPr>
          <w:p>
            <w:pPr>
              <w:pStyle w:val="null3"/>
              <w:jc w:val="right"/>
            </w:pPr>
            <w:r>
              <w:rPr/>
              <w:t>1.00</w:t>
            </w:r>
          </w:p>
        </w:tc>
        <w:tc>
          <w:tcPr>
            <w:tcW w:type="dxa" w:w="831"/>
          </w:tcPr>
          <w:p>
            <w:pPr>
              <w:pStyle w:val="null3"/>
              <w:jc w:val="right"/>
            </w:pPr>
            <w:r>
              <w:rPr/>
              <w:t>69,300.00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117,000.00</w:t>
      </w:r>
    </w:p>
    <w:p>
      <w:pPr>
        <w:pStyle w:val="null3"/>
      </w:pPr>
      <w:r>
        <w:rPr/>
        <w:t>采购包最高限价（元）: 117,000.00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放免中心非封闭试剂</w:t>
            </w:r>
          </w:p>
        </w:tc>
        <w:tc>
          <w:tcPr>
            <w:tcW w:type="dxa" w:w="831"/>
          </w:tcPr>
          <w:p>
            <w:pPr>
              <w:pStyle w:val="null3"/>
              <w:jc w:val="right"/>
            </w:pPr>
            <w:r>
              <w:rPr/>
              <w:t>1.00</w:t>
            </w:r>
          </w:p>
        </w:tc>
        <w:tc>
          <w:tcPr>
            <w:tcW w:type="dxa" w:w="831"/>
          </w:tcPr>
          <w:p>
            <w:pPr>
              <w:pStyle w:val="null3"/>
              <w:jc w:val="right"/>
            </w:pPr>
            <w:r>
              <w:rPr/>
              <w:t>117,000.00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67,200.00</w:t>
      </w:r>
    </w:p>
    <w:p>
      <w:pPr>
        <w:pStyle w:val="null3"/>
      </w:pPr>
      <w:r>
        <w:rPr/>
        <w:t>采购包最高限价（元）: 67,200.00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放免中心非封闭试剂</w:t>
            </w:r>
          </w:p>
        </w:tc>
        <w:tc>
          <w:tcPr>
            <w:tcW w:type="dxa" w:w="831"/>
          </w:tcPr>
          <w:p>
            <w:pPr>
              <w:pStyle w:val="null3"/>
              <w:jc w:val="right"/>
            </w:pPr>
            <w:r>
              <w:rPr/>
              <w:t>1.00</w:t>
            </w:r>
          </w:p>
        </w:tc>
        <w:tc>
          <w:tcPr>
            <w:tcW w:type="dxa" w:w="831"/>
          </w:tcPr>
          <w:p>
            <w:pPr>
              <w:pStyle w:val="null3"/>
              <w:jc w:val="right"/>
            </w:pPr>
            <w:r>
              <w:rPr/>
              <w:t>67,200.00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标段一</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人半胱氨酸蛋白酶抑制剂</w:t>
                  </w:r>
                  <w:r>
                    <w:rPr>
                      <w:rFonts w:ascii="calibri" w:hAnsi="calibri" w:cs="calibri" w:eastAsia="calibri"/>
                      <w:sz w:val="24"/>
                      <w:color w:val="000000"/>
                    </w:rPr>
                    <w:t>S</w:t>
                  </w:r>
                  <w:r>
                    <w:rPr>
                      <w:rFonts w:ascii="宋体" w:hAnsi="宋体" w:cs="宋体" w:eastAsia="宋体"/>
                      <w:sz w:val="24"/>
                      <w:color w:val="000000"/>
                    </w:rPr>
                    <w:t>（</w:t>
                  </w:r>
                  <w:r>
                    <w:rPr>
                      <w:rFonts w:ascii="calibri" w:hAnsi="calibri" w:cs="calibri" w:eastAsia="calibri"/>
                      <w:sz w:val="24"/>
                      <w:color w:val="000000"/>
                    </w:rPr>
                    <w:t>CST4)</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人半胱氨酸蛋白酶抑制剂</w:t>
                  </w:r>
                  <w:r>
                    <w:rPr>
                      <w:rFonts w:ascii="calibri" w:hAnsi="calibri" w:cs="calibri" w:eastAsia="calibri"/>
                      <w:sz w:val="24"/>
                      <w:color w:val="000000"/>
                    </w:rPr>
                    <w:t>S</w:t>
                  </w:r>
                  <w:r>
                    <w:rPr>
                      <w:rFonts w:ascii="宋体" w:hAnsi="宋体" w:cs="宋体" w:eastAsia="宋体"/>
                      <w:sz w:val="24"/>
                      <w:color w:val="000000"/>
                    </w:rPr>
                    <w:t>（</w:t>
                  </w:r>
                  <w:r>
                    <w:rPr>
                      <w:rFonts w:ascii="calibri" w:hAnsi="calibri" w:cs="calibri" w:eastAsia="calibri"/>
                      <w:sz w:val="24"/>
                      <w:color w:val="000000"/>
                    </w:rPr>
                    <w:t>CST4</w:t>
                  </w:r>
                  <w:r>
                    <w:rPr>
                      <w:rFonts w:ascii="宋体" w:hAnsi="宋体" w:cs="宋体" w:eastAsia="宋体"/>
                      <w:sz w:val="24"/>
                      <w:color w:val="000000"/>
                    </w:rPr>
                    <w:t>）检测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193</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77200</w:t>
                  </w:r>
                </w:p>
              </w:tc>
              <w:tc>
                <w:tcPr>
                  <w:tcW w:type="dxa" w:w="1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在用</w:t>
                  </w:r>
                </w:p>
              </w:tc>
            </w:tr>
            <w:tr>
              <w:tc>
                <w:tcPr>
                  <w:tcW w:type="dxa" w:w="10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人纤维蛋白原降解产物（</w:t>
                  </w:r>
                  <w:r>
                    <w:rPr>
                      <w:rFonts w:ascii="calibri" w:hAnsi="calibri" w:cs="calibri" w:eastAsia="calibri"/>
                      <w:sz w:val="24"/>
                      <w:color w:val="000000"/>
                    </w:rPr>
                    <w:t>DR-70</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人纤维蛋白原降解产物（</w:t>
                  </w:r>
                  <w:r>
                    <w:rPr>
                      <w:rFonts w:ascii="calibri" w:hAnsi="calibri" w:cs="calibri" w:eastAsia="calibri"/>
                      <w:sz w:val="24"/>
                      <w:color w:val="000000"/>
                    </w:rPr>
                    <w:t>DR-70</w:t>
                  </w:r>
                  <w:r>
                    <w:rPr>
                      <w:rFonts w:ascii="宋体" w:hAnsi="宋体" w:cs="宋体" w:eastAsia="宋体"/>
                      <w:sz w:val="24"/>
                      <w:color w:val="000000"/>
                    </w:rPr>
                    <w:t>）检测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500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193</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96500</w:t>
                  </w:r>
                </w:p>
              </w:tc>
              <w:tc>
                <w:tcPr>
                  <w:tcW w:type="dxa" w:w="161"/>
                  <w:vMerge/>
                  <w:tcBorders>
                    <w:top w:val="none" w:color="000000" w:sz="4"/>
                    <w:left w:val="single" w:color="000000" w:sz="4"/>
                    <w:bottom w:val="single" w:color="000000" w:sz="4"/>
                    <w:right w:val="single" w:color="000000" w:sz="4"/>
                  </w:tcBorders>
                </w:tcPr>
                <w:p/>
              </w:tc>
            </w:tr>
            <w:tr>
              <w:tc>
                <w:tcPr>
                  <w:tcW w:type="dxa" w:w="1819"/>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合计</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173700</w:t>
                  </w:r>
                </w:p>
              </w:tc>
              <w:tc>
                <w:tcPr>
                  <w:tcW w:type="dxa" w:w="161"/>
                  <w:tcBorders>
                    <w:top w:val="non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标段二</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calibri" w:hAnsi="calibri" w:cs="calibri" w:eastAsia="calibri"/>
                      <w:sz w:val="24"/>
                      <w:color w:val="000000"/>
                    </w:rPr>
                    <w:t>EB</w:t>
                  </w:r>
                  <w:r>
                    <w:rPr>
                      <w:rFonts w:ascii="宋体" w:hAnsi="宋体" w:cs="宋体" w:eastAsia="宋体"/>
                      <w:sz w:val="24"/>
                      <w:color w:val="000000"/>
                    </w:rPr>
                    <w:t>病毒</w:t>
                  </w:r>
                  <w:r>
                    <w:rPr>
                      <w:rFonts w:ascii="calibri" w:hAnsi="calibri" w:cs="calibri" w:eastAsia="calibri"/>
                      <w:sz w:val="24"/>
                      <w:color w:val="000000"/>
                    </w:rPr>
                    <w:t>Rta</w:t>
                  </w:r>
                  <w:r>
                    <w:rPr>
                      <w:rFonts w:ascii="宋体" w:hAnsi="宋体" w:cs="宋体" w:eastAsia="宋体"/>
                      <w:sz w:val="24"/>
                      <w:color w:val="000000"/>
                    </w:rPr>
                    <w:t>蛋白抗体</w:t>
                  </w:r>
                  <w:r>
                    <w:rPr>
                      <w:rFonts w:ascii="calibri" w:hAnsi="calibri" w:cs="calibri" w:eastAsia="calibri"/>
                      <w:sz w:val="24"/>
                      <w:color w:val="000000"/>
                    </w:rPr>
                    <w:t>IgG</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calibri" w:hAnsi="calibri" w:cs="calibri" w:eastAsia="calibri"/>
                      <w:sz w:val="24"/>
                      <w:color w:val="000000"/>
                    </w:rPr>
                    <w:t>EB</w:t>
                  </w:r>
                  <w:r>
                    <w:rPr>
                      <w:rFonts w:ascii="宋体" w:hAnsi="宋体" w:cs="宋体" w:eastAsia="宋体"/>
                      <w:sz w:val="24"/>
                      <w:color w:val="000000"/>
                    </w:rPr>
                    <w:t>病毒</w:t>
                  </w:r>
                  <w:r>
                    <w:rPr>
                      <w:rFonts w:ascii="calibri" w:hAnsi="calibri" w:cs="calibri" w:eastAsia="calibri"/>
                      <w:sz w:val="24"/>
                      <w:color w:val="000000"/>
                    </w:rPr>
                    <w:t>Rta</w:t>
                  </w:r>
                  <w:r>
                    <w:rPr>
                      <w:rFonts w:ascii="宋体" w:hAnsi="宋体" w:cs="宋体" w:eastAsia="宋体"/>
                      <w:sz w:val="24"/>
                      <w:color w:val="000000"/>
                    </w:rPr>
                    <w:t>蛋白抗体检测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600</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49</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29400</w:t>
                  </w:r>
                </w:p>
              </w:tc>
              <w:tc>
                <w:tcPr>
                  <w:tcW w:type="dxa" w:w="1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新增</w:t>
                  </w:r>
                </w:p>
              </w:tc>
            </w:tr>
            <w:tr>
              <w:tc>
                <w:tcPr>
                  <w:tcW w:type="dxa" w:w="10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calibri" w:hAnsi="calibri" w:cs="calibri" w:eastAsia="calibri"/>
                      <w:sz w:val="24"/>
                      <w:color w:val="000000"/>
                    </w:rPr>
                    <w:t>EB</w:t>
                  </w:r>
                  <w:r>
                    <w:rPr>
                      <w:rFonts w:ascii="宋体" w:hAnsi="宋体" w:cs="宋体" w:eastAsia="宋体"/>
                      <w:sz w:val="24"/>
                      <w:color w:val="000000"/>
                    </w:rPr>
                    <w:t>病毒早期抗原（</w:t>
                  </w:r>
                  <w:r>
                    <w:rPr>
                      <w:rFonts w:ascii="calibri" w:hAnsi="calibri" w:cs="calibri" w:eastAsia="calibri"/>
                      <w:sz w:val="24"/>
                      <w:color w:val="000000"/>
                    </w:rPr>
                    <w:t>EA</w:t>
                  </w:r>
                  <w:r>
                    <w:rPr>
                      <w:rFonts w:ascii="宋体" w:hAnsi="宋体" w:cs="宋体" w:eastAsia="宋体"/>
                      <w:sz w:val="24"/>
                      <w:color w:val="000000"/>
                    </w:rPr>
                    <w:t>）</w:t>
                  </w:r>
                  <w:r>
                    <w:rPr>
                      <w:rFonts w:ascii="calibri" w:hAnsi="calibri" w:cs="calibri" w:eastAsia="calibri"/>
                      <w:sz w:val="24"/>
                      <w:color w:val="000000"/>
                    </w:rPr>
                    <w:t>IgA</w:t>
                  </w:r>
                  <w:r>
                    <w:rPr>
                      <w:rFonts w:ascii="宋体" w:hAnsi="宋体" w:cs="宋体" w:eastAsia="宋体"/>
                      <w:sz w:val="24"/>
                      <w:color w:val="000000"/>
                    </w:rPr>
                    <w:t>抗体检测试剂盒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calibri" w:hAnsi="calibri" w:cs="calibri" w:eastAsia="calibri"/>
                      <w:sz w:val="24"/>
                      <w:color w:val="000000"/>
                    </w:rPr>
                    <w:t>EB</w:t>
                  </w:r>
                  <w:r>
                    <w:rPr>
                      <w:rFonts w:ascii="宋体" w:hAnsi="宋体" w:cs="宋体" w:eastAsia="宋体"/>
                      <w:sz w:val="24"/>
                      <w:color w:val="000000"/>
                    </w:rPr>
                    <w:t>病毒抗体测定</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600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17</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10200</w:t>
                  </w:r>
                </w:p>
              </w:tc>
              <w:tc>
                <w:tcPr>
                  <w:tcW w:type="dxa" w:w="161"/>
                  <w:vMerge/>
                  <w:tcBorders>
                    <w:top w:val="single" w:color="000000" w:sz="4"/>
                    <w:left w:val="single" w:color="000000" w:sz="4"/>
                    <w:bottom w:val="single" w:color="000000" w:sz="4"/>
                    <w:right w:val="single" w:color="000000" w:sz="4"/>
                  </w:tcBorders>
                </w:tcPr>
                <w:p/>
              </w:tc>
            </w:tr>
            <w:tr>
              <w:tc>
                <w:tcPr>
                  <w:tcW w:type="dxa" w:w="10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calibri" w:hAnsi="calibri" w:cs="calibri" w:eastAsia="calibri"/>
                      <w:sz w:val="24"/>
                      <w:color w:val="000000"/>
                    </w:rPr>
                    <w:t>EB</w:t>
                  </w:r>
                  <w:r>
                    <w:rPr>
                      <w:rFonts w:ascii="宋体" w:hAnsi="宋体" w:cs="宋体" w:eastAsia="宋体"/>
                      <w:sz w:val="24"/>
                      <w:color w:val="000000"/>
                    </w:rPr>
                    <w:t>病毒衣壳抗原（</w:t>
                  </w:r>
                  <w:r>
                    <w:rPr>
                      <w:rFonts w:ascii="calibri" w:hAnsi="calibri" w:cs="calibri" w:eastAsia="calibri"/>
                      <w:sz w:val="24"/>
                      <w:color w:val="000000"/>
                    </w:rPr>
                    <w:t>VCA</w:t>
                  </w:r>
                  <w:r>
                    <w:rPr>
                      <w:rFonts w:ascii="宋体" w:hAnsi="宋体" w:cs="宋体" w:eastAsia="宋体"/>
                      <w:sz w:val="24"/>
                      <w:color w:val="000000"/>
                    </w:rPr>
                    <w:t>）</w:t>
                  </w:r>
                  <w:r>
                    <w:rPr>
                      <w:rFonts w:ascii="calibri" w:hAnsi="calibri" w:cs="calibri" w:eastAsia="calibri"/>
                      <w:sz w:val="24"/>
                      <w:color w:val="000000"/>
                    </w:rPr>
                    <w:t>IgA</w:t>
                  </w:r>
                  <w:r>
                    <w:rPr>
                      <w:rFonts w:ascii="宋体" w:hAnsi="宋体" w:cs="宋体" w:eastAsia="宋体"/>
                      <w:sz w:val="24"/>
                      <w:color w:val="000000"/>
                    </w:rPr>
                    <w:t>抗体检测试剂盒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calibri" w:hAnsi="calibri" w:cs="calibri" w:eastAsia="calibri"/>
                      <w:sz w:val="24"/>
                      <w:color w:val="000000"/>
                    </w:rPr>
                    <w:t>EB</w:t>
                  </w:r>
                  <w:r>
                    <w:rPr>
                      <w:rFonts w:ascii="宋体" w:hAnsi="宋体" w:cs="宋体" w:eastAsia="宋体"/>
                      <w:sz w:val="24"/>
                      <w:color w:val="000000"/>
                    </w:rPr>
                    <w:t>病毒抗体测定</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600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17</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10200</w:t>
                  </w:r>
                </w:p>
              </w:tc>
              <w:tc>
                <w:tcPr>
                  <w:tcW w:type="dxa" w:w="161"/>
                  <w:vMerge/>
                  <w:tcBorders>
                    <w:top w:val="single" w:color="000000" w:sz="4"/>
                    <w:left w:val="single" w:color="000000" w:sz="4"/>
                    <w:bottom w:val="single" w:color="000000" w:sz="4"/>
                    <w:right w:val="single" w:color="000000" w:sz="4"/>
                  </w:tcBorders>
                </w:tcPr>
                <w:p/>
              </w:tc>
            </w:tr>
            <w:tr>
              <w:tc>
                <w:tcPr>
                  <w:tcW w:type="dxa" w:w="1819"/>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合计</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49800</w:t>
                  </w:r>
                </w:p>
              </w:tc>
              <w:tc>
                <w:tcPr>
                  <w:tcW w:type="dxa" w:w="161"/>
                  <w:tcBorders>
                    <w:top w:val="non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标段三</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七种自身抗体检测试剂盒（酶联免疫法）</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七种自身抗体筛查</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400</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495</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198000</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在用</w:t>
                  </w: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 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标段四</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热休克蛋白</w:t>
                  </w:r>
                  <w:r>
                    <w:rPr>
                      <w:rFonts w:ascii="calibri" w:hAnsi="calibri" w:cs="calibri" w:eastAsia="calibri"/>
                      <w:sz w:val="24"/>
                      <w:color w:val="000000"/>
                    </w:rPr>
                    <w:t>90a</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热休克蛋白</w:t>
                  </w:r>
                  <w:r>
                    <w:rPr>
                      <w:rFonts w:ascii="calibri" w:hAnsi="calibri" w:cs="calibri" w:eastAsia="calibri"/>
                      <w:sz w:val="24"/>
                      <w:color w:val="000000"/>
                    </w:rPr>
                    <w:t>90a</w:t>
                  </w:r>
                  <w:r>
                    <w:rPr>
                      <w:rFonts w:ascii="宋体" w:hAnsi="宋体" w:cs="宋体" w:eastAsia="宋体"/>
                      <w:sz w:val="24"/>
                      <w:color w:val="000000"/>
                    </w:rPr>
                    <w:t>定量检测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385</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180</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69300</w:t>
                  </w:r>
                </w:p>
              </w:tc>
              <w:tc>
                <w:tcPr>
                  <w:tcW w:type="dxa" w:w="1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在用</w:t>
                  </w: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标段五</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人磷酸化</w:t>
                  </w:r>
                  <w:r>
                    <w:rPr>
                      <w:rFonts w:ascii="calibri" w:hAnsi="calibri" w:cs="calibri" w:eastAsia="calibri"/>
                      <w:sz w:val="24"/>
                      <w:color w:val="000000"/>
                    </w:rPr>
                    <w:t>tau-181</w:t>
                  </w:r>
                  <w:r>
                    <w:rPr>
                      <w:rFonts w:ascii="宋体" w:hAnsi="宋体" w:cs="宋体" w:eastAsia="宋体"/>
                      <w:sz w:val="24"/>
                      <w:color w:val="000000"/>
                    </w:rPr>
                    <w:t>蛋白（</w:t>
                  </w:r>
                  <w:r>
                    <w:rPr>
                      <w:rFonts w:ascii="calibri" w:hAnsi="calibri" w:cs="calibri" w:eastAsia="calibri"/>
                      <w:sz w:val="24"/>
                      <w:color w:val="000000"/>
                    </w:rPr>
                    <w:t>P-tau-181)</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人磷酸化</w:t>
                  </w:r>
                  <w:r>
                    <w:rPr>
                      <w:rFonts w:ascii="calibri" w:hAnsi="calibri" w:cs="calibri" w:eastAsia="calibri"/>
                      <w:sz w:val="24"/>
                      <w:color w:val="000000"/>
                    </w:rPr>
                    <w:t>tau-181</w:t>
                  </w:r>
                  <w:r>
                    <w:rPr>
                      <w:rFonts w:ascii="宋体" w:hAnsi="宋体" w:cs="宋体" w:eastAsia="宋体"/>
                      <w:sz w:val="24"/>
                      <w:color w:val="000000"/>
                    </w:rPr>
                    <w:t>蛋白（</w:t>
                  </w:r>
                  <w:r>
                    <w:rPr>
                      <w:rFonts w:ascii="calibri" w:hAnsi="calibri" w:cs="calibri" w:eastAsia="calibri"/>
                      <w:sz w:val="24"/>
                      <w:color w:val="000000"/>
                    </w:rPr>
                    <w:t>P-tau-181</w:t>
                  </w:r>
                  <w:r>
                    <w:rPr>
                      <w:rFonts w:ascii="宋体" w:hAnsi="宋体" w:cs="宋体" w:eastAsia="宋体"/>
                      <w:sz w:val="24"/>
                      <w:color w:val="000000"/>
                    </w:rPr>
                    <w:t>）检测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130</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52000</w:t>
                  </w:r>
                </w:p>
              </w:tc>
              <w:tc>
                <w:tcPr>
                  <w:tcW w:type="dxa" w:w="1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在用</w:t>
                  </w:r>
                </w:p>
              </w:tc>
            </w:tr>
            <w:tr>
              <w:tc>
                <w:tcPr>
                  <w:tcW w:type="dxa" w:w="10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人β淀粉样蛋白</w:t>
                  </w:r>
                  <w:r>
                    <w:rPr>
                      <w:rFonts w:ascii="calibri" w:hAnsi="calibri" w:cs="calibri" w:eastAsia="calibri"/>
                      <w:sz w:val="24"/>
                      <w:color w:val="000000"/>
                    </w:rPr>
                    <w:t>1-42</w:t>
                  </w:r>
                  <w:r>
                    <w:rPr>
                      <w:rFonts w:ascii="宋体" w:hAnsi="宋体" w:cs="宋体" w:eastAsia="宋体"/>
                      <w:sz w:val="24"/>
                      <w:color w:val="000000"/>
                    </w:rPr>
                    <w:t>（</w:t>
                  </w:r>
                  <w:r>
                    <w:rPr>
                      <w:rFonts w:ascii="calibri" w:hAnsi="calibri" w:cs="calibri" w:eastAsia="calibri"/>
                      <w:sz w:val="24"/>
                      <w:color w:val="000000"/>
                    </w:rPr>
                    <w:t>A</w:t>
                  </w:r>
                  <w:r>
                    <w:rPr>
                      <w:rFonts w:ascii="宋体" w:hAnsi="宋体" w:cs="宋体" w:eastAsia="宋体"/>
                      <w:sz w:val="24"/>
                      <w:color w:val="000000"/>
                    </w:rPr>
                    <w:t>β</w:t>
                  </w:r>
                  <w:r>
                    <w:rPr>
                      <w:rFonts w:ascii="calibri" w:hAnsi="calibri" w:cs="calibri" w:eastAsia="calibri"/>
                      <w:sz w:val="24"/>
                      <w:color w:val="000000"/>
                    </w:rPr>
                    <w:t>1-42</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人β淀粉样蛋白</w:t>
                  </w:r>
                  <w:r>
                    <w:rPr>
                      <w:rFonts w:ascii="calibri" w:hAnsi="calibri" w:cs="calibri" w:eastAsia="calibri"/>
                      <w:sz w:val="24"/>
                      <w:color w:val="000000"/>
                    </w:rPr>
                    <w:t>1-42</w:t>
                  </w:r>
                  <w:r>
                    <w:rPr>
                      <w:rFonts w:ascii="宋体" w:hAnsi="宋体" w:cs="宋体" w:eastAsia="宋体"/>
                      <w:sz w:val="24"/>
                      <w:color w:val="000000"/>
                    </w:rPr>
                    <w:t>（</w:t>
                  </w:r>
                  <w:r>
                    <w:rPr>
                      <w:rFonts w:ascii="calibri" w:hAnsi="calibri" w:cs="calibri" w:eastAsia="calibri"/>
                      <w:sz w:val="24"/>
                      <w:color w:val="000000"/>
                    </w:rPr>
                    <w:t>A</w:t>
                  </w:r>
                  <w:r>
                    <w:rPr>
                      <w:rFonts w:ascii="宋体" w:hAnsi="宋体" w:cs="宋体" w:eastAsia="宋体"/>
                      <w:sz w:val="24"/>
                      <w:color w:val="000000"/>
                    </w:rPr>
                    <w:t>β</w:t>
                  </w:r>
                  <w:r>
                    <w:rPr>
                      <w:rFonts w:ascii="calibri" w:hAnsi="calibri" w:cs="calibri" w:eastAsia="calibri"/>
                      <w:sz w:val="24"/>
                      <w:color w:val="000000"/>
                    </w:rPr>
                    <w:t>1-42</w:t>
                  </w:r>
                  <w:r>
                    <w:rPr>
                      <w:rFonts w:ascii="宋体" w:hAnsi="宋体" w:cs="宋体" w:eastAsia="宋体"/>
                      <w:sz w:val="24"/>
                      <w:color w:val="000000"/>
                    </w:rPr>
                    <w:t>）检测</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500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130</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65000</w:t>
                  </w:r>
                </w:p>
              </w:tc>
              <w:tc>
                <w:tcPr>
                  <w:tcW w:type="dxa" w:w="161"/>
                  <w:vMerge/>
                  <w:tcBorders>
                    <w:top w:val="none" w:color="000000" w:sz="4"/>
                    <w:left w:val="single" w:color="000000" w:sz="4"/>
                    <w:bottom w:val="single" w:color="000000" w:sz="4"/>
                    <w:right w:val="single" w:color="000000" w:sz="4"/>
                  </w:tcBorders>
                </w:tcPr>
                <w:p/>
              </w:tc>
            </w:tr>
            <w:tr>
              <w:tc>
                <w:tcPr>
                  <w:tcW w:type="dxa" w:w="1819"/>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合计</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117000</w:t>
                  </w:r>
                </w:p>
              </w:tc>
              <w:tc>
                <w:tcPr>
                  <w:tcW w:type="dxa" w:w="161"/>
                  <w:tcBorders>
                    <w:top w:val="non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标的名称：放免中心非封闭试剂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08"/>
              <w:gridCol w:w="168"/>
              <w:gridCol w:w="642"/>
              <w:gridCol w:w="533"/>
              <w:gridCol w:w="168"/>
              <w:gridCol w:w="200"/>
              <w:gridCol w:w="161"/>
              <w:gridCol w:w="196"/>
              <w:gridCol w:w="210"/>
              <w:gridCol w:w="161"/>
            </w:tblGrid>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8"/>
                      <w:b/>
                      <w:color w:val="000000"/>
                    </w:rPr>
                    <w:t>放免中心非封闭试剂采购项目</w:t>
                  </w: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（一）试剂目录</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分类</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序号</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招标通用名称</w:t>
                  </w:r>
                </w:p>
              </w:tc>
              <w:tc>
                <w:tcPr>
                  <w:tcW w:type="dxa" w:w="5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收费项目</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检测方法</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4"/>
                      <w:b/>
                      <w:color w:val="000000"/>
                    </w:rPr>
                    <w:t>最高限价（元）</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年预算（元）</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备注</w:t>
                  </w:r>
                </w:p>
              </w:tc>
            </w:tr>
            <w:tr>
              <w:tc>
                <w:tcPr>
                  <w:tcW w:type="dxa" w:w="10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标段六</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w:t>
                  </w:r>
                  <w:r>
                    <w:rPr>
                      <w:rFonts w:ascii="calibri" w:hAnsi="calibri" w:cs="calibri" w:eastAsia="calibri"/>
                      <w:sz w:val="24"/>
                      <w:color w:val="000000"/>
                    </w:rPr>
                    <w:t>CK18-M30</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细胞角蛋白</w:t>
                  </w:r>
                  <w:r>
                    <w:rPr>
                      <w:rFonts w:ascii="calibri" w:hAnsi="calibri" w:cs="calibri" w:eastAsia="calibri"/>
                      <w:sz w:val="24"/>
                      <w:color w:val="000000"/>
                    </w:rPr>
                    <w:t>18</w:t>
                  </w:r>
                  <w:r>
                    <w:rPr>
                      <w:rFonts w:ascii="宋体" w:hAnsi="宋体" w:cs="宋体" w:eastAsia="宋体"/>
                      <w:sz w:val="24"/>
                      <w:color w:val="000000"/>
                    </w:rPr>
                    <w:t>片段测定</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700</w:t>
                  </w:r>
                </w:p>
              </w:tc>
              <w:tc>
                <w:tcPr>
                  <w:tcW w:type="dxa" w:w="1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48</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33600</w:t>
                  </w:r>
                </w:p>
              </w:tc>
              <w:tc>
                <w:tcPr>
                  <w:tcW w:type="dxa" w:w="1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新增</w:t>
                  </w:r>
                </w:p>
              </w:tc>
            </w:tr>
            <w:tr>
              <w:tc>
                <w:tcPr>
                  <w:tcW w:type="dxa" w:w="108"/>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64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24"/>
                      <w:color w:val="000000"/>
                    </w:rPr>
                    <w:t>人</w:t>
                  </w:r>
                  <w:r>
                    <w:rPr>
                      <w:rFonts w:ascii="calibri" w:hAnsi="calibri" w:cs="calibri" w:eastAsia="calibri"/>
                      <w:sz w:val="24"/>
                      <w:color w:val="000000"/>
                    </w:rPr>
                    <w:t>CK18-M65</w:t>
                  </w:r>
                  <w:r>
                    <w:rPr>
                      <w:rFonts w:ascii="宋体" w:hAnsi="宋体" w:cs="宋体" w:eastAsia="宋体"/>
                      <w:sz w:val="24"/>
                      <w:color w:val="000000"/>
                    </w:rPr>
                    <w:t>检测试剂盒</w:t>
                  </w:r>
                </w:p>
              </w:tc>
              <w:tc>
                <w:tcPr>
                  <w:tcW w:type="dxa" w:w="533"/>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4"/>
                      <w:color w:val="000000"/>
                    </w:rPr>
                    <w:t>细胞角蛋白</w:t>
                  </w:r>
                  <w:r>
                    <w:rPr>
                      <w:rFonts w:ascii="calibri" w:hAnsi="calibri" w:cs="calibri" w:eastAsia="calibri"/>
                      <w:sz w:val="24"/>
                      <w:color w:val="000000"/>
                    </w:rPr>
                    <w:t>18</w:t>
                  </w:r>
                  <w:r>
                    <w:rPr>
                      <w:rFonts w:ascii="宋体" w:hAnsi="宋体" w:cs="宋体" w:eastAsia="宋体"/>
                      <w:sz w:val="24"/>
                      <w:color w:val="000000"/>
                    </w:rPr>
                    <w:t>片段测定</w:t>
                  </w:r>
                </w:p>
              </w:tc>
              <w:tc>
                <w:tcPr>
                  <w:tcW w:type="dxa" w:w="1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ELISA</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人份</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700</w:t>
                  </w: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calibri" w:hAnsi="calibri" w:cs="calibri" w:eastAsia="calibri"/>
                      <w:sz w:val="24"/>
                      <w:color w:val="000000"/>
                    </w:rPr>
                    <w:t>48</w:t>
                  </w: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33600</w:t>
                  </w:r>
                </w:p>
              </w:tc>
              <w:tc>
                <w:tcPr>
                  <w:tcW w:type="dxa" w:w="161"/>
                  <w:vMerge/>
                  <w:tcBorders>
                    <w:top w:val="single" w:color="000000" w:sz="4"/>
                    <w:left w:val="single" w:color="000000" w:sz="4"/>
                    <w:bottom w:val="single" w:color="000000" w:sz="4"/>
                    <w:right w:val="single" w:color="000000" w:sz="4"/>
                  </w:tcBorders>
                </w:tcPr>
                <w:p/>
              </w:tc>
            </w:tr>
            <w:tr>
              <w:tc>
                <w:tcPr>
                  <w:tcW w:type="dxa" w:w="1819"/>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合计</w:t>
                  </w:r>
                </w:p>
              </w:tc>
              <w:tc>
                <w:tcPr>
                  <w:tcW w:type="dxa" w:w="16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96"/>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1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67200</w:t>
                  </w:r>
                </w:p>
              </w:tc>
              <w:tc>
                <w:tcPr>
                  <w:tcW w:type="dxa" w:w="161"/>
                  <w:tcBorders>
                    <w:top w:val="non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0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宋体" w:hAnsi="宋体" w:cs="宋体" w:eastAsia="宋体"/>
                      <w:sz w:val="24"/>
                      <w:b/>
                      <w:color w:val="000000"/>
                    </w:rPr>
                    <w:t xml:space="preserve"> </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4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61"/>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宋体" w:hAnsi="宋体" w:cs="宋体" w:eastAsia="宋体"/>
                      <w:sz w:val="24"/>
                      <w:b/>
                      <w:color w:val="000000"/>
                    </w:rPr>
                    <w:t>（二）试剂须满足以下条件：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1</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试剂供应商须提供检测试剂的每包装检测人份，且与试剂说明书一致。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2</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对于国家卫健委临检中心已开展室间质评的检验项目，所提供试剂厂家应参加过卫健委临检中心</w:t>
                  </w:r>
                  <w:r>
                    <w:rPr>
                      <w:rFonts w:ascii="calibri" w:hAnsi="calibri" w:cs="calibri" w:eastAsia="calibri"/>
                      <w:sz w:val="24"/>
                      <w:color w:val="000000"/>
                    </w:rPr>
                    <w:t>2020-2022</w:t>
                  </w:r>
                  <w:r>
                    <w:rPr>
                      <w:rFonts w:ascii="宋体" w:hAnsi="宋体" w:cs="宋体" w:eastAsia="宋体"/>
                      <w:sz w:val="24"/>
                      <w:color w:val="000000"/>
                    </w:rPr>
                    <w:t>年全国室间质评，所有项目的评价结果平均成绩≥</w:t>
                  </w:r>
                  <w:r>
                    <w:rPr>
                      <w:rFonts w:ascii="calibri" w:hAnsi="calibri" w:cs="calibri" w:eastAsia="calibri"/>
                      <w:sz w:val="24"/>
                      <w:color w:val="000000"/>
                    </w:rPr>
                    <w:t>80%</w:t>
                  </w:r>
                  <w:r>
                    <w:rPr>
                      <w:rFonts w:ascii="宋体" w:hAnsi="宋体" w:cs="宋体" w:eastAsia="宋体"/>
                      <w:sz w:val="24"/>
                      <w:color w:val="000000"/>
                    </w:rPr>
                    <w:t>以上。（提供证明文件）。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3</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试剂性能要求：</w:t>
                  </w:r>
                  <w:r>
                    <w:rPr>
                      <w:rFonts w:ascii="calibri" w:hAnsi="calibri" w:cs="calibri" w:eastAsia="calibri"/>
                      <w:sz w:val="24"/>
                      <w:color w:val="000000"/>
                    </w:rPr>
                    <w:t>1</w:t>
                  </w:r>
                  <w:r>
                    <w:rPr>
                      <w:rFonts w:ascii="宋体" w:hAnsi="宋体" w:cs="宋体" w:eastAsia="宋体"/>
                      <w:sz w:val="24"/>
                      <w:color w:val="000000"/>
                    </w:rPr>
                    <w:t>）定量试剂：批内精密度执行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批间精密度执行</w:t>
                  </w:r>
                  <w:r>
                    <w:rPr>
                      <w:rFonts w:ascii="calibri" w:hAnsi="calibri" w:cs="calibri" w:eastAsia="calibri"/>
                      <w:sz w:val="24"/>
                      <w:color w:val="000000"/>
                    </w:rPr>
                    <w:t>CV</w:t>
                  </w:r>
                  <w:r>
                    <w:rPr>
                      <w:rFonts w:ascii="宋体" w:hAnsi="宋体" w:cs="宋体" w:eastAsia="宋体"/>
                      <w:sz w:val="24"/>
                      <w:color w:val="000000"/>
                    </w:rPr>
                    <w:t>≤</w:t>
                  </w:r>
                  <w:r>
                    <w:rPr>
                      <w:rFonts w:ascii="calibri" w:hAnsi="calibri" w:cs="calibri" w:eastAsia="calibri"/>
                      <w:sz w:val="24"/>
                      <w:color w:val="000000"/>
                    </w:rPr>
                    <w:t>15%</w:t>
                  </w:r>
                  <w:r>
                    <w:rPr>
                      <w:rFonts w:ascii="宋体" w:hAnsi="宋体" w:cs="宋体" w:eastAsia="宋体"/>
                      <w:sz w:val="24"/>
                      <w:color w:val="000000"/>
                    </w:rPr>
                    <w:t>；</w:t>
                  </w:r>
                  <w:r>
                    <w:rPr>
                      <w:rFonts w:ascii="calibri" w:hAnsi="calibri" w:cs="calibri" w:eastAsia="calibri"/>
                      <w:sz w:val="24"/>
                      <w:color w:val="000000"/>
                    </w:rPr>
                    <w:t>2</w:t>
                  </w:r>
                  <w:r>
                    <w:rPr>
                      <w:rFonts w:ascii="宋体" w:hAnsi="宋体" w:cs="宋体" w:eastAsia="宋体"/>
                      <w:sz w:val="24"/>
                      <w:color w:val="000000"/>
                    </w:rPr>
                    <w:t>）定性试剂：符合率≥</w:t>
                  </w:r>
                  <w:r>
                    <w:rPr>
                      <w:rFonts w:ascii="calibri" w:hAnsi="calibri" w:cs="calibri" w:eastAsia="calibri"/>
                      <w:sz w:val="24"/>
                      <w:color w:val="000000"/>
                    </w:rPr>
                    <w:t>95%</w:t>
                  </w:r>
                  <w:r>
                    <w:rPr>
                      <w:rFonts w:ascii="宋体" w:hAnsi="宋体" w:cs="宋体" w:eastAsia="宋体"/>
                      <w:sz w:val="24"/>
                      <w:color w:val="000000"/>
                    </w:rPr>
                    <w:t>；正确度、参考值范围等性能要求执行《中华人民共和国卫生行业标准</w:t>
                  </w:r>
                  <w:r>
                    <w:rPr>
                      <w:rFonts w:ascii="calibri" w:hAnsi="calibri" w:cs="calibri" w:eastAsia="calibri"/>
                      <w:sz w:val="24"/>
                      <w:color w:val="000000"/>
                    </w:rPr>
                    <w:t>WS/T 420-2013-</w:t>
                  </w:r>
                  <w:r>
                    <w:rPr>
                      <w:rFonts w:ascii="宋体" w:hAnsi="宋体" w:cs="宋体" w:eastAsia="宋体"/>
                      <w:sz w:val="24"/>
                      <w:color w:val="000000"/>
                    </w:rPr>
                    <w:t>临床实验室对商品定量试剂盒分析性能的验证》标准。</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4</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生产厂家需提供原厂校准品，且校准品说明书上有相应品牌的赋值和不确定度。（需提供校准品说明书作为证明文件）</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5</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所提供试剂必须全部满足招标目录要求，不得缺项，且检测方法必须与招标要求一致。</w:t>
                  </w:r>
                </w:p>
              </w:tc>
            </w:tr>
            <w:tr>
              <w:tc>
                <w:tcPr>
                  <w:tcW w:type="dxa" w:w="1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4"/>
                      <w:color w:val="000000"/>
                    </w:rPr>
                    <w:t>6</w:t>
                  </w:r>
                </w:p>
              </w:tc>
              <w:tc>
                <w:tcPr>
                  <w:tcW w:type="dxa" w:w="243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所有组合检测的项目不拆分，提供的相应设备必须全部满足检测项目的相求。</w:t>
                  </w:r>
                </w:p>
              </w:tc>
            </w:tr>
          </w:tbl>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自合同签订之日起一年</w:t>
      </w:r>
    </w:p>
    <w:p>
      <w:pPr>
        <w:pStyle w:val="null3"/>
      </w:pPr>
      <w:r>
        <w:rPr/>
        <w:t>采购包2：</w:t>
      </w:r>
    </w:p>
    <w:p>
      <w:pPr>
        <w:pStyle w:val="null3"/>
      </w:pPr>
      <w:r>
        <w:rPr/>
        <w:t>自合同签订之日起一年</w:t>
      </w:r>
    </w:p>
    <w:p>
      <w:pPr>
        <w:pStyle w:val="null3"/>
      </w:pPr>
      <w:r>
        <w:rPr/>
        <w:t>采购包3：</w:t>
      </w:r>
    </w:p>
    <w:p>
      <w:pPr>
        <w:pStyle w:val="null3"/>
      </w:pPr>
      <w:r>
        <w:rPr/>
        <w:t>自合同签订之日起一年</w:t>
      </w:r>
    </w:p>
    <w:p>
      <w:pPr>
        <w:pStyle w:val="null3"/>
      </w:pPr>
      <w:r>
        <w:rPr/>
        <w:t>采购包4：</w:t>
      </w:r>
    </w:p>
    <w:p>
      <w:pPr>
        <w:pStyle w:val="null3"/>
      </w:pPr>
      <w:r>
        <w:rPr/>
        <w:t>自合同签订之日起一年</w:t>
      </w:r>
    </w:p>
    <w:p>
      <w:pPr>
        <w:pStyle w:val="null3"/>
      </w:pPr>
      <w:r>
        <w:rPr/>
        <w:t>采购包5：</w:t>
      </w:r>
    </w:p>
    <w:p>
      <w:pPr>
        <w:pStyle w:val="null3"/>
      </w:pPr>
      <w:r>
        <w:rPr/>
        <w:t>自合同签订之日起一年</w:t>
      </w:r>
    </w:p>
    <w:p>
      <w:pPr>
        <w:pStyle w:val="null3"/>
      </w:pPr>
      <w:r>
        <w:rPr/>
        <w:t>采购包6：</w:t>
      </w:r>
    </w:p>
    <w:p>
      <w:pPr>
        <w:pStyle w:val="null3"/>
      </w:pPr>
      <w:r>
        <w:rPr/>
        <w:t>自合同签订之日起一年</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pPr>
      <w:r>
        <w:rPr/>
        <w:t>采购包2：</w:t>
      </w:r>
    </w:p>
    <w:p>
      <w:pPr>
        <w:pStyle w:val="null3"/>
      </w:pPr>
      <w:r>
        <w:rPr/>
        <w:t>陕西省人民医院指定地点</w:t>
      </w:r>
    </w:p>
    <w:p>
      <w:pPr>
        <w:pStyle w:val="null3"/>
      </w:pPr>
      <w:r>
        <w:rPr/>
        <w:t>采购包3：</w:t>
      </w:r>
    </w:p>
    <w:p>
      <w:pPr>
        <w:pStyle w:val="null3"/>
      </w:pPr>
      <w:r>
        <w:rPr/>
        <w:t>陕西省人民医院指定地点</w:t>
      </w:r>
    </w:p>
    <w:p>
      <w:pPr>
        <w:pStyle w:val="null3"/>
      </w:pPr>
      <w:r>
        <w:rPr/>
        <w:t>采购包4：</w:t>
      </w:r>
    </w:p>
    <w:p>
      <w:pPr>
        <w:pStyle w:val="null3"/>
      </w:pPr>
      <w:r>
        <w:rPr/>
        <w:t>陕西省人民医院指定地点</w:t>
      </w:r>
    </w:p>
    <w:p>
      <w:pPr>
        <w:pStyle w:val="null3"/>
      </w:pPr>
      <w:r>
        <w:rPr/>
        <w:t>采购包5：</w:t>
      </w:r>
    </w:p>
    <w:p>
      <w:pPr>
        <w:pStyle w:val="null3"/>
      </w:pPr>
      <w:r>
        <w:rPr/>
        <w:t>陕西省人民医院指定地点</w:t>
      </w:r>
    </w:p>
    <w:p>
      <w:pPr>
        <w:pStyle w:val="null3"/>
      </w:pPr>
      <w:r>
        <w:rPr/>
        <w:t>采购包6：</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pPr>
      <w:r>
        <w:rPr/>
        <w:t>采购包2：</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pPr>
      <w:r>
        <w:rPr/>
        <w:t>采购包3：</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pPr>
      <w:r>
        <w:rPr/>
        <w:t>采购包4：</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pPr>
      <w:r>
        <w:rPr/>
        <w:t>采购包5：</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pPr>
      <w:r>
        <w:rPr/>
        <w:t>采购包6：</w:t>
      </w:r>
      <w:r>
        <w:rPr/>
        <w:t xml:space="preserve"> 付款条件说明： </w:t>
      </w: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采购协议约定的技术、质量要求及国家归口管理部门要求，给采购方造成损失的，按照该合同协议书约定应承担的违约责任，采购方有权在剩余的3个月货款中直接扣减</w:t>
      </w:r>
      <w:r>
        <w:rPr/>
        <w:t xml:space="preserve"> ，达到付款条件起 </w:t>
      </w:r>
      <w:r>
        <w:rPr/>
        <w:t>90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pPr>
      <w:r>
        <w:rPr/>
        <w:t>采购包2：</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pPr>
      <w:r>
        <w:rPr/>
        <w:t>采购包3：</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pPr>
      <w:r>
        <w:rPr/>
        <w:t>采购包4：</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pPr>
      <w:r>
        <w:rPr/>
        <w:t>采购包5：</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pPr>
      <w:r>
        <w:rPr/>
        <w:t>采购包6：</w:t>
      </w:r>
    </w:p>
    <w:p>
      <w:pPr>
        <w:pStyle w:val="null3"/>
      </w:pPr>
      <w:r>
        <w:rPr/>
        <w:t>（一）产品验收 1、甲方应在产品到货且接到乙方书面随货同行单后当日内验收；甲方耗材试剂部与使用科室及乙方共同验收。对货物进行数量、质量等验收，验收合格者，甲方验收人在随货同行单上签字确认。 2、甲方因使用、保管、保养不善等造成产品质量下降的，不得提出异议。 3、乙方在接到甲方书面异议之日起，应在当日内予以回复，否则，即视为默认甲方提出的异议和处理意见。 4、验收不合格的，乙方负责更换为合格产品，因此产生的费用和给甲方造成的损失均由乙方负责。 5、乙方出售产品的毁损灭失风险，在甲方验收合格并接收前，由乙方承担。 （二）乙方向甲方提交货物的所有资料，以便甲方日常管理和维护。 （三）验收依据 1、招标文件、投标文件、澄清表（函）； 2、本协议及附件文件；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pPr>
      <w:r>
        <w:rPr/>
        <w:t>采购包2：</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pPr>
      <w:r>
        <w:rPr/>
        <w:t>采购包3：</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pPr>
      <w:r>
        <w:rPr/>
        <w:t>采购包4：</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pPr>
      <w:r>
        <w:rPr/>
        <w:t>采购包5：</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pPr>
      <w:r>
        <w:rPr/>
        <w:t>采购包6：</w:t>
      </w:r>
    </w:p>
    <w:p>
      <w:pPr>
        <w:pStyle w:val="null3"/>
      </w:pPr>
      <w:r>
        <w:rPr/>
        <w:t>（一）乙方所供货物保证技术指标符合要求、质量性能可靠、进货渠道正常，全面满足招标文件要求，且货物不存在任何权利瑕疵。 （二）乙方所供货物如出现质量问题，甲方可以选择换货。换货后依然无法达到质量要求，甲方有权退货并终止合同，由此造成的损失全部由乙方承担。 （三）据实结算3个月期间乙方承担相应质量保证责任，质量保证期间内货物质量不符合本协议约定的技术、质量要求，给甲方造成的损失即按照本协议约定应承担的违约责任，甲方有权在尚未支付价款中直接扣减相关损失费用。</w:t>
      </w:r>
    </w:p>
    <w:p>
      <w:pPr>
        <w:pStyle w:val="null3"/>
        <w:outlineLvl w:val="3"/>
      </w:pPr>
      <w:r>
        <w:rPr>
          <w:sz w:val="24"/>
          <w:b/>
        </w:rPr>
        <w:t>3.4.8.违约责任与解决争议的方法</w:t>
      </w:r>
    </w:p>
    <w:p>
      <w:pPr>
        <w:pStyle w:val="null3"/>
      </w:pPr>
      <w:r>
        <w:rPr/>
        <w:t>采购包1：</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pPr>
      <w:r>
        <w:rPr/>
        <w:t>采购包2：</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pPr>
      <w:r>
        <w:rPr/>
        <w:t>采购包3：</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pPr>
      <w:r>
        <w:rPr/>
        <w:t>采购包4：</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pPr>
      <w:r>
        <w:rPr/>
        <w:t>采购包5：</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pPr>
      <w:r>
        <w:rPr/>
        <w:t>采购包6：</w:t>
      </w:r>
    </w:p>
    <w:p>
      <w:pPr>
        <w:pStyle w:val="null3"/>
      </w:pPr>
      <w:r>
        <w:rPr/>
        <w:t>（一）按《民法典》中的相关条款执行。 （二）甲方责任 1、除乙方产品不符合本协议约定的规格、质量、技术要求外，甲方不得中途退货或者拒绝提货。 2、甲方应按协议约定的时间向乙方付款，如果甲方延迟付款，乙方有权终止协议执行。 （三）乙方责任 1、乙方未能按期履行协议或乙方未按协议要求提供货物或货物质量不能满足招标技术要求，甲方有权解除协议，并对乙方的违约行为进行追究，同时按《中华人民共和国政府采购法》和陕西省政府采购供应商管理办法进行相应的处罚，因此给甲方造成的一切损失均由乙方承担。 2、乙方延迟交货，每超过一天，应按协议货物价款的5‰支付甲方违约金，该违约金直接在货款中扣除。除不可抗力导致的迟延交货外，乙方迟延交货30天，甲方有权单方解除本协议，乙方应当支付甲方货物价值的10%的违约金。乙方未按协议、招标书的要求或投标书的承诺按时提供产品、货物质量不能满足甲方技术要求或乙方的相关服务不到位，影响甲方正常的医疗工作，甲方有权终止协议，取消乙方的供货资格，有权没收乙方的挂账货款。 3、乙方保证向甲方以西安市场最优惠的价格提供货物，否则甲方有权随时终止协议执行，重新组织招标。 4、遇乙方货物政策性价格调整，乙方须如实及时通知甲方，双方可重新协商货物供应价格。 5、在甲方重新组织招标前，乙方在未征得甲方同意前，不得终止货物供应。 6、本协议若与甲方的上级管理机关的政策性行为或其他规定发生冲突，甲方有权与乙方协商调整协议内容或终止协议执行。 7、乙方供应甲方的货物应符合国家“两票制”政策，如乙方提供货物部分种类、型号、批次等不符合“两票制”政策要求，乙方需对此部分承担相应违约责任，甲方有权就此部分提出包括但不限于合同部分解除、退还已支付价款等。 8、如果甲方实行集中配送，乙方负责协议中的货物生产企业授权给甲方遴选的配送企业，确保“两票制”执行，供货价不高于中标价。 9、乙方对甲方解除协议不予认可，应在收到甲方书面解除通知之日起7日内依法提出异议。 10、乙方供应的产品经过两次验收，达不到合格的，甲方有权解除本协议，且乙方应当一次性支付甲方货物价值的10%的违约金。</w:t>
      </w:r>
    </w:p>
    <w:p>
      <w:pPr>
        <w:pStyle w:val="null3"/>
        <w:outlineLvl w:val="2"/>
      </w:pPr>
      <w:r>
        <w:rPr>
          <w:sz w:val="28"/>
          <w:b/>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采购包2：</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采购包3：</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采购包4：</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采购包5：</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采购包6：</w:t>
      </w:r>
    </w:p>
    <w:p>
      <w:pPr>
        <w:pStyle w:val="null3"/>
      </w:pPr>
      <w:r>
        <w:rPr/>
        <w:t>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出具生产厂家的医疗器械生产许可证或医疗器械生产备案证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出具所投产品医疗器械注册证或医疗器械备案凭证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残疾人福利性单位声明函 中小企业声明函 响应函 监狱企业的证明文件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响应函 监狱企业的证明文件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技术实施方案及承诺 规格、技术参数偏离表</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残疾人福利性单位声明函 中小企业声明函 响应函 监狱企业的证明文件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技术实施方案及承诺 规格、技术参数偏离表</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响应函 监狱企业的证明文件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技术实施方案及承诺 规格、技术参数偏离表</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技术实施方案及承诺 规格、技术参数偏离表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响应函 监狱企业的证明文件 报价表及分项报价表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合同协议书签订之日起，应按照采购方书面通知的内容将标的货物分批次运送到采购方指定位置并交付使用，急需货物（包括技术服务）4小时内送达,一般货物3个日历天内送达。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（1）合同价款由采购方负责结算，在付款前，成交供应商必须开具全额发票给采购方，否则，采购方有权拒绝付款，无需承担任何责任，且成交供应商不得以此为由拒绝履行协议义务。 （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据实结算3个月期间乙方承担相应质量保证责任。</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两票制</w:t>
            </w:r>
          </w:p>
        </w:tc>
        <w:tc>
          <w:tcPr>
            <w:tcW w:type="dxa" w:w="3322"/>
          </w:tcPr>
          <w:p>
            <w:pPr>
              <w:pStyle w:val="null3"/>
            </w:pPr>
            <w:r>
              <w:rPr/>
              <w:t>供应商所投产品应符合国家“两票制”政策，提供承诺书；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阳光挂网采购</w:t>
            </w:r>
          </w:p>
        </w:tc>
        <w:tc>
          <w:tcPr>
            <w:tcW w:type="dxa" w:w="3322"/>
          </w:tcPr>
          <w:p>
            <w:pPr>
              <w:pStyle w:val="null3"/>
            </w:pPr>
            <w:r>
              <w:rPr/>
              <w:t>按照《陕西省医疗保障局关于开展体外诊断试剂阳光挂网采购的通知》（陕医保函〔2023〕209号）要求，供应商所投产品为国家赋码的诊断试剂，最终入院招标价必须执行网采，国家尚未赋码的诊断试剂不做要求。提供承诺函</w:t>
            </w:r>
          </w:p>
        </w:tc>
        <w:tc>
          <w:tcPr>
            <w:tcW w:type="dxa" w:w="1661"/>
          </w:tcPr>
          <w:p>
            <w:pPr>
              <w:pStyle w:val="null3"/>
            </w:pPr>
            <w:r>
              <w:rPr/>
              <w:t>商务偏离表</w:t>
            </w:r>
          </w:p>
        </w:tc>
      </w:tr>
      <w:tr>
        <w:tc>
          <w:tcPr>
            <w:tcW w:type="dxa" w:w="831"/>
          </w:tcPr>
          <w:p>
            <w:pPr>
              <w:pStyle w:val="null3"/>
            </w:pPr>
            <w:r>
              <w:rPr/>
              <w:t>9</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10</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11</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