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版本号：240716002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图像引导后装调强定位传输系统（平移定位床）等一批医疗设备购置项目</w:t>
      </w:r>
    </w:p>
    <w:p>
      <w:pPr>
        <w:pStyle w:val="null3"/>
        <w:jc w:val="center"/>
        <w:outlineLvl w:val="2"/>
      </w:pPr>
      <w:r>
        <w:rPr>
          <w:sz w:val="28"/>
          <w:b/>
        </w:rPr>
        <w:t>采购项目编号：</w:t>
      </w:r>
      <w:r>
        <w:rPr>
          <w:sz w:val="28"/>
          <w:b/>
        </w:rPr>
        <w:t>SZT2024-SN-SC-ZC-HW-0364</w:t>
      </w:r>
      <w:r>
        <w:br/>
      </w:r>
      <w:r>
        <w:br/>
      </w:r>
      <w:r>
        <w:br/>
      </w:r>
    </w:p>
    <w:p>
      <w:pPr>
        <w:pStyle w:val="null3"/>
        <w:jc w:val="center"/>
        <w:outlineLvl w:val="2"/>
      </w:pPr>
      <w:r>
        <w:rPr>
          <w:sz w:val="28"/>
          <w:b/>
        </w:rPr>
        <w:t>陕西省肿瘤医院</w:t>
      </w:r>
    </w:p>
    <w:p>
      <w:pPr>
        <w:pStyle w:val="null3"/>
        <w:jc w:val="center"/>
        <w:outlineLvl w:val="2"/>
      </w:pPr>
      <w:r>
        <w:rPr>
          <w:sz w:val="28"/>
          <w:b/>
        </w:rPr>
        <w:t>陕西中技招标有限公司</w:t>
      </w:r>
      <w:r>
        <w:rPr>
          <w:sz w:val="28"/>
          <w:b/>
        </w:rPr>
        <w:t>共同编制</w:t>
      </w:r>
    </w:p>
    <w:p>
      <w:pPr>
        <w:pStyle w:val="null3"/>
        <w:jc w:val="center"/>
        <w:outlineLvl w:val="2"/>
      </w:pPr>
      <w:r>
        <w:rPr>
          <w:sz w:val="28"/>
          <w:b/>
        </w:rPr>
        <w:t>2024年07月16日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陕西中技招标有限公司</w:t>
      </w:r>
      <w:r>
        <w:rPr/>
        <w:t>（以下简称“代理机构”）受</w:t>
      </w:r>
      <w:r>
        <w:rPr/>
        <w:t>陕西省肿瘤医院</w:t>
      </w:r>
      <w:r>
        <w:rPr/>
        <w:t>委托，拟对</w:t>
      </w:r>
      <w:r>
        <w:rPr/>
        <w:t>图像引导后装调强定位传输系统（平移定位床）等一批医疗设备购置项目</w:t>
      </w:r>
      <w:r>
        <w:rPr/>
        <w:t>进行国内公开招标，兹邀请符合本次招标要求的供应商参加投标。</w:t>
      </w:r>
    </w:p>
    <w:p>
      <w:pPr>
        <w:pStyle w:val="null3"/>
        <w:outlineLvl w:val="2"/>
      </w:pPr>
      <w:r>
        <w:rPr>
          <w:sz w:val="28"/>
          <w:b/>
        </w:rPr>
        <w:t>一、采购项目编号：</w:t>
      </w:r>
      <w:r>
        <w:rPr>
          <w:sz w:val="28"/>
          <w:b/>
        </w:rPr>
        <w:t>SZT2024-SN-SC-ZC-HW-0364</w:t>
      </w:r>
    </w:p>
    <w:p>
      <w:pPr>
        <w:pStyle w:val="null3"/>
        <w:outlineLvl w:val="2"/>
      </w:pPr>
      <w:r>
        <w:rPr>
          <w:sz w:val="28"/>
          <w:b/>
        </w:rPr>
        <w:t>二、采购项目名称：</w:t>
      </w:r>
      <w:r>
        <w:rPr>
          <w:sz w:val="28"/>
          <w:b/>
        </w:rPr>
        <w:t>图像引导后装调强定位传输系统（平移定位床）等一批医疗设备购置项目</w:t>
      </w:r>
    </w:p>
    <w:p>
      <w:pPr>
        <w:pStyle w:val="null3"/>
        <w:outlineLvl w:val="2"/>
      </w:pPr>
      <w:r>
        <w:rPr>
          <w:sz w:val="28"/>
          <w:b/>
        </w:rPr>
        <w:t>三、招标项目简介</w:t>
      </w:r>
    </w:p>
    <w:p>
      <w:pPr>
        <w:pStyle w:val="null3"/>
        <w:ind w:firstLine="480"/>
      </w:pPr>
      <w:r>
        <w:rPr/>
        <w:t>图像引导后装调强定位传输系统（平移定位床）等一批医疗设备购置项目</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2、医疗器械经营许可证或医疗器械经营备案证：出具供应商医疗器械经营许可证或医疗器械经营备案证</w:t>
      </w:r>
    </w:p>
    <w:p>
      <w:pPr>
        <w:pStyle w:val="null3"/>
      </w:pPr>
      <w:r>
        <w:rPr/>
        <w:t>3、生产厂家的医疗器械生产许可证或医疗器械生产备案证：出具生产厂家的医疗器械生产许可证或医疗器械生产备案证</w:t>
      </w:r>
    </w:p>
    <w:p>
      <w:pPr>
        <w:pStyle w:val="null3"/>
      </w:pPr>
      <w:r>
        <w:rPr/>
        <w:t>4、所投产品医疗器械注册证或医疗器械备案凭证：出具所投产品医疗器械注册证或医疗器械备案凭证</w:t>
      </w:r>
    </w:p>
    <w:p>
      <w:pPr>
        <w:pStyle w:val="null3"/>
      </w:pPr>
      <w:r>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t>采购包2：</w:t>
      </w:r>
    </w:p>
    <w:p>
      <w:pPr>
        <w:pStyle w:val="null3"/>
      </w:pPr>
      <w:r>
        <w:rPr/>
        <w:t>1、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2、医疗器械经营许可证或医疗器械经营备案证：出具供应商医疗器械经营许可证或医疗器械经营备案证</w:t>
      </w:r>
    </w:p>
    <w:p>
      <w:pPr>
        <w:pStyle w:val="null3"/>
      </w:pPr>
      <w:r>
        <w:rPr/>
        <w:t>3、生产厂家的医疗器械生产许可证或医疗器械生产备案证：出具生产厂家的医疗器械生产许可证或医疗器械生产备案证</w:t>
      </w:r>
    </w:p>
    <w:p>
      <w:pPr>
        <w:pStyle w:val="null3"/>
      </w:pPr>
      <w:r>
        <w:rPr/>
        <w:t>4、所投产品医疗器械注册证或医疗器械备案凭证：出具所投产品医疗器械注册证或医疗器械备案凭证</w:t>
      </w:r>
    </w:p>
    <w:p>
      <w:pPr>
        <w:pStyle w:val="null3"/>
      </w:pPr>
      <w:r>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t>采购包3：</w:t>
      </w:r>
    </w:p>
    <w:p>
      <w:pPr>
        <w:pStyle w:val="null3"/>
      </w:pPr>
      <w:r>
        <w:rPr/>
        <w:t>1、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2、医疗器械经营许可证或医疗器械经营备案证：出具供应商医疗器械经营许可证或医疗器械经营备案证</w:t>
      </w:r>
    </w:p>
    <w:p>
      <w:pPr>
        <w:pStyle w:val="null3"/>
      </w:pPr>
      <w:r>
        <w:rPr/>
        <w:t>3、生产厂家的医疗器械生产许可证或医疗器械生产备案证：出具生产厂家的医疗器械生产许可证或医疗器械生产备案证</w:t>
      </w:r>
    </w:p>
    <w:p>
      <w:pPr>
        <w:pStyle w:val="null3"/>
      </w:pPr>
      <w:r>
        <w:rPr/>
        <w:t>4、所投产品医疗器械注册证或医疗器械备案凭证：出具所投产品医疗器械注册证或医疗器械备案凭证</w:t>
      </w:r>
    </w:p>
    <w:p>
      <w:pPr>
        <w:pStyle w:val="null3"/>
      </w:pPr>
      <w:r>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pPr>
      <w:r>
        <w:rPr/>
        <w:t>采购包4：</w:t>
      </w:r>
    </w:p>
    <w:p>
      <w:pPr>
        <w:pStyle w:val="null3"/>
      </w:pPr>
      <w:r>
        <w:rPr/>
        <w:t>1、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t>2、医疗器械经营许可证或医疗器械经营备案证：出具供应商医疗器械经营许可证或医疗器械经营备案证</w:t>
      </w:r>
    </w:p>
    <w:p>
      <w:pPr>
        <w:pStyle w:val="null3"/>
      </w:pPr>
      <w:r>
        <w:rPr/>
        <w:t>3、生产厂家的医疗器械生产许可证或医疗器械生产备案证：出具生产厂家的医疗器械生产许可证或医疗器械生产备案证</w:t>
      </w:r>
    </w:p>
    <w:p>
      <w:pPr>
        <w:pStyle w:val="null3"/>
      </w:pPr>
      <w:r>
        <w:rPr/>
        <w:t>4、所投产品医疗器械注册证或医疗器械备案凭证：出具所投产品医疗器械注册证或医疗器械备案凭证</w:t>
      </w:r>
    </w:p>
    <w:p>
      <w:pPr>
        <w:pStyle w:val="null3"/>
      </w:pPr>
      <w:r>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陕西省肿瘤医院</w:t>
      </w:r>
    </w:p>
    <w:p>
      <w:pPr>
        <w:pStyle w:val="null3"/>
      </w:pPr>
      <w:r>
        <w:rPr/>
        <w:t xml:space="preserve"> 地址： </w:t>
      </w:r>
      <w:r>
        <w:rPr/>
        <w:t>西安市雁塔区雁塔西路309号</w:t>
      </w:r>
    </w:p>
    <w:p>
      <w:pPr>
        <w:pStyle w:val="null3"/>
      </w:pPr>
      <w:r>
        <w:rPr/>
        <w:t xml:space="preserve"> 邮编： </w:t>
      </w:r>
      <w:r>
        <w:rPr/>
        <w:t>710000</w:t>
      </w:r>
    </w:p>
    <w:p>
      <w:pPr>
        <w:pStyle w:val="null3"/>
      </w:pPr>
      <w:r>
        <w:rPr/>
        <w:t xml:space="preserve"> 联系人： </w:t>
      </w:r>
      <w:r>
        <w:rPr/>
        <w:t>陈老师</w:t>
      </w:r>
    </w:p>
    <w:p>
      <w:pPr>
        <w:pStyle w:val="null3"/>
      </w:pPr>
      <w:r>
        <w:rPr/>
        <w:t xml:space="preserve"> 联系电话： </w:t>
      </w:r>
      <w:r>
        <w:rPr/>
        <w:t>029-85276353</w:t>
      </w:r>
    </w:p>
    <w:p>
      <w:pPr>
        <w:pStyle w:val="null3"/>
        <w:outlineLvl w:val="2"/>
      </w:pPr>
      <w:r>
        <w:rPr>
          <w:sz w:val="28"/>
          <w:b/>
        </w:rPr>
        <w:t>代理机构：</w:t>
      </w:r>
      <w:r>
        <w:rPr>
          <w:sz w:val="28"/>
          <w:b/>
        </w:rPr>
        <w:t>陕西中技招标有限公司</w:t>
      </w:r>
    </w:p>
    <w:p>
      <w:pPr>
        <w:pStyle w:val="null3"/>
      </w:pPr>
      <w:r>
        <w:rPr/>
        <w:t xml:space="preserve"> 地址： </w:t>
      </w:r>
      <w:r>
        <w:rPr/>
        <w:t>西安市高新四路1号高科广场A座10楼1001室</w:t>
      </w:r>
    </w:p>
    <w:p>
      <w:pPr>
        <w:pStyle w:val="null3"/>
      </w:pPr>
      <w:r>
        <w:rPr/>
        <w:t xml:space="preserve"> 邮编： </w:t>
      </w:r>
      <w:r>
        <w:rPr/>
        <w:t>710000</w:t>
      </w:r>
    </w:p>
    <w:p>
      <w:pPr>
        <w:pStyle w:val="null3"/>
      </w:pPr>
      <w:r>
        <w:rPr/>
        <w:t xml:space="preserve"> 联系人： </w:t>
      </w:r>
      <w:r>
        <w:rPr/>
        <w:t>肖娇娇、李文俊</w:t>
      </w:r>
    </w:p>
    <w:p>
      <w:pPr>
        <w:pStyle w:val="null3"/>
      </w:pPr>
      <w:r>
        <w:rPr/>
        <w:t xml:space="preserve"> 联系电话： </w:t>
      </w:r>
      <w:r>
        <w:rPr/>
        <w:t>029-88364979-848</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采购包1：220,000.00元</w:t>
            </w:r>
          </w:p>
          <w:p>
            <w:pPr>
              <w:pStyle w:val="null3"/>
            </w:pPr>
            <w:r>
              <w:rPr/>
              <w:t>采购包2：164,000.00元</w:t>
            </w:r>
          </w:p>
          <w:p>
            <w:pPr>
              <w:pStyle w:val="null3"/>
            </w:pPr>
            <w:r>
              <w:rPr/>
              <w:t>采购包3：190,000.00元</w:t>
            </w:r>
          </w:p>
          <w:p>
            <w:pPr>
              <w:pStyle w:val="null3"/>
            </w:pPr>
            <w:r>
              <w:rPr/>
              <w:t>采购包4：200,000.00元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采购包4：不接受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如有</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如有</w:t>
            </w:r>
            <w:r>
              <w:rPr/>
              <w:t>产品属于节能产品政府采购品目清单中应优先采购的产品范围，本项目采购的</w:t>
            </w:r>
            <w:r>
              <w:rPr/>
              <w:t>如有</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采购包1保证金金额：3,000.00元</w:t>
            </w:r>
          </w:p>
          <w:p>
            <w:pPr>
              <w:pStyle w:val="null3"/>
            </w:pPr>
            <w:r>
              <w:rPr/>
              <w:t>采购包2保证金金额：2,000.00元</w:t>
            </w:r>
          </w:p>
          <w:p>
            <w:pPr>
              <w:pStyle w:val="null3"/>
            </w:pPr>
            <w:r>
              <w:rPr/>
              <w:t>采购包3保证金金额：3,000.00元</w:t>
            </w:r>
          </w:p>
          <w:p>
            <w:pPr>
              <w:pStyle w:val="null3"/>
            </w:pPr>
            <w:r>
              <w:rPr/>
              <w:t>采购包4保证金金额：3,000.00元</w:t>
            </w:r>
          </w:p>
          <w:p>
            <w:pPr>
              <w:pStyle w:val="null3"/>
            </w:pPr>
            <w:r>
              <w:rPr/>
              <w:t>缴交渠道：转账、支票、汇票等（需通过实体账户、户名及开户行信息）</w:t>
            </w:r>
          </w:p>
          <w:p>
            <w:pPr>
              <w:pStyle w:val="null3"/>
            </w:pPr>
            <w:r>
              <w:rPr/>
              <w:t>开户名称：陕西中技招标有限公司（转账备注项目编号后四位数字及采购包号）</w:t>
            </w:r>
          </w:p>
          <w:p>
            <w:pPr>
              <w:pStyle w:val="null3"/>
            </w:pPr>
            <w:r>
              <w:rPr/>
              <w:t>开户银行：招商银行西安分行营业部</w:t>
            </w:r>
          </w:p>
          <w:p>
            <w:pPr>
              <w:pStyle w:val="null3"/>
            </w:pPr>
            <w:r>
              <w:rPr/>
              <w:t>银行账号：129916812810001</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p>
            <w:pPr>
              <w:pStyle w:val="null3"/>
            </w:pPr>
            <w:r>
              <w:rPr/>
              <w:t>采购包2：不缴纳</w:t>
            </w:r>
          </w:p>
          <w:p>
            <w:pPr>
              <w:pStyle w:val="null3"/>
            </w:pPr>
            <w:r>
              <w:rPr/>
              <w:t>采购包3：不缴纳</w:t>
            </w:r>
          </w:p>
          <w:p>
            <w:pPr>
              <w:pStyle w:val="null3"/>
            </w:pPr>
            <w:r>
              <w:rPr/>
              <w:t>采购包4：不缴纳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招标代理服务费收取按照国家计委颁布的《招标代理服务收费管理暂行办法》（计价格[2002]1980号）和（发改办价格[2003]857号）货物类收费标准。每标段按照中标金额差额定率累进法计算，不足叁仟元按叁仟元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p>
            <w:pPr>
              <w:pStyle w:val="null3"/>
            </w:pPr>
            <w:r>
              <w:rPr/>
              <w:t>采购包2：组织现场踏勘：否</w:t>
            </w:r>
          </w:p>
          <w:p>
            <w:pPr>
              <w:pStyle w:val="null3"/>
            </w:pPr>
            <w:r>
              <w:rPr/>
              <w:t>采购包3：组织现场踏勘：否</w:t>
            </w:r>
          </w:p>
          <w:p>
            <w:pPr>
              <w:pStyle w:val="null3"/>
            </w:pPr>
            <w:r>
              <w:rPr/>
              <w:t>采购包4：组织现场踏勘：否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陕西省肿瘤医院</w:t>
      </w:r>
      <w:r>
        <w:rPr/>
        <w:t>和</w:t>
      </w:r>
      <w:r>
        <w:rPr/>
        <w:t>陕西中技招标有限公司</w:t>
      </w:r>
      <w:r>
        <w:rPr/>
        <w:t>享有。对招标文件中供应商参加本次政府采购活动应当具备的条件，招标项目技术、服务、商务及其他要求，评标细则及标准由</w:t>
      </w:r>
      <w:r>
        <w:rPr/>
        <w:t>陕西省肿瘤医院</w:t>
      </w:r>
      <w:r>
        <w:rPr/>
        <w:t>负责解释。除上述招标文件内容，其他内容由</w:t>
      </w:r>
      <w:r>
        <w:rPr/>
        <w:t>陕西中技招标有限公司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陕西省肿瘤医院</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陕西中技招标有限公司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60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pPr>
      <w:r>
        <w:rPr/>
        <w:t>采购包4：不允许合同分包。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（1）本合同及合同附件、补充协议。 （2）国家相应的标准、规范。 （3）招标文件、投标文件、澄清表（函）（如有）</w:t>
      </w:r>
    </w:p>
    <w:p>
      <w:pPr>
        <w:pStyle w:val="null3"/>
      </w:pPr>
      <w:r>
        <w:rPr/>
        <w:t>采购包2：</w:t>
      </w:r>
    </w:p>
    <w:p>
      <w:pPr>
        <w:pStyle w:val="null3"/>
      </w:pPr>
      <w:r>
        <w:rPr/>
        <w:t>（1）本合同及合同附件、补充协议。 （2）国家相应的标准、规范。 （3）招标文件、投标文件、澄清表（函）（如有）</w:t>
      </w:r>
    </w:p>
    <w:p>
      <w:pPr>
        <w:pStyle w:val="null3"/>
      </w:pPr>
      <w:r>
        <w:rPr/>
        <w:t>采购包3：</w:t>
      </w:r>
    </w:p>
    <w:p>
      <w:pPr>
        <w:pStyle w:val="null3"/>
      </w:pPr>
      <w:r>
        <w:rPr/>
        <w:t>（1）本合同及合同附件、补充协议。 （2）国家相应的标准、规范。 （3）招标文件、投标文件、澄清表（函）（如有）</w:t>
      </w:r>
    </w:p>
    <w:p>
      <w:pPr>
        <w:pStyle w:val="null3"/>
      </w:pPr>
      <w:r>
        <w:rPr/>
        <w:t>采购包4：</w:t>
      </w:r>
    </w:p>
    <w:p>
      <w:pPr>
        <w:pStyle w:val="null3"/>
      </w:pPr>
      <w:r>
        <w:rPr/>
        <w:t>（1）本合同及合同附件、补充协议。 （2）国家相应的标准、规范。 （3）招标文件、投标文件、澄清表（函）（如有）</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陕西中技招标有限公司</w:t>
      </w:r>
      <w:r>
        <w:rPr/>
        <w:t xml:space="preserve"> 负责答复；供应商对除采购需求外的采购文件的询问、质疑由</w:t>
      </w:r>
      <w:r>
        <w:rPr/>
        <w:t>陕西中技招标有限公司</w:t>
      </w:r>
      <w:r>
        <w:rPr/>
        <w:t xml:space="preserve"> 负责答复；供应商对采购过程、采购结果的询问、质疑由 </w:t>
      </w:r>
      <w:r>
        <w:rPr/>
        <w:t>陕西中技招标有限公司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联系人：李工</w:t>
      </w:r>
    </w:p>
    <w:p>
      <w:pPr>
        <w:pStyle w:val="null3"/>
      </w:pPr>
      <w:r>
        <w:rPr/>
        <w:t>联系电话：029-88364979-846</w:t>
      </w:r>
    </w:p>
    <w:p>
      <w:pPr>
        <w:pStyle w:val="null3"/>
      </w:pPr>
      <w:r>
        <w:rPr/>
        <w:t>地址：西安市高新四路1号高科广场A1001室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图像引导后装调强定位传输系统（平移定位床）等一批医疗设备购置项目</w:t>
      </w:r>
    </w:p>
    <w:p>
      <w:pPr>
        <w:pStyle w:val="null3"/>
        <w:outlineLvl w:val="2"/>
      </w:pPr>
      <w:r>
        <w:rPr>
          <w:sz w:val="28"/>
          <w:b/>
        </w:rPr>
        <w:t>3.2采购内容</w:t>
      </w:r>
    </w:p>
    <w:p>
      <w:pPr>
        <w:pStyle w:val="null3"/>
      </w:pPr>
      <w:r>
        <w:rPr/>
        <w:t>采购包1：</w:t>
      </w:r>
    </w:p>
    <w:p>
      <w:pPr>
        <w:pStyle w:val="null3"/>
      </w:pPr>
      <w:r>
        <w:rPr/>
        <w:t>采购包预算金额（元）: 220,000.00</w:t>
      </w:r>
    </w:p>
    <w:p>
      <w:pPr>
        <w:pStyle w:val="null3"/>
      </w:pPr>
      <w:r>
        <w:rPr/>
        <w:t>采购包最高限价（元）: 163,000.00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电动胸骨锯等</w:t>
            </w:r>
          </w:p>
        </w:tc>
        <w:tc>
          <w:tcPr>
            <w:tcW w:type="dxa" w:w="831"/>
          </w:tcPr>
          <w:p>
            <w:pPr>
              <w:pStyle w:val="null3"/>
              <w:jc w:val="right"/>
            </w:pPr>
            <w:r>
              <w:rPr/>
              <w:t>1.00</w:t>
            </w:r>
          </w:p>
        </w:tc>
        <w:tc>
          <w:tcPr>
            <w:tcW w:type="dxa" w:w="831"/>
          </w:tcPr>
          <w:p>
            <w:pPr>
              <w:pStyle w:val="null3"/>
              <w:jc w:val="right"/>
            </w:pPr>
            <w:r>
              <w:rPr/>
              <w:t>220,000.00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采购包2：</w:t>
      </w:r>
    </w:p>
    <w:p>
      <w:pPr>
        <w:pStyle w:val="null3"/>
      </w:pPr>
      <w:r>
        <w:rPr/>
        <w:t>采购包预算金额（元）: 164,000.00</w:t>
      </w:r>
    </w:p>
    <w:p>
      <w:pPr>
        <w:pStyle w:val="null3"/>
      </w:pPr>
      <w:r>
        <w:rPr/>
        <w:t>采购包最高限价（元）: 114,000.00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生物安全柜等</w:t>
            </w:r>
          </w:p>
        </w:tc>
        <w:tc>
          <w:tcPr>
            <w:tcW w:type="dxa" w:w="831"/>
          </w:tcPr>
          <w:p>
            <w:pPr>
              <w:pStyle w:val="null3"/>
              <w:jc w:val="right"/>
            </w:pPr>
            <w:r>
              <w:rPr/>
              <w:t>1.00</w:t>
            </w:r>
          </w:p>
        </w:tc>
        <w:tc>
          <w:tcPr>
            <w:tcW w:type="dxa" w:w="831"/>
          </w:tcPr>
          <w:p>
            <w:pPr>
              <w:pStyle w:val="null3"/>
              <w:jc w:val="right"/>
            </w:pPr>
            <w:r>
              <w:rPr/>
              <w:t>164,000.00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采购包3：</w:t>
      </w:r>
    </w:p>
    <w:p>
      <w:pPr>
        <w:pStyle w:val="null3"/>
      </w:pPr>
      <w:r>
        <w:rPr/>
        <w:t>采购包预算金额（元）: 190,000.00</w:t>
      </w:r>
    </w:p>
    <w:p>
      <w:pPr>
        <w:pStyle w:val="null3"/>
      </w:pPr>
      <w:r>
        <w:rPr/>
        <w:t>采购包最高限价（元）: 180,000.00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图像引导后装调强定位传输系统（平移定位床）等</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pPr>
      <w:r>
        <w:rPr/>
        <w:t>采购包4：</w:t>
      </w:r>
    </w:p>
    <w:p>
      <w:pPr>
        <w:pStyle w:val="null3"/>
      </w:pPr>
      <w:r>
        <w:rPr/>
        <w:t>采购包预算金额（元）: 200,000.00</w:t>
      </w:r>
    </w:p>
    <w:p>
      <w:pPr>
        <w:pStyle w:val="null3"/>
      </w:pPr>
      <w:r>
        <w:rPr/>
        <w:t>采购包最高限价（元）: 200,000.00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妇科臭氧治疗冲洗仪</w:t>
            </w:r>
          </w:p>
        </w:tc>
        <w:tc>
          <w:tcPr>
            <w:tcW w:type="dxa" w:w="831"/>
          </w:tcPr>
          <w:p>
            <w:pPr>
              <w:pStyle w:val="null3"/>
              <w:jc w:val="right"/>
            </w:pPr>
            <w:r>
              <w:rPr/>
              <w:t>4.00</w:t>
            </w:r>
          </w:p>
        </w:tc>
        <w:tc>
          <w:tcPr>
            <w:tcW w:type="dxa" w:w="831"/>
          </w:tcPr>
          <w:p>
            <w:pPr>
              <w:pStyle w:val="null3"/>
              <w:jc w:val="right"/>
            </w:pPr>
            <w:r>
              <w:rPr/>
              <w:t>200,000.00</w:t>
            </w:r>
          </w:p>
        </w:tc>
        <w:tc>
          <w:tcPr>
            <w:tcW w:type="dxa" w:w="831"/>
          </w:tcPr>
          <w:p>
            <w:pPr>
              <w:pStyle w:val="null3"/>
            </w:pPr>
            <w:r>
              <w:rPr/>
              <w:t>台</w:t>
            </w:r>
          </w:p>
        </w:tc>
        <w:tc>
          <w:tcPr>
            <w:tcW w:type="dxa" w:w="831"/>
          </w:tcPr>
          <w:p>
            <w:pPr>
              <w:pStyle w:val="null3"/>
            </w:pPr>
            <w:r>
              <w:rPr/>
              <w:t>工业</w:t>
            </w:r>
          </w:p>
        </w:tc>
        <w:tc>
          <w:tcPr>
            <w:tcW w:type="dxa" w:w="831"/>
          </w:tcPr>
          <w:p>
            <w:pPr>
              <w:pStyle w:val="null3"/>
            </w:pPr>
            <w:r>
              <w:rPr/>
              <w:t>是</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标的名称：电动胸骨锯等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宋体" w:hAnsi="宋体" w:cs="宋体" w:eastAsia="宋体"/>
                <w:sz w:val="28"/>
                <w:b/>
              </w:rPr>
              <w:t>采购清单</w:t>
            </w:r>
          </w:p>
          <w:p>
            <w:pPr>
              <w:pStyle w:val="null3"/>
              <w:jc w:val="center"/>
            </w:pPr>
            <w:r>
              <w:rPr>
                <w:rFonts w:ascii="宋体" w:hAnsi="宋体" w:cs="宋体" w:eastAsia="宋体"/>
                <w:sz w:val="28"/>
                <w:b/>
              </w:rPr>
              <w:t>核心产品：电动胸骨锯</w:t>
            </w:r>
          </w:p>
          <w:tbl>
            <w:tblPr>
              <w:tblInd w:type="dxa" w:w="135"/>
              <w:tblBorders>
                <w:top w:val="none" w:color="000000" w:sz="4"/>
                <w:left w:val="none" w:color="000000" w:sz="4"/>
                <w:bottom w:val="none" w:color="000000" w:sz="4"/>
                <w:right w:val="none" w:color="000000" w:sz="4"/>
                <w:insideH w:val="none"/>
                <w:insideV w:val="none"/>
              </w:tblBorders>
            </w:tblPr>
            <w:tblGrid>
              <w:gridCol w:w="343"/>
              <w:gridCol w:w="666"/>
              <w:gridCol w:w="520"/>
              <w:gridCol w:w="255"/>
              <w:gridCol w:w="432"/>
              <w:gridCol w:w="336"/>
            </w:tblGrid>
            <w:tr>
              <w:tc>
                <w:tcPr>
                  <w:tcW w:type="dxa" w:w="34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6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项目名称</w:t>
                  </w:r>
                </w:p>
              </w:tc>
              <w:tc>
                <w:tcPr>
                  <w:tcW w:type="dxa" w:w="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数量（台）</w:t>
                  </w:r>
                </w:p>
              </w:tc>
              <w:tc>
                <w:tcPr>
                  <w:tcW w:type="dxa" w:w="2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单价</w:t>
                  </w:r>
                </w:p>
              </w:tc>
              <w:tc>
                <w:tcPr>
                  <w:tcW w:type="dxa" w:w="4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预算金额</w:t>
                  </w:r>
                </w:p>
                <w:p>
                  <w:pPr>
                    <w:pStyle w:val="null3"/>
                    <w:jc w:val="center"/>
                  </w:pPr>
                  <w:r>
                    <w:rPr>
                      <w:rFonts w:ascii="宋体" w:hAnsi="宋体" w:cs="宋体" w:eastAsia="宋体"/>
                      <w:sz w:val="24"/>
                      <w:b/>
                      <w:color w:val="000000"/>
                    </w:rPr>
                    <w:t>（万元）</w:t>
                  </w:r>
                </w:p>
              </w:tc>
              <w:tc>
                <w:tcPr>
                  <w:tcW w:type="dxa" w:w="33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限价</w:t>
                  </w:r>
                </w:p>
                <w:p>
                  <w:pPr>
                    <w:pStyle w:val="null3"/>
                    <w:jc w:val="center"/>
                  </w:pPr>
                  <w:r>
                    <w:rPr>
                      <w:rFonts w:ascii="宋体" w:hAnsi="宋体" w:cs="宋体" w:eastAsia="宋体"/>
                      <w:sz w:val="24"/>
                      <w:b/>
                      <w:color w:val="000000"/>
                    </w:rPr>
                    <w:t>（万元）</w:t>
                  </w:r>
                </w:p>
              </w:tc>
            </w:tr>
            <w:tr>
              <w:tc>
                <w:tcPr>
                  <w:tcW w:type="dxa" w:w="343"/>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标段一</w:t>
                  </w: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电动胸骨锯</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10</w:t>
                  </w:r>
                </w:p>
              </w:tc>
              <w:tc>
                <w:tcPr>
                  <w:tcW w:type="dxa" w:w="4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10</w:t>
                  </w:r>
                </w:p>
              </w:tc>
              <w:tc>
                <w:tcPr>
                  <w:tcW w:type="dxa" w:w="3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7</w:t>
                  </w:r>
                </w:p>
              </w:tc>
            </w:tr>
            <w:tr>
              <w:tc>
                <w:tcPr>
                  <w:tcW w:type="dxa" w:w="343"/>
                  <w:vMerge/>
                  <w:tcBorders>
                    <w:top w:val="none" w:color="000000" w:sz="4"/>
                    <w:left w:val="single" w:color="000000" w:sz="4"/>
                    <w:bottom w:val="single" w:color="000000" w:sz="4"/>
                    <w:right w:val="single" w:color="000000" w:sz="4"/>
                  </w:tcBorders>
                </w:tcP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空气压力波治疗仪</w:t>
                  </w: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3</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4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12</w:t>
                  </w:r>
                </w:p>
              </w:tc>
              <w:tc>
                <w:tcPr>
                  <w:tcW w:type="dxa" w:w="3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9.3</w:t>
                  </w:r>
                </w:p>
              </w:tc>
            </w:tr>
            <w:tr>
              <w:tc>
                <w:tcPr>
                  <w:tcW w:type="dxa" w:w="34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合计</w:t>
                  </w:r>
                </w:p>
              </w:tc>
              <w:tc>
                <w:tcPr>
                  <w:tcW w:type="dxa" w:w="6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22</w:t>
                  </w:r>
                </w:p>
              </w:tc>
              <w:tc>
                <w:tcPr>
                  <w:tcW w:type="dxa" w:w="33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16.3</w:t>
                  </w:r>
                </w:p>
              </w:tc>
            </w:tr>
          </w:tbl>
          <w:p>
            <w:pPr>
              <w:pStyle w:val="null3"/>
              <w:jc w:val="both"/>
            </w:pPr>
          </w:p>
        </w:tc>
      </w:tr>
      <w:tr>
        <w:tc>
          <w:tcPr>
            <w:tcW w:type="dxa" w:w="2769"/>
          </w:tcPr>
          <w:p/>
        </w:tc>
        <w:tc>
          <w:tcPr>
            <w:tcW w:type="dxa" w:w="2769"/>
          </w:tcPr>
          <w:p>
            <w:pPr>
              <w:pStyle w:val="null3"/>
            </w:pPr>
            <w:r>
              <w:rPr/>
              <w:t>2</w:t>
            </w:r>
          </w:p>
        </w:tc>
        <w:tc>
          <w:tcPr>
            <w:tcW w:type="dxa" w:w="2769"/>
          </w:tcPr>
          <w:p>
            <w:pPr>
              <w:pStyle w:val="null3"/>
              <w:jc w:val="center"/>
            </w:pPr>
            <w:r>
              <w:rPr>
                <w:rFonts w:ascii="宋体" w:hAnsi="宋体" w:cs="宋体" w:eastAsia="宋体"/>
                <w:sz w:val="36"/>
                <w:b/>
              </w:rPr>
              <w:t>电动胸骨锯技术参数</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电源控制器</w:t>
            </w:r>
            <w:r>
              <w:rPr>
                <w:rFonts w:ascii="宋体" w:hAnsi="宋体" w:cs="宋体" w:eastAsia="宋体"/>
                <w:sz w:val="24"/>
              </w:rPr>
              <w:t>（</w:t>
            </w:r>
            <w:r>
              <w:rPr>
                <w:rFonts w:ascii="宋体" w:hAnsi="宋体" w:cs="宋体" w:eastAsia="宋体"/>
                <w:sz w:val="24"/>
              </w:rPr>
              <w:t>1台</w:t>
            </w:r>
            <w:r>
              <w:rPr>
                <w:rFonts w:ascii="宋体" w:hAnsi="宋体" w:cs="宋体" w:eastAsia="宋体"/>
                <w:sz w:val="24"/>
              </w:rPr>
              <w:t>）：</w:t>
            </w:r>
            <w:r>
              <w:rPr>
                <w:rFonts w:ascii="宋体" w:hAnsi="宋体" w:cs="宋体" w:eastAsia="宋体"/>
                <w:sz w:val="24"/>
              </w:rPr>
              <w:t>LED数字图形显示，实时记录主机工作状态，微电脑电路程序控制</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供电方式</w:t>
            </w:r>
            <w:r>
              <w:rPr>
                <w:rFonts w:ascii="宋体" w:hAnsi="宋体" w:cs="宋体" w:eastAsia="宋体"/>
                <w:sz w:val="24"/>
              </w:rPr>
              <w:t>：</w:t>
            </w:r>
            <w:r>
              <w:rPr>
                <w:rFonts w:ascii="宋体" w:hAnsi="宋体" w:cs="宋体" w:eastAsia="宋体"/>
                <w:sz w:val="24"/>
              </w:rPr>
              <w:t>交流电或充电电池</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控制方式</w:t>
            </w:r>
            <w:r>
              <w:rPr>
                <w:rFonts w:ascii="宋体" w:hAnsi="宋体" w:cs="宋体" w:eastAsia="宋体"/>
                <w:sz w:val="24"/>
              </w:rPr>
              <w:t>：</w:t>
            </w:r>
            <w:r>
              <w:rPr>
                <w:rFonts w:ascii="宋体" w:hAnsi="宋体" w:cs="宋体" w:eastAsia="宋体"/>
                <w:sz w:val="24"/>
              </w:rPr>
              <w:t>手控无极调速</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w:t>
            </w:r>
            <w:r>
              <w:rPr>
                <w:rFonts w:ascii="宋体" w:hAnsi="宋体" w:cs="宋体" w:eastAsia="宋体"/>
                <w:sz w:val="24"/>
              </w:rPr>
              <w:t>握持方式</w:t>
            </w:r>
            <w:r>
              <w:rPr>
                <w:rFonts w:ascii="宋体" w:hAnsi="宋体" w:cs="宋体" w:eastAsia="宋体"/>
                <w:sz w:val="24"/>
              </w:rPr>
              <w:t>：</w:t>
            </w:r>
            <w:r>
              <w:rPr>
                <w:rFonts w:ascii="宋体" w:hAnsi="宋体" w:cs="宋体" w:eastAsia="宋体"/>
                <w:sz w:val="24"/>
              </w:rPr>
              <w:t>直身手柄操作</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w:t>
            </w:r>
            <w:r>
              <w:rPr>
                <w:rFonts w:ascii="宋体" w:hAnsi="宋体" w:cs="宋体" w:eastAsia="宋体"/>
                <w:sz w:val="24"/>
              </w:rPr>
              <w:t>消毒方式</w:t>
            </w:r>
            <w:r>
              <w:rPr>
                <w:rFonts w:ascii="宋体" w:hAnsi="宋体" w:cs="宋体" w:eastAsia="宋体"/>
                <w:sz w:val="24"/>
              </w:rPr>
              <w:t>：</w:t>
            </w:r>
            <w:r>
              <w:rPr>
                <w:rFonts w:ascii="宋体" w:hAnsi="宋体" w:cs="宋体" w:eastAsia="宋体"/>
                <w:sz w:val="24"/>
              </w:rPr>
              <w:t>工作手柄、马达及连线可耐高温高压消毒</w:t>
            </w:r>
            <w:r>
              <w:rPr>
                <w:rFonts w:ascii="宋体" w:hAnsi="宋体" w:cs="宋体" w:eastAsia="宋体"/>
                <w:sz w:val="24"/>
              </w:rPr>
              <w:t>；</w:t>
            </w:r>
          </w:p>
          <w:p>
            <w:pPr>
              <w:pStyle w:val="null3"/>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最高转速</w:t>
            </w:r>
            <w:r>
              <w:rPr>
                <w:rFonts w:ascii="宋体" w:hAnsi="宋体" w:cs="宋体" w:eastAsia="宋体"/>
                <w:sz w:val="24"/>
              </w:rPr>
              <w:t>：</w:t>
            </w:r>
            <w:r>
              <w:rPr>
                <w:rFonts w:ascii="宋体" w:hAnsi="宋体" w:cs="宋体" w:eastAsia="宋体"/>
                <w:sz w:val="24"/>
              </w:rPr>
              <w:t>≥35000rpm</w:t>
            </w:r>
            <w:r>
              <w:rPr>
                <w:rFonts w:ascii="宋体" w:hAnsi="宋体" w:cs="宋体" w:eastAsia="宋体"/>
                <w:sz w:val="24"/>
              </w:rPr>
              <w:t>；</w:t>
            </w:r>
          </w:p>
          <w:p>
            <w:pPr>
              <w:pStyle w:val="null3"/>
              <w:jc w:val="both"/>
            </w:pPr>
            <w:r>
              <w:rPr>
                <w:rFonts w:ascii="宋体" w:hAnsi="宋体" w:cs="宋体" w:eastAsia="宋体"/>
                <w:sz w:val="24"/>
              </w:rPr>
              <w:t>7</w:t>
            </w:r>
            <w:r>
              <w:rPr>
                <w:rFonts w:ascii="宋体" w:hAnsi="宋体" w:cs="宋体" w:eastAsia="宋体"/>
                <w:sz w:val="24"/>
              </w:rPr>
              <w:t>、</w:t>
            </w:r>
            <w:r>
              <w:rPr>
                <w:rFonts w:ascii="宋体" w:hAnsi="宋体" w:cs="宋体" w:eastAsia="宋体"/>
                <w:sz w:val="24"/>
              </w:rPr>
              <w:t>最高扭矩</w:t>
            </w:r>
            <w:r>
              <w:rPr>
                <w:rFonts w:ascii="宋体" w:hAnsi="宋体" w:cs="宋体" w:eastAsia="宋体"/>
                <w:sz w:val="24"/>
              </w:rPr>
              <w:t>：</w:t>
            </w:r>
            <w:r>
              <w:rPr>
                <w:rFonts w:ascii="宋体" w:hAnsi="宋体" w:cs="宋体" w:eastAsia="宋体"/>
                <w:sz w:val="24"/>
              </w:rPr>
              <w:t>≥1600g.cm</w:t>
            </w:r>
            <w:r>
              <w:rPr>
                <w:rFonts w:ascii="宋体" w:hAnsi="宋体" w:cs="宋体" w:eastAsia="宋体"/>
                <w:sz w:val="24"/>
              </w:rPr>
              <w:t>；</w:t>
            </w:r>
          </w:p>
          <w:p>
            <w:pPr>
              <w:pStyle w:val="null3"/>
              <w:jc w:val="both"/>
            </w:pPr>
            <w:r>
              <w:rPr>
                <w:rFonts w:ascii="宋体" w:hAnsi="宋体" w:cs="宋体" w:eastAsia="宋体"/>
                <w:sz w:val="24"/>
              </w:rPr>
              <w:t>8</w:t>
            </w:r>
            <w:r>
              <w:rPr>
                <w:rFonts w:ascii="宋体" w:hAnsi="宋体" w:cs="宋体" w:eastAsia="宋体"/>
                <w:sz w:val="24"/>
              </w:rPr>
              <w:t>、</w:t>
            </w:r>
            <w:r>
              <w:rPr>
                <w:rFonts w:ascii="宋体" w:hAnsi="宋体" w:cs="宋体" w:eastAsia="宋体"/>
                <w:sz w:val="24"/>
              </w:rPr>
              <w:t>频率</w:t>
            </w:r>
            <w:r>
              <w:rPr>
                <w:rFonts w:ascii="宋体" w:hAnsi="宋体" w:cs="宋体" w:eastAsia="宋体"/>
                <w:sz w:val="24"/>
              </w:rPr>
              <w:t>：</w:t>
            </w:r>
            <w:r>
              <w:rPr>
                <w:rFonts w:ascii="宋体" w:hAnsi="宋体" w:cs="宋体" w:eastAsia="宋体"/>
                <w:sz w:val="24"/>
              </w:rPr>
              <w:t>≥17500次/min</w:t>
            </w:r>
            <w:r>
              <w:rPr>
                <w:rFonts w:ascii="宋体" w:hAnsi="宋体" w:cs="宋体" w:eastAsia="宋体"/>
                <w:sz w:val="24"/>
              </w:rPr>
              <w:t>；</w:t>
            </w:r>
          </w:p>
          <w:p>
            <w:pPr>
              <w:pStyle w:val="null3"/>
              <w:jc w:val="both"/>
            </w:pPr>
            <w:r>
              <w:rPr>
                <w:rFonts w:ascii="宋体" w:hAnsi="宋体" w:cs="宋体" w:eastAsia="宋体"/>
                <w:sz w:val="24"/>
              </w:rPr>
              <w:t>9</w:t>
            </w:r>
            <w:r>
              <w:rPr>
                <w:rFonts w:ascii="宋体" w:hAnsi="宋体" w:cs="宋体" w:eastAsia="宋体"/>
                <w:sz w:val="24"/>
              </w:rPr>
              <w:t>、</w:t>
            </w:r>
            <w:r>
              <w:rPr>
                <w:rFonts w:ascii="宋体" w:hAnsi="宋体" w:cs="宋体" w:eastAsia="宋体"/>
                <w:sz w:val="24"/>
              </w:rPr>
              <w:t>切削量</w:t>
            </w:r>
            <w:r>
              <w:rPr>
                <w:rFonts w:ascii="宋体" w:hAnsi="宋体" w:cs="宋体" w:eastAsia="宋体"/>
                <w:sz w:val="24"/>
              </w:rPr>
              <w:t>：</w:t>
            </w:r>
            <w:r>
              <w:rPr>
                <w:rFonts w:ascii="宋体" w:hAnsi="宋体" w:cs="宋体" w:eastAsia="宋体"/>
                <w:sz w:val="24"/>
              </w:rPr>
              <w:t>≥100mm</w:t>
            </w:r>
            <w:r>
              <w:rPr>
                <w:rFonts w:ascii="宋体" w:hAnsi="宋体" w:cs="宋体" w:eastAsia="宋体"/>
                <w:sz w:val="32"/>
                <w:vertAlign w:val="superscript"/>
              </w:rPr>
              <w:t>3</w:t>
            </w:r>
            <w:r>
              <w:rPr>
                <w:rFonts w:ascii="宋体" w:hAnsi="宋体" w:cs="宋体" w:eastAsia="宋体"/>
                <w:sz w:val="24"/>
              </w:rPr>
              <w:t>/S</w:t>
            </w:r>
            <w:r>
              <w:rPr>
                <w:rFonts w:ascii="宋体" w:hAnsi="宋体" w:cs="宋体" w:eastAsia="宋体"/>
                <w:sz w:val="24"/>
              </w:rPr>
              <w:t>；</w:t>
            </w:r>
          </w:p>
          <w:p>
            <w:pPr>
              <w:pStyle w:val="null3"/>
              <w:jc w:val="both"/>
            </w:pPr>
            <w:r>
              <w:rPr>
                <w:rFonts w:ascii="宋体" w:hAnsi="宋体" w:cs="宋体" w:eastAsia="宋体"/>
                <w:sz w:val="24"/>
              </w:rPr>
              <w:t>▲10</w:t>
            </w:r>
            <w:r>
              <w:rPr>
                <w:rFonts w:ascii="宋体" w:hAnsi="宋体" w:cs="宋体" w:eastAsia="宋体"/>
                <w:sz w:val="24"/>
              </w:rPr>
              <w:t>、</w:t>
            </w:r>
            <w:r>
              <w:rPr>
                <w:rFonts w:ascii="宋体" w:hAnsi="宋体" w:cs="宋体" w:eastAsia="宋体"/>
                <w:sz w:val="24"/>
              </w:rPr>
              <w:t>胸骨锯动力手柄</w:t>
            </w:r>
            <w:r>
              <w:rPr>
                <w:rFonts w:ascii="宋体" w:hAnsi="宋体" w:cs="宋体" w:eastAsia="宋体"/>
                <w:sz w:val="24"/>
              </w:rPr>
              <w:t>（</w:t>
            </w:r>
            <w:r>
              <w:rPr>
                <w:rFonts w:ascii="宋体" w:hAnsi="宋体" w:cs="宋体" w:eastAsia="宋体"/>
                <w:sz w:val="24"/>
              </w:rPr>
              <w:t>1支</w:t>
            </w:r>
            <w:r>
              <w:rPr>
                <w:rFonts w:ascii="宋体" w:hAnsi="宋体" w:cs="宋体" w:eastAsia="宋体"/>
                <w:sz w:val="24"/>
              </w:rPr>
              <w:t>）：</w:t>
            </w:r>
            <w:r>
              <w:rPr>
                <w:rFonts w:ascii="宋体" w:hAnsi="宋体" w:cs="宋体" w:eastAsia="宋体"/>
                <w:sz w:val="24"/>
              </w:rPr>
              <w:t>手控无极调速，锯片保护架可旋转</w:t>
            </w:r>
            <w:r>
              <w:rPr>
                <w:rFonts w:ascii="宋体" w:hAnsi="宋体" w:cs="宋体" w:eastAsia="宋体"/>
                <w:sz w:val="24"/>
              </w:rPr>
              <w:t>360度，</w:t>
            </w:r>
            <w:r>
              <w:rPr>
                <w:rFonts w:ascii="宋体" w:hAnsi="宋体" w:cs="宋体" w:eastAsia="宋体"/>
                <w:sz w:val="24"/>
              </w:rPr>
              <w:t>可</w:t>
            </w:r>
            <w:r>
              <w:rPr>
                <w:rFonts w:ascii="宋体" w:hAnsi="宋体" w:cs="宋体" w:eastAsia="宋体"/>
                <w:sz w:val="24"/>
              </w:rPr>
              <w:t>选择锯开胸骨的方向（推或拉）。</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往复锯片</w:t>
            </w:r>
            <w:r>
              <w:rPr>
                <w:rFonts w:ascii="宋体" w:hAnsi="宋体" w:cs="宋体" w:eastAsia="宋体"/>
                <w:sz w:val="24"/>
              </w:rPr>
              <w:t>（</w:t>
            </w:r>
            <w:r>
              <w:rPr>
                <w:rFonts w:ascii="宋体" w:hAnsi="宋体" w:cs="宋体" w:eastAsia="宋体"/>
                <w:sz w:val="24"/>
              </w:rPr>
              <w:t>2片</w:t>
            </w:r>
            <w:r>
              <w:rPr>
                <w:rFonts w:ascii="宋体" w:hAnsi="宋体" w:cs="宋体" w:eastAsia="宋体"/>
                <w:sz w:val="24"/>
              </w:rPr>
              <w:t>）：</w:t>
            </w:r>
            <w:r>
              <w:rPr>
                <w:rFonts w:ascii="宋体" w:hAnsi="宋体" w:cs="宋体" w:eastAsia="宋体"/>
                <w:sz w:val="24"/>
              </w:rPr>
              <w:t>往复量：</w:t>
            </w:r>
            <w:r>
              <w:rPr>
                <w:rFonts w:ascii="宋体" w:hAnsi="宋体" w:cs="宋体" w:eastAsia="宋体"/>
                <w:sz w:val="24"/>
              </w:rPr>
              <w:t>≥6mm</w:t>
            </w:r>
            <w:r>
              <w:rPr>
                <w:rFonts w:ascii="宋体" w:hAnsi="宋体" w:cs="宋体" w:eastAsia="宋体"/>
                <w:sz w:val="24"/>
              </w:rPr>
              <w:t>；</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翻修胸骨锯动力手柄</w:t>
            </w:r>
            <w:r>
              <w:rPr>
                <w:rFonts w:ascii="宋体" w:hAnsi="宋体" w:cs="宋体" w:eastAsia="宋体"/>
                <w:sz w:val="24"/>
              </w:rPr>
              <w:t>（</w:t>
            </w:r>
            <w:r>
              <w:rPr>
                <w:rFonts w:ascii="宋体" w:hAnsi="宋体" w:cs="宋体" w:eastAsia="宋体"/>
                <w:sz w:val="24"/>
              </w:rPr>
              <w:t>1支</w:t>
            </w:r>
            <w:r>
              <w:rPr>
                <w:rFonts w:ascii="宋体" w:hAnsi="宋体" w:cs="宋体" w:eastAsia="宋体"/>
                <w:sz w:val="24"/>
              </w:rPr>
              <w:t>）：</w:t>
            </w:r>
            <w:r>
              <w:rPr>
                <w:rFonts w:ascii="宋体" w:hAnsi="宋体" w:cs="宋体" w:eastAsia="宋体"/>
                <w:sz w:val="24"/>
              </w:rPr>
              <w:t>手控无极调速</w:t>
            </w:r>
            <w:r>
              <w:rPr>
                <w:rFonts w:ascii="宋体" w:hAnsi="宋体" w:cs="宋体" w:eastAsia="宋体"/>
                <w:sz w:val="24"/>
              </w:rPr>
              <w:t>；</w:t>
            </w:r>
          </w:p>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摆动锯片</w:t>
            </w:r>
            <w:r>
              <w:rPr>
                <w:rFonts w:ascii="宋体" w:hAnsi="宋体" w:cs="宋体" w:eastAsia="宋体"/>
                <w:sz w:val="24"/>
              </w:rPr>
              <w:t>（</w:t>
            </w:r>
            <w:r>
              <w:rPr>
                <w:rFonts w:ascii="宋体" w:hAnsi="宋体" w:cs="宋体" w:eastAsia="宋体"/>
                <w:sz w:val="24"/>
              </w:rPr>
              <w:t>2片</w:t>
            </w:r>
            <w:r>
              <w:rPr>
                <w:rFonts w:ascii="宋体" w:hAnsi="宋体" w:cs="宋体" w:eastAsia="宋体"/>
                <w:sz w:val="24"/>
              </w:rPr>
              <w:t>）：</w:t>
            </w:r>
            <w:r>
              <w:rPr>
                <w:rFonts w:ascii="宋体" w:hAnsi="宋体" w:cs="宋体" w:eastAsia="宋体"/>
                <w:sz w:val="24"/>
              </w:rPr>
              <w:t>摆动幅度</w:t>
            </w:r>
            <w:r>
              <w:rPr>
                <w:rFonts w:ascii="宋体" w:hAnsi="宋体" w:cs="宋体" w:eastAsia="宋体"/>
                <w:sz w:val="24"/>
              </w:rPr>
              <w:t>≤6mm</w:t>
            </w:r>
          </w:p>
        </w:tc>
      </w:tr>
      <w:tr>
        <w:tc>
          <w:tcPr>
            <w:tcW w:type="dxa" w:w="2769"/>
          </w:tcPr>
          <w:p/>
        </w:tc>
        <w:tc>
          <w:tcPr>
            <w:tcW w:type="dxa" w:w="2769"/>
          </w:tcPr>
          <w:p>
            <w:pPr>
              <w:pStyle w:val="null3"/>
            </w:pPr>
            <w:r>
              <w:rPr/>
              <w:t>3</w:t>
            </w:r>
          </w:p>
        </w:tc>
        <w:tc>
          <w:tcPr>
            <w:tcW w:type="dxa" w:w="2769"/>
          </w:tcPr>
          <w:p>
            <w:pPr>
              <w:pStyle w:val="null3"/>
              <w:jc w:val="center"/>
            </w:pPr>
            <w:r>
              <w:rPr>
                <w:rFonts w:ascii="宋体" w:hAnsi="宋体" w:cs="宋体" w:eastAsia="宋体"/>
                <w:sz w:val="36"/>
                <w:b/>
              </w:rPr>
              <w:t>空气压力波治疗仪技术参数</w:t>
            </w:r>
          </w:p>
          <w:p>
            <w:pPr>
              <w:pStyle w:val="null3"/>
              <w:jc w:val="both"/>
            </w:pPr>
            <w:r>
              <w:rPr>
                <w:rFonts w:ascii="宋体" w:hAnsi="宋体" w:cs="宋体" w:eastAsia="宋体"/>
                <w:sz w:val="24"/>
                <w:b/>
              </w:rPr>
              <w:t>一</w:t>
            </w:r>
            <w:r>
              <w:rPr>
                <w:rFonts w:ascii="宋体" w:hAnsi="宋体" w:cs="宋体" w:eastAsia="宋体"/>
                <w:sz w:val="24"/>
                <w:b/>
              </w:rPr>
              <w:t>、</w:t>
            </w:r>
            <w:r>
              <w:rPr>
                <w:rFonts w:ascii="宋体" w:hAnsi="宋体" w:cs="宋体" w:eastAsia="宋体"/>
                <w:sz w:val="24"/>
                <w:b/>
              </w:rPr>
              <w:t>基本要求</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适应症：预防肺栓塞；用于临床促进血液循环，防止深静脉血栓形成；消除肢体水肿。</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肢体压力套（足部加压气囊）只绑脚不绑腿</w:t>
            </w:r>
            <w:r>
              <w:rPr>
                <w:rFonts w:ascii="宋体" w:hAnsi="宋体" w:cs="宋体" w:eastAsia="宋体"/>
                <w:sz w:val="24"/>
              </w:rPr>
              <w:t>。</w:t>
            </w:r>
          </w:p>
          <w:p>
            <w:pPr>
              <w:pStyle w:val="null3"/>
              <w:jc w:val="both"/>
            </w:pPr>
            <w:r>
              <w:rPr>
                <w:rFonts w:ascii="宋体" w:hAnsi="宋体" w:cs="宋体" w:eastAsia="宋体"/>
                <w:sz w:val="24"/>
                <w:b/>
              </w:rPr>
              <w:t>二</w:t>
            </w:r>
            <w:r>
              <w:rPr>
                <w:rFonts w:ascii="宋体" w:hAnsi="宋体" w:cs="宋体" w:eastAsia="宋体"/>
                <w:sz w:val="24"/>
                <w:b/>
              </w:rPr>
              <w:t>、</w:t>
            </w:r>
            <w:r>
              <w:rPr>
                <w:rFonts w:ascii="宋体" w:hAnsi="宋体" w:cs="宋体" w:eastAsia="宋体"/>
                <w:sz w:val="24"/>
                <w:b/>
              </w:rPr>
              <w:t>配置参数</w:t>
            </w:r>
          </w:p>
          <w:p>
            <w:pPr>
              <w:pStyle w:val="null3"/>
              <w:jc w:val="both"/>
            </w:pPr>
            <w:r>
              <w:rPr>
                <w:rFonts w:ascii="宋体" w:hAnsi="宋体" w:cs="宋体" w:eastAsia="宋体"/>
                <w:sz w:val="24"/>
              </w:rPr>
              <w:t>2.1</w:t>
            </w:r>
            <w:r>
              <w:rPr>
                <w:rFonts w:ascii="宋体" w:hAnsi="宋体" w:cs="宋体" w:eastAsia="宋体"/>
                <w:sz w:val="24"/>
              </w:rPr>
              <w:t>、</w:t>
            </w:r>
            <w:r>
              <w:rPr>
                <w:rFonts w:ascii="宋体" w:hAnsi="宋体" w:cs="宋体" w:eastAsia="宋体"/>
                <w:sz w:val="24"/>
              </w:rPr>
              <w:t>运行模式：连续运行，持续工作时间</w:t>
            </w:r>
            <w:r>
              <w:rPr>
                <w:rFonts w:ascii="宋体" w:hAnsi="宋体" w:cs="宋体" w:eastAsia="宋体"/>
                <w:sz w:val="24"/>
              </w:rPr>
              <w:t>≥6小时。</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压力调节范围：</w:t>
            </w:r>
            <w:r>
              <w:rPr>
                <w:rFonts w:ascii="宋体" w:hAnsi="宋体" w:cs="宋体" w:eastAsia="宋体"/>
                <w:sz w:val="24"/>
              </w:rPr>
              <w:t>50mmHg-230mmHg，压力值：130mmHg，调节步进为10mmHg。</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设定范围：</w:t>
            </w:r>
            <w:r>
              <w:rPr>
                <w:rFonts w:ascii="宋体" w:hAnsi="宋体" w:cs="宋体" w:eastAsia="宋体"/>
                <w:sz w:val="24"/>
              </w:rPr>
              <w:t>10min-60min</w:t>
            </w:r>
            <w:r>
              <w:rPr>
                <w:rFonts w:ascii="宋体" w:hAnsi="宋体" w:cs="宋体" w:eastAsia="宋体"/>
                <w:sz w:val="24"/>
              </w:rPr>
              <w:t>（</w:t>
            </w:r>
            <w:r>
              <w:rPr>
                <w:rFonts w:ascii="宋体" w:hAnsi="宋体" w:cs="宋体" w:eastAsia="宋体"/>
                <w:sz w:val="24"/>
              </w:rPr>
              <w:t>可调</w:t>
            </w:r>
            <w:r>
              <w:rPr>
                <w:rFonts w:ascii="宋体" w:hAnsi="宋体" w:cs="宋体" w:eastAsia="宋体"/>
                <w:sz w:val="24"/>
              </w:rPr>
              <w:t>）</w:t>
            </w:r>
            <w:r>
              <w:rPr>
                <w:rFonts w:ascii="宋体" w:hAnsi="宋体" w:cs="宋体" w:eastAsia="宋体"/>
                <w:sz w:val="24"/>
              </w:rPr>
              <w:t>，步进</w:t>
            </w:r>
            <w:r>
              <w:rPr>
                <w:rFonts w:ascii="宋体" w:hAnsi="宋体" w:cs="宋体" w:eastAsia="宋体"/>
                <w:sz w:val="24"/>
              </w:rPr>
              <w:t>10min。</w:t>
            </w:r>
          </w:p>
          <w:p>
            <w:pPr>
              <w:pStyle w:val="null3"/>
              <w:jc w:val="both"/>
            </w:pPr>
            <w:r>
              <w:rPr>
                <w:rFonts w:ascii="宋体" w:hAnsi="宋体" w:cs="宋体" w:eastAsia="宋体"/>
                <w:sz w:val="24"/>
              </w:rPr>
              <w:t>2.4</w:t>
            </w:r>
            <w:r>
              <w:rPr>
                <w:rFonts w:ascii="宋体" w:hAnsi="宋体" w:cs="宋体" w:eastAsia="宋体"/>
                <w:sz w:val="24"/>
              </w:rPr>
              <w:t>、</w:t>
            </w:r>
            <w:r>
              <w:rPr>
                <w:rFonts w:ascii="宋体" w:hAnsi="宋体" w:cs="宋体" w:eastAsia="宋体"/>
                <w:sz w:val="24"/>
              </w:rPr>
              <w:t>脉冲周期：</w:t>
            </w:r>
            <w:r>
              <w:rPr>
                <w:rFonts w:ascii="宋体" w:hAnsi="宋体" w:cs="宋体" w:eastAsia="宋体"/>
                <w:sz w:val="24"/>
              </w:rPr>
              <w:t>≥</w:t>
            </w:r>
            <w:r>
              <w:rPr>
                <w:rFonts w:ascii="宋体" w:hAnsi="宋体" w:cs="宋体" w:eastAsia="宋体"/>
                <w:sz w:val="24"/>
              </w:rPr>
              <w:t>20s/次。</w:t>
            </w:r>
          </w:p>
          <w:p>
            <w:pPr>
              <w:pStyle w:val="null3"/>
              <w:jc w:val="both"/>
            </w:pPr>
            <w:r>
              <w:rPr>
                <w:rFonts w:ascii="宋体" w:hAnsi="宋体" w:cs="宋体" w:eastAsia="宋体"/>
                <w:sz w:val="24"/>
              </w:rPr>
              <w:t>2.5</w:t>
            </w:r>
            <w:r>
              <w:rPr>
                <w:rFonts w:ascii="宋体" w:hAnsi="宋体" w:cs="宋体" w:eastAsia="宋体"/>
                <w:sz w:val="24"/>
              </w:rPr>
              <w:t>、</w:t>
            </w:r>
            <w:r>
              <w:rPr>
                <w:rFonts w:ascii="宋体" w:hAnsi="宋体" w:cs="宋体" w:eastAsia="宋体"/>
                <w:sz w:val="24"/>
              </w:rPr>
              <w:t>≤</w:t>
            </w:r>
            <w:r>
              <w:rPr>
                <w:rFonts w:ascii="宋体" w:hAnsi="宋体" w:cs="宋体" w:eastAsia="宋体"/>
                <w:sz w:val="24"/>
              </w:rPr>
              <w:t>0.2s瞬时脉冲快速达到设定的脉冲压力值。</w:t>
            </w:r>
          </w:p>
          <w:p>
            <w:pPr>
              <w:pStyle w:val="null3"/>
              <w:jc w:val="both"/>
            </w:pPr>
            <w:r>
              <w:rPr>
                <w:rFonts w:ascii="宋体" w:hAnsi="宋体" w:cs="宋体" w:eastAsia="宋体"/>
                <w:sz w:val="24"/>
              </w:rPr>
              <w:t>2.6</w:t>
            </w:r>
            <w:r>
              <w:rPr>
                <w:rFonts w:ascii="宋体" w:hAnsi="宋体" w:cs="宋体" w:eastAsia="宋体"/>
                <w:sz w:val="24"/>
              </w:rPr>
              <w:t>、</w:t>
            </w:r>
            <w:r>
              <w:rPr>
                <w:rFonts w:ascii="宋体" w:hAnsi="宋体" w:cs="宋体" w:eastAsia="宋体"/>
                <w:sz w:val="24"/>
              </w:rPr>
              <w:t>压力保持时间：</w:t>
            </w:r>
            <w:r>
              <w:rPr>
                <w:rFonts w:ascii="宋体" w:hAnsi="宋体" w:cs="宋体" w:eastAsia="宋体"/>
                <w:sz w:val="24"/>
              </w:rPr>
              <w:t>≥3s。</w:t>
            </w:r>
          </w:p>
          <w:p>
            <w:pPr>
              <w:pStyle w:val="null3"/>
              <w:jc w:val="both"/>
            </w:pPr>
            <w:r>
              <w:rPr>
                <w:rFonts w:ascii="宋体" w:hAnsi="宋体" w:cs="宋体" w:eastAsia="宋体"/>
                <w:sz w:val="24"/>
              </w:rPr>
              <w:t>2.7</w:t>
            </w:r>
            <w:r>
              <w:rPr>
                <w:rFonts w:ascii="宋体" w:hAnsi="宋体" w:cs="宋体" w:eastAsia="宋体"/>
                <w:sz w:val="24"/>
              </w:rPr>
              <w:t>、</w:t>
            </w:r>
            <w:r>
              <w:rPr>
                <w:rFonts w:ascii="宋体" w:hAnsi="宋体" w:cs="宋体" w:eastAsia="宋体"/>
                <w:sz w:val="24"/>
              </w:rPr>
              <w:t>设备正常工作时，噪声</w:t>
            </w:r>
            <w:r>
              <w:rPr>
                <w:rFonts w:ascii="宋体" w:hAnsi="宋体" w:cs="宋体" w:eastAsia="宋体"/>
                <w:sz w:val="24"/>
              </w:rPr>
              <w:t>≤65dB(A)。</w:t>
            </w:r>
          </w:p>
          <w:p>
            <w:pPr>
              <w:pStyle w:val="null3"/>
              <w:jc w:val="both"/>
            </w:pPr>
            <w:r>
              <w:rPr>
                <w:rFonts w:ascii="宋体" w:hAnsi="宋体" w:cs="宋体" w:eastAsia="宋体"/>
                <w:sz w:val="24"/>
              </w:rPr>
              <w:t>2.8</w:t>
            </w:r>
            <w:r>
              <w:rPr>
                <w:rFonts w:ascii="宋体" w:hAnsi="宋体" w:cs="宋体" w:eastAsia="宋体"/>
                <w:sz w:val="24"/>
              </w:rPr>
              <w:t>、</w:t>
            </w:r>
            <w:r>
              <w:rPr>
                <w:rFonts w:ascii="宋体" w:hAnsi="宋体" w:cs="宋体" w:eastAsia="宋体"/>
                <w:sz w:val="24"/>
              </w:rPr>
              <w:t>≥7英寸可触屏操作，可显示治疗时长、压强值。</w:t>
            </w:r>
          </w:p>
          <w:p>
            <w:pPr>
              <w:pStyle w:val="null3"/>
              <w:jc w:val="both"/>
            </w:pPr>
            <w:r>
              <w:rPr>
                <w:rFonts w:ascii="宋体" w:hAnsi="宋体" w:cs="宋体" w:eastAsia="宋体"/>
                <w:sz w:val="24"/>
              </w:rPr>
              <w:t>2.9</w:t>
            </w:r>
            <w:r>
              <w:rPr>
                <w:rFonts w:ascii="宋体" w:hAnsi="宋体" w:cs="宋体" w:eastAsia="宋体"/>
                <w:sz w:val="24"/>
              </w:rPr>
              <w:t>、</w:t>
            </w:r>
            <w:r>
              <w:rPr>
                <w:rFonts w:ascii="宋体" w:hAnsi="宋体" w:cs="宋体" w:eastAsia="宋体"/>
                <w:sz w:val="24"/>
              </w:rPr>
              <w:t>可同时治疗两个肢体，也可左右脚单边控制。</w:t>
            </w:r>
          </w:p>
          <w:p>
            <w:pPr>
              <w:pStyle w:val="null3"/>
              <w:jc w:val="both"/>
            </w:pPr>
            <w:r>
              <w:rPr>
                <w:rFonts w:ascii="宋体" w:hAnsi="宋体" w:cs="宋体" w:eastAsia="宋体"/>
                <w:sz w:val="24"/>
                <w:b/>
              </w:rPr>
              <w:t>三</w:t>
            </w:r>
            <w:r>
              <w:rPr>
                <w:rFonts w:ascii="宋体" w:hAnsi="宋体" w:cs="宋体" w:eastAsia="宋体"/>
                <w:sz w:val="24"/>
                <w:b/>
              </w:rPr>
              <w:t>、</w:t>
            </w:r>
            <w:r>
              <w:rPr>
                <w:rFonts w:ascii="宋体" w:hAnsi="宋体" w:cs="宋体" w:eastAsia="宋体"/>
                <w:sz w:val="24"/>
                <w:b/>
              </w:rPr>
              <w:t>保护系统</w:t>
            </w:r>
          </w:p>
          <w:p>
            <w:pPr>
              <w:pStyle w:val="null3"/>
              <w:jc w:val="both"/>
            </w:pPr>
            <w:r>
              <w:rPr>
                <w:rFonts w:ascii="宋体" w:hAnsi="宋体" w:cs="宋体" w:eastAsia="宋体"/>
                <w:sz w:val="24"/>
              </w:rPr>
              <w:t>3.1</w:t>
            </w:r>
            <w:r>
              <w:rPr>
                <w:rFonts w:ascii="宋体" w:hAnsi="宋体" w:cs="宋体" w:eastAsia="宋体"/>
                <w:sz w:val="24"/>
              </w:rPr>
              <w:t>、</w:t>
            </w:r>
            <w:r>
              <w:rPr>
                <w:rFonts w:ascii="宋体" w:hAnsi="宋体" w:cs="宋体" w:eastAsia="宋体"/>
                <w:sz w:val="24"/>
              </w:rPr>
              <w:t>过压失压报警及保护、声视觉提示功能，提示后设备会立刻停止工作并释放气囊内压力。</w:t>
            </w:r>
          </w:p>
          <w:p>
            <w:pPr>
              <w:pStyle w:val="null3"/>
              <w:jc w:val="both"/>
            </w:pPr>
            <w:r>
              <w:rPr>
                <w:rFonts w:ascii="宋体" w:hAnsi="宋体" w:cs="宋体" w:eastAsia="宋体"/>
                <w:sz w:val="24"/>
              </w:rPr>
              <w:t>3.2</w:t>
            </w:r>
            <w:r>
              <w:rPr>
                <w:rFonts w:ascii="宋体" w:hAnsi="宋体" w:cs="宋体" w:eastAsia="宋体"/>
                <w:sz w:val="24"/>
              </w:rPr>
              <w:t>、</w:t>
            </w:r>
            <w:r>
              <w:rPr>
                <w:rFonts w:ascii="宋体" w:hAnsi="宋体" w:cs="宋体" w:eastAsia="宋体"/>
                <w:sz w:val="24"/>
              </w:rPr>
              <w:t>软件通过</w:t>
            </w:r>
            <w:r>
              <w:rPr>
                <w:rFonts w:ascii="宋体" w:hAnsi="宋体" w:cs="宋体" w:eastAsia="宋体"/>
                <w:sz w:val="24"/>
              </w:rPr>
              <w:t>RFID卡识别认证，控制设备启停。</w:t>
            </w:r>
          </w:p>
          <w:p>
            <w:pPr>
              <w:pStyle w:val="null3"/>
              <w:jc w:val="both"/>
            </w:pPr>
            <w:r>
              <w:rPr>
                <w:rFonts w:ascii="宋体" w:hAnsi="宋体" w:cs="宋体" w:eastAsia="宋体"/>
                <w:sz w:val="24"/>
                <w:b/>
              </w:rPr>
              <w:t>四</w:t>
            </w:r>
            <w:r>
              <w:rPr>
                <w:rFonts w:ascii="宋体" w:hAnsi="宋体" w:cs="宋体" w:eastAsia="宋体"/>
                <w:sz w:val="24"/>
                <w:b/>
              </w:rPr>
              <w:t>、</w:t>
            </w:r>
            <w:r>
              <w:rPr>
                <w:rFonts w:ascii="宋体" w:hAnsi="宋体" w:cs="宋体" w:eastAsia="宋体"/>
                <w:sz w:val="24"/>
                <w:b/>
              </w:rPr>
              <w:t>配置</w:t>
            </w:r>
          </w:p>
          <w:p>
            <w:pPr>
              <w:pStyle w:val="null3"/>
              <w:jc w:val="both"/>
            </w:pPr>
            <w:r>
              <w:rPr>
                <w:rFonts w:ascii="宋体" w:hAnsi="宋体" w:cs="宋体" w:eastAsia="宋体"/>
                <w:sz w:val="24"/>
              </w:rPr>
              <w:t>1、主机一台；</w:t>
            </w:r>
          </w:p>
          <w:p>
            <w:pPr>
              <w:pStyle w:val="null3"/>
              <w:jc w:val="left"/>
            </w:pPr>
            <w:r>
              <w:rPr>
                <w:rFonts w:ascii="宋体" w:hAnsi="宋体" w:cs="宋体" w:eastAsia="宋体"/>
                <w:sz w:val="24"/>
              </w:rPr>
              <w:t>2、肢体压力套及附件2套；</w:t>
            </w:r>
          </w:p>
          <w:p>
            <w:pPr>
              <w:pStyle w:val="null3"/>
              <w:jc w:val="left"/>
            </w:pPr>
            <w:r>
              <w:rPr>
                <w:rFonts w:ascii="宋体" w:hAnsi="宋体" w:cs="宋体" w:eastAsia="宋体"/>
                <w:sz w:val="24"/>
              </w:rPr>
              <w:t>3、多功能推车一台；</w:t>
            </w:r>
          </w:p>
          <w:p>
            <w:pPr>
              <w:pStyle w:val="null3"/>
              <w:jc w:val="both"/>
            </w:pPr>
            <w:r>
              <w:rPr>
                <w:rFonts w:ascii="宋体" w:hAnsi="宋体" w:cs="宋体" w:eastAsia="宋体"/>
                <w:sz w:val="24"/>
              </w:rPr>
              <w:t>4、充气垫2副</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标的名称：生物安全柜等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宋体" w:hAnsi="宋体" w:cs="宋体" w:eastAsia="宋体"/>
                <w:sz w:val="28"/>
                <w:b/>
              </w:rPr>
              <w:t>采购清单</w:t>
            </w:r>
          </w:p>
          <w:p>
            <w:pPr>
              <w:pStyle w:val="null3"/>
              <w:jc w:val="center"/>
            </w:pPr>
            <w:r>
              <w:rPr>
                <w:rFonts w:ascii="宋体" w:hAnsi="宋体" w:cs="宋体" w:eastAsia="宋体"/>
                <w:sz w:val="28"/>
                <w:b/>
              </w:rPr>
              <w:t>核心产品：生物安全柜</w:t>
            </w:r>
          </w:p>
          <w:tbl>
            <w:tblPr>
              <w:tblBorders>
                <w:top w:val="none" w:color="000000" w:sz="4"/>
                <w:left w:val="none" w:color="000000" w:sz="4"/>
                <w:bottom w:val="none" w:color="000000" w:sz="4"/>
                <w:right w:val="none" w:color="000000" w:sz="4"/>
                <w:insideH w:val="none"/>
                <w:insideV w:val="none"/>
              </w:tblBorders>
            </w:tblPr>
            <w:tblGrid>
              <w:gridCol w:w="374"/>
              <w:gridCol w:w="547"/>
              <w:gridCol w:w="303"/>
              <w:gridCol w:w="318"/>
              <w:gridCol w:w="425"/>
              <w:gridCol w:w="586"/>
            </w:tblGrid>
            <w:tr>
              <w:tc>
                <w:tcPr>
                  <w:tcW w:type="dxa" w:w="37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54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项目名称</w:t>
                  </w:r>
                </w:p>
              </w:tc>
              <w:tc>
                <w:tcPr>
                  <w:tcW w:type="dxa" w:w="3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数量（台）</w:t>
                  </w:r>
                </w:p>
              </w:tc>
              <w:tc>
                <w:tcPr>
                  <w:tcW w:type="dxa" w:w="31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单价</w:t>
                  </w:r>
                </w:p>
              </w:tc>
              <w:tc>
                <w:tcPr>
                  <w:tcW w:type="dxa" w:w="4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预算金额</w:t>
                  </w:r>
                </w:p>
                <w:p>
                  <w:pPr>
                    <w:pStyle w:val="null3"/>
                    <w:jc w:val="center"/>
                  </w:pPr>
                  <w:r>
                    <w:rPr>
                      <w:rFonts w:ascii="宋体" w:hAnsi="宋体" w:cs="宋体" w:eastAsia="宋体"/>
                      <w:sz w:val="24"/>
                      <w:b/>
                      <w:color w:val="000000"/>
                    </w:rPr>
                    <w:t>（万元）</w:t>
                  </w:r>
                </w:p>
              </w:tc>
              <w:tc>
                <w:tcPr>
                  <w:tcW w:type="dxa" w:w="5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限价</w:t>
                  </w:r>
                </w:p>
                <w:p>
                  <w:pPr>
                    <w:pStyle w:val="null3"/>
                    <w:jc w:val="center"/>
                  </w:pPr>
                  <w:r>
                    <w:rPr>
                      <w:rFonts w:ascii="宋体" w:hAnsi="宋体" w:cs="宋体" w:eastAsia="宋体"/>
                      <w:sz w:val="24"/>
                      <w:b/>
                      <w:color w:val="000000"/>
                    </w:rPr>
                    <w:t>（万元）</w:t>
                  </w:r>
                </w:p>
              </w:tc>
            </w:tr>
            <w:tr>
              <w:tc>
                <w:tcPr>
                  <w:tcW w:type="dxa" w:w="374"/>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标段二</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生物安全柜</w:t>
                  </w:r>
                </w:p>
              </w:tc>
              <w:tc>
                <w:tcPr>
                  <w:tcW w:type="dxa" w:w="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8</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8</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4.7</w:t>
                  </w:r>
                </w:p>
              </w:tc>
            </w:tr>
            <w:tr>
              <w:tc>
                <w:tcPr>
                  <w:tcW w:type="dxa" w:w="374"/>
                  <w:vMerge/>
                  <w:tcBorders>
                    <w:top w:val="none" w:color="000000" w:sz="4"/>
                    <w:left w:val="singl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医用血液冷藏箱</w:t>
                  </w:r>
                </w:p>
              </w:tc>
              <w:tc>
                <w:tcPr>
                  <w:tcW w:type="dxa" w:w="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5</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3.3</w:t>
                  </w:r>
                </w:p>
              </w:tc>
            </w:tr>
            <w:tr>
              <w:tc>
                <w:tcPr>
                  <w:tcW w:type="dxa" w:w="374"/>
                  <w:vMerge/>
                  <w:tcBorders>
                    <w:top w:val="none" w:color="000000" w:sz="4"/>
                    <w:left w:val="single" w:color="000000" w:sz="4"/>
                    <w:bottom w:val="single" w:color="000000" w:sz="4"/>
                    <w:right w:val="single" w:color="000000" w:sz="4"/>
                  </w:tcBorders>
                </w:tcP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离心机</w:t>
                  </w:r>
                </w:p>
              </w:tc>
              <w:tc>
                <w:tcPr>
                  <w:tcW w:type="dxa" w:w="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2</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1.7</w:t>
                  </w: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3.4</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3.4</w:t>
                  </w:r>
                </w:p>
              </w:tc>
            </w:tr>
            <w:tr>
              <w:tc>
                <w:tcPr>
                  <w:tcW w:type="dxa" w:w="37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合计</w:t>
                  </w:r>
                </w:p>
              </w:tc>
              <w:tc>
                <w:tcPr>
                  <w:tcW w:type="dxa" w:w="5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3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16.4</w:t>
                  </w:r>
                </w:p>
              </w:tc>
              <w:tc>
                <w:tcPr>
                  <w:tcW w:type="dxa" w:w="5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11.4</w:t>
                  </w:r>
                </w:p>
              </w:tc>
            </w:tr>
          </w:tbl>
          <w:p/>
        </w:tc>
      </w:tr>
      <w:tr>
        <w:tc>
          <w:tcPr>
            <w:tcW w:type="dxa" w:w="2769"/>
          </w:tcPr>
          <w:p/>
        </w:tc>
        <w:tc>
          <w:tcPr>
            <w:tcW w:type="dxa" w:w="2769"/>
          </w:tcPr>
          <w:p>
            <w:pPr>
              <w:pStyle w:val="null3"/>
            </w:pPr>
            <w:r>
              <w:rPr/>
              <w:t>2</w:t>
            </w:r>
          </w:p>
        </w:tc>
        <w:tc>
          <w:tcPr>
            <w:tcW w:type="dxa" w:w="2769"/>
          </w:tcPr>
          <w:p>
            <w:pPr>
              <w:pStyle w:val="null3"/>
              <w:jc w:val="center"/>
            </w:pPr>
            <w:r>
              <w:rPr>
                <w:rFonts w:ascii="宋体" w:hAnsi="宋体" w:cs="宋体" w:eastAsia="宋体"/>
                <w:sz w:val="36"/>
                <w:b/>
              </w:rPr>
              <w:t>生物安全柜技术参数</w:t>
            </w:r>
          </w:p>
          <w:p>
            <w:pPr>
              <w:pStyle w:val="null3"/>
              <w:jc w:val="both"/>
            </w:pPr>
            <w:r>
              <w:rPr>
                <w:rFonts w:ascii="宋体" w:hAnsi="宋体" w:cs="宋体" w:eastAsia="宋体"/>
                <w:sz w:val="24"/>
              </w:rPr>
              <w:t>1、二级B2型，单人型；</w:t>
            </w:r>
          </w:p>
          <w:p>
            <w:pPr>
              <w:pStyle w:val="null3"/>
              <w:jc w:val="both"/>
            </w:pPr>
            <w:r>
              <w:rPr>
                <w:rFonts w:ascii="宋体" w:hAnsi="宋体" w:cs="宋体" w:eastAsia="宋体"/>
                <w:sz w:val="24"/>
              </w:rPr>
              <w:t>2、工作区采用304#不锈钢一体化结构；</w:t>
            </w:r>
          </w:p>
          <w:p>
            <w:pPr>
              <w:pStyle w:val="null3"/>
              <w:jc w:val="both"/>
            </w:pPr>
            <w:r>
              <w:rPr>
                <w:rFonts w:ascii="宋体" w:hAnsi="宋体" w:cs="宋体" w:eastAsia="宋体"/>
                <w:sz w:val="24"/>
              </w:rPr>
              <w:t>3、支架福马脚轮设计；</w:t>
            </w:r>
          </w:p>
          <w:p>
            <w:pPr>
              <w:pStyle w:val="null3"/>
              <w:jc w:val="both"/>
            </w:pPr>
            <w:r>
              <w:rPr>
                <w:rFonts w:ascii="宋体" w:hAnsi="宋体" w:cs="宋体" w:eastAsia="宋体"/>
                <w:sz w:val="24"/>
              </w:rPr>
              <w:t>4、柜体和支架可分离，可根据实际情况订制修改；</w:t>
            </w:r>
          </w:p>
          <w:p>
            <w:pPr>
              <w:pStyle w:val="null3"/>
              <w:jc w:val="both"/>
            </w:pPr>
            <w:r>
              <w:rPr>
                <w:rFonts w:ascii="宋体" w:hAnsi="宋体" w:cs="宋体" w:eastAsia="宋体"/>
                <w:sz w:val="24"/>
              </w:rPr>
              <w:t>5、高亮度LCD显示屏,实时动态显示操作区的下降气流流速和流入气流流速，显示安全柜的整体运行时间，UV灯的运行时间，操作区的温度和湿度，送风和排风过滤器的阻力，显示过滤器的使用时间并由条码显示过滤器的使用寿命；</w:t>
            </w:r>
          </w:p>
          <w:p>
            <w:pPr>
              <w:pStyle w:val="null3"/>
              <w:jc w:val="both"/>
            </w:pPr>
            <w:r>
              <w:rPr>
                <w:rFonts w:ascii="宋体" w:hAnsi="宋体" w:cs="宋体" w:eastAsia="宋体"/>
                <w:sz w:val="24"/>
              </w:rPr>
              <w:t>6、电动控制前窗玻璃门，可同时采用脚踏控制、按键控制或遥控控制；</w:t>
            </w:r>
          </w:p>
          <w:p>
            <w:pPr>
              <w:pStyle w:val="null3"/>
              <w:jc w:val="both"/>
            </w:pPr>
            <w:r>
              <w:rPr>
                <w:rFonts w:ascii="宋体" w:hAnsi="宋体" w:cs="宋体" w:eastAsia="宋体"/>
                <w:sz w:val="24"/>
              </w:rPr>
              <w:t>7、具有预约定时功能，能自动设定安全柜定时开机、关机及紫外灯消毒时间；</w:t>
            </w:r>
          </w:p>
          <w:p>
            <w:pPr>
              <w:pStyle w:val="null3"/>
              <w:jc w:val="both"/>
            </w:pPr>
            <w:r>
              <w:rPr>
                <w:rFonts w:ascii="宋体" w:hAnsi="宋体" w:cs="宋体" w:eastAsia="宋体"/>
                <w:sz w:val="24"/>
              </w:rPr>
              <w:t>8、</w:t>
            </w:r>
            <w:r>
              <w:rPr>
                <w:rFonts w:ascii="宋体" w:hAnsi="宋体" w:cs="宋体" w:eastAsia="宋体"/>
                <w:sz w:val="24"/>
              </w:rPr>
              <w:t>具备</w:t>
            </w:r>
            <w:r>
              <w:rPr>
                <w:rFonts w:ascii="宋体" w:hAnsi="宋体" w:cs="宋体" w:eastAsia="宋体"/>
                <w:sz w:val="24"/>
              </w:rPr>
              <w:t>报警</w:t>
            </w:r>
            <w:r>
              <w:rPr>
                <w:rFonts w:ascii="宋体" w:hAnsi="宋体" w:cs="宋体" w:eastAsia="宋体"/>
                <w:sz w:val="24"/>
              </w:rPr>
              <w:t>功能</w:t>
            </w:r>
            <w:r>
              <w:rPr>
                <w:rFonts w:ascii="宋体" w:hAnsi="宋体" w:cs="宋体" w:eastAsia="宋体"/>
                <w:sz w:val="24"/>
              </w:rPr>
              <w:t>（</w:t>
            </w:r>
            <w:r>
              <w:rPr>
                <w:rFonts w:ascii="宋体" w:hAnsi="宋体" w:cs="宋体" w:eastAsia="宋体"/>
                <w:sz w:val="24"/>
              </w:rPr>
              <w:t>玻璃门不在安全高度</w:t>
            </w:r>
            <w:r>
              <w:rPr>
                <w:rFonts w:ascii="宋体" w:hAnsi="宋体" w:cs="宋体" w:eastAsia="宋体"/>
                <w:sz w:val="24"/>
              </w:rPr>
              <w:t>、</w:t>
            </w:r>
            <w:r>
              <w:rPr>
                <w:rFonts w:ascii="宋体" w:hAnsi="宋体" w:cs="宋体" w:eastAsia="宋体"/>
                <w:sz w:val="24"/>
              </w:rPr>
              <w:t>过滤器压力超高</w:t>
            </w:r>
            <w:r>
              <w:rPr>
                <w:rFonts w:ascii="宋体" w:hAnsi="宋体" w:cs="宋体" w:eastAsia="宋体"/>
                <w:sz w:val="24"/>
              </w:rPr>
              <w:t>、</w:t>
            </w:r>
            <w:r>
              <w:rPr>
                <w:rFonts w:ascii="宋体" w:hAnsi="宋体" w:cs="宋体" w:eastAsia="宋体"/>
                <w:sz w:val="24"/>
              </w:rPr>
              <w:t>过滤器失效更换</w:t>
            </w:r>
            <w:r>
              <w:rPr>
                <w:rFonts w:ascii="宋体" w:hAnsi="宋体" w:cs="宋体" w:eastAsia="宋体"/>
                <w:sz w:val="24"/>
              </w:rPr>
              <w:t>、</w:t>
            </w:r>
            <w:r>
              <w:rPr>
                <w:rFonts w:ascii="宋体" w:hAnsi="宋体" w:cs="宋体" w:eastAsia="宋体"/>
                <w:sz w:val="24"/>
              </w:rPr>
              <w:t>气流波动</w:t>
            </w:r>
            <w:r>
              <w:rPr>
                <w:rFonts w:ascii="宋体" w:hAnsi="宋体" w:cs="宋体" w:eastAsia="宋体"/>
                <w:sz w:val="24"/>
              </w:rPr>
              <w:t>）</w:t>
            </w:r>
          </w:p>
          <w:p>
            <w:pPr>
              <w:pStyle w:val="null3"/>
              <w:jc w:val="both"/>
            </w:pPr>
            <w:r>
              <w:rPr>
                <w:rFonts w:ascii="宋体" w:hAnsi="宋体" w:cs="宋体" w:eastAsia="宋体"/>
                <w:sz w:val="24"/>
              </w:rPr>
              <w:t>9、连锁保护功能：</w:t>
            </w:r>
          </w:p>
          <w:p>
            <w:pPr>
              <w:pStyle w:val="null3"/>
              <w:jc w:val="both"/>
            </w:pPr>
            <w:r>
              <w:rPr>
                <w:rFonts w:ascii="宋体" w:hAnsi="宋体" w:cs="宋体" w:eastAsia="宋体"/>
                <w:sz w:val="24"/>
              </w:rPr>
              <w:t>（</w:t>
            </w:r>
            <w:r>
              <w:rPr>
                <w:rFonts w:ascii="宋体" w:hAnsi="宋体" w:cs="宋体" w:eastAsia="宋体"/>
                <w:sz w:val="24"/>
              </w:rPr>
              <w:t>1）安全柜风机与玻璃门互锁；</w:t>
            </w:r>
          </w:p>
          <w:p>
            <w:pPr>
              <w:pStyle w:val="null3"/>
              <w:jc w:val="both"/>
            </w:pPr>
            <w:r>
              <w:rPr>
                <w:rFonts w:ascii="宋体" w:hAnsi="宋体" w:cs="宋体" w:eastAsia="宋体"/>
                <w:sz w:val="24"/>
              </w:rPr>
              <w:t>（</w:t>
            </w:r>
            <w:r>
              <w:rPr>
                <w:rFonts w:ascii="宋体" w:hAnsi="宋体" w:cs="宋体" w:eastAsia="宋体"/>
                <w:sz w:val="24"/>
              </w:rPr>
              <w:t>2）紫外灯与安全柜玻璃门、风机及照明灯互锁。</w:t>
            </w:r>
          </w:p>
        </w:tc>
      </w:tr>
      <w:tr>
        <w:tc>
          <w:tcPr>
            <w:tcW w:type="dxa" w:w="2769"/>
          </w:tcPr>
          <w:p/>
        </w:tc>
        <w:tc>
          <w:tcPr>
            <w:tcW w:type="dxa" w:w="2769"/>
          </w:tcPr>
          <w:p>
            <w:pPr>
              <w:pStyle w:val="null3"/>
            </w:pPr>
            <w:r>
              <w:rPr/>
              <w:t>3</w:t>
            </w:r>
          </w:p>
        </w:tc>
        <w:tc>
          <w:tcPr>
            <w:tcW w:type="dxa" w:w="2769"/>
          </w:tcPr>
          <w:p>
            <w:pPr>
              <w:pStyle w:val="null3"/>
              <w:jc w:val="center"/>
            </w:pPr>
            <w:r>
              <w:rPr>
                <w:rFonts w:ascii="宋体" w:hAnsi="宋体" w:cs="宋体" w:eastAsia="宋体"/>
                <w:sz w:val="36"/>
                <w:b/>
              </w:rPr>
              <w:t>医用血液冷藏箱技术参数</w:t>
            </w:r>
          </w:p>
          <w:p>
            <w:pPr>
              <w:pStyle w:val="null3"/>
              <w:jc w:val="both"/>
            </w:pPr>
            <w:r>
              <w:rPr>
                <w:rFonts w:ascii="宋体" w:hAnsi="宋体" w:cs="宋体" w:eastAsia="宋体"/>
                <w:sz w:val="24"/>
              </w:rPr>
              <w:t>1、</w:t>
            </w:r>
            <w:r>
              <w:rPr>
                <w:rFonts w:ascii="宋体" w:hAnsi="宋体" w:cs="宋体" w:eastAsia="宋体"/>
                <w:sz w:val="24"/>
              </w:rPr>
              <w:t>有效容积</w:t>
            </w:r>
            <w:r>
              <w:rPr>
                <w:rFonts w:ascii="宋体" w:hAnsi="宋体" w:cs="宋体" w:eastAsia="宋体"/>
                <w:sz w:val="24"/>
              </w:rPr>
              <w:t>≥</w:t>
            </w:r>
            <w:r>
              <w:rPr>
                <w:rFonts w:ascii="宋体" w:hAnsi="宋体" w:cs="宋体" w:eastAsia="宋体"/>
                <w:sz w:val="24"/>
              </w:rPr>
              <w:t>270</w:t>
            </w:r>
            <w:r>
              <w:rPr>
                <w:rFonts w:ascii="宋体" w:hAnsi="宋体" w:cs="宋体" w:eastAsia="宋体"/>
                <w:sz w:val="24"/>
              </w:rPr>
              <w:t>L；</w:t>
            </w:r>
          </w:p>
          <w:p>
            <w:pPr>
              <w:pStyle w:val="null3"/>
              <w:jc w:val="both"/>
            </w:pPr>
            <w:r>
              <w:rPr>
                <w:rFonts w:ascii="宋体" w:hAnsi="宋体" w:cs="宋体" w:eastAsia="宋体"/>
                <w:sz w:val="24"/>
              </w:rPr>
              <w:t>2、实时温湿度显示；</w:t>
            </w:r>
          </w:p>
          <w:p>
            <w:pPr>
              <w:pStyle w:val="null3"/>
              <w:jc w:val="both"/>
            </w:pPr>
            <w:r>
              <w:rPr>
                <w:rFonts w:ascii="宋体" w:hAnsi="宋体" w:cs="宋体" w:eastAsia="宋体"/>
                <w:sz w:val="24"/>
              </w:rPr>
              <w:t>3、箱内温度：4±1℃；</w:t>
            </w:r>
          </w:p>
          <w:p>
            <w:pPr>
              <w:pStyle w:val="null3"/>
              <w:jc w:val="both"/>
            </w:pPr>
            <w:r>
              <w:rPr>
                <w:rFonts w:ascii="宋体" w:hAnsi="宋体" w:cs="宋体" w:eastAsia="宋体"/>
                <w:sz w:val="24"/>
              </w:rPr>
              <w:t>4、具有高低温、断电、开门、传感器、电池电量低等报警功能；</w:t>
            </w:r>
          </w:p>
          <w:p>
            <w:pPr>
              <w:pStyle w:val="null3"/>
              <w:jc w:val="both"/>
            </w:pPr>
            <w:r>
              <w:rPr>
                <w:rFonts w:ascii="宋体" w:hAnsi="宋体" w:cs="宋体" w:eastAsia="宋体"/>
                <w:sz w:val="24"/>
              </w:rPr>
              <w:t>5、可显示及查询温度曲线、工作状态、事件及报警记录等信息；</w:t>
            </w:r>
          </w:p>
          <w:p>
            <w:pPr>
              <w:pStyle w:val="null3"/>
              <w:jc w:val="left"/>
            </w:pPr>
            <w:r>
              <w:rPr>
                <w:rFonts w:ascii="宋体" w:hAnsi="宋体" w:cs="宋体" w:eastAsia="宋体"/>
                <w:sz w:val="24"/>
              </w:rPr>
              <w:t>6、可免费配现有冷链系统监测工程；</w:t>
            </w:r>
          </w:p>
          <w:p>
            <w:pPr>
              <w:pStyle w:val="null3"/>
              <w:jc w:val="left"/>
            </w:pPr>
            <w:r>
              <w:rPr>
                <w:rFonts w:ascii="宋体" w:hAnsi="宋体" w:cs="宋体" w:eastAsia="宋体"/>
                <w:sz w:val="24"/>
              </w:rPr>
              <w:t>7、温度控制可靠，提供全血、试剂、样品等所需的存储环境；</w:t>
            </w:r>
          </w:p>
          <w:p>
            <w:pPr>
              <w:pStyle w:val="null3"/>
              <w:jc w:val="left"/>
            </w:pPr>
            <w:r>
              <w:rPr>
                <w:rFonts w:ascii="宋体" w:hAnsi="宋体" w:cs="宋体" w:eastAsia="宋体"/>
                <w:sz w:val="24"/>
              </w:rPr>
              <w:t>8、采用微电脑控制系统，温度数字显示；</w:t>
            </w:r>
          </w:p>
          <w:p>
            <w:pPr>
              <w:pStyle w:val="null3"/>
              <w:jc w:val="left"/>
            </w:pPr>
            <w:r>
              <w:rPr>
                <w:rFonts w:ascii="宋体" w:hAnsi="宋体" w:cs="宋体" w:eastAsia="宋体"/>
                <w:sz w:val="24"/>
              </w:rPr>
              <w:t>9、电子温度控制精度±0.1℃；</w:t>
            </w:r>
          </w:p>
          <w:p>
            <w:pPr>
              <w:pStyle w:val="null3"/>
              <w:jc w:val="left"/>
            </w:pPr>
            <w:r>
              <w:rPr>
                <w:rFonts w:ascii="宋体" w:hAnsi="宋体" w:cs="宋体" w:eastAsia="宋体"/>
                <w:sz w:val="24"/>
              </w:rPr>
              <w:t>10、箱内温度控制在2-6℃范围内；</w:t>
            </w:r>
          </w:p>
          <w:p>
            <w:pPr>
              <w:pStyle w:val="null3"/>
              <w:jc w:val="left"/>
            </w:pPr>
            <w:r>
              <w:rPr>
                <w:rFonts w:ascii="宋体" w:hAnsi="宋体" w:cs="宋体" w:eastAsia="宋体"/>
                <w:sz w:val="24"/>
              </w:rPr>
              <w:t>11、高密度保温发泡层，保温效果好；</w:t>
            </w:r>
          </w:p>
          <w:p>
            <w:pPr>
              <w:pStyle w:val="null3"/>
              <w:jc w:val="left"/>
            </w:pPr>
            <w:r>
              <w:rPr>
                <w:rFonts w:ascii="宋体" w:hAnsi="宋体" w:cs="宋体" w:eastAsia="宋体"/>
                <w:sz w:val="24"/>
              </w:rPr>
              <w:t>12、有循环冷却系统功能，确保冷藏箱内部温度恒定；</w:t>
            </w:r>
          </w:p>
          <w:p>
            <w:pPr>
              <w:pStyle w:val="null3"/>
              <w:jc w:val="both"/>
            </w:pPr>
            <w:r>
              <w:rPr>
                <w:rFonts w:ascii="宋体" w:hAnsi="宋体" w:cs="宋体" w:eastAsia="宋体"/>
                <w:sz w:val="24"/>
              </w:rPr>
              <w:t>13、具备报警功能；</w:t>
            </w:r>
          </w:p>
        </w:tc>
      </w:tr>
      <w:tr>
        <w:tc>
          <w:tcPr>
            <w:tcW w:type="dxa" w:w="2769"/>
          </w:tcPr>
          <w:p/>
        </w:tc>
        <w:tc>
          <w:tcPr>
            <w:tcW w:type="dxa" w:w="2769"/>
          </w:tcPr>
          <w:p>
            <w:pPr>
              <w:pStyle w:val="null3"/>
            </w:pPr>
            <w:r>
              <w:rPr/>
              <w:t>4</w:t>
            </w:r>
          </w:p>
        </w:tc>
        <w:tc>
          <w:tcPr>
            <w:tcW w:type="dxa" w:w="2769"/>
          </w:tcPr>
          <w:p>
            <w:pPr>
              <w:pStyle w:val="null3"/>
              <w:ind w:firstLine="723"/>
              <w:jc w:val="center"/>
            </w:pPr>
            <w:r>
              <w:rPr>
                <w:rFonts w:ascii="宋体" w:hAnsi="宋体" w:cs="宋体" w:eastAsia="宋体"/>
                <w:sz w:val="36"/>
                <w:b/>
              </w:rPr>
              <w:t>离心机技术参数</w:t>
            </w:r>
          </w:p>
          <w:p>
            <w:pPr>
              <w:pStyle w:val="null3"/>
              <w:jc w:val="both"/>
            </w:pPr>
            <w:r>
              <w:rPr>
                <w:rFonts w:ascii="宋体" w:hAnsi="宋体" w:cs="宋体" w:eastAsia="宋体"/>
                <w:sz w:val="24"/>
              </w:rPr>
              <w:t>1、微电脑控制，LED数字直观显示，动态显示离心力和离心转速/可设置和转换绝对离心力和相对离心力</w:t>
            </w:r>
            <w:r>
              <w:rPr>
                <w:rFonts w:ascii="宋体" w:hAnsi="宋体" w:cs="宋体" w:eastAsia="宋体"/>
                <w:sz w:val="24"/>
              </w:rPr>
              <w:t>；</w:t>
            </w:r>
          </w:p>
          <w:p>
            <w:pPr>
              <w:pStyle w:val="null3"/>
              <w:jc w:val="both"/>
            </w:pPr>
            <w:r>
              <w:rPr>
                <w:rFonts w:ascii="宋体" w:hAnsi="宋体" w:cs="宋体" w:eastAsia="宋体"/>
                <w:sz w:val="24"/>
              </w:rPr>
              <w:t>2、具有电机过热保护功能，自动平衡补偿及不平衡保护系统</w:t>
            </w:r>
            <w:r>
              <w:rPr>
                <w:rFonts w:ascii="宋体" w:hAnsi="宋体" w:cs="宋体" w:eastAsia="宋体"/>
                <w:sz w:val="24"/>
              </w:rPr>
              <w:t>；</w:t>
            </w:r>
          </w:p>
          <w:p>
            <w:pPr>
              <w:pStyle w:val="null3"/>
              <w:jc w:val="both"/>
            </w:pPr>
            <w:r>
              <w:rPr>
                <w:rFonts w:ascii="宋体" w:hAnsi="宋体" w:cs="宋体" w:eastAsia="宋体"/>
                <w:sz w:val="24"/>
              </w:rPr>
              <w:t>3、电子门盖锁、转子停止门盖自动打开，钢制机身，不锈钢离心腔</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能显示</w:t>
            </w:r>
            <w:r>
              <w:rPr>
                <w:rFonts w:ascii="宋体" w:hAnsi="宋体" w:cs="宋体" w:eastAsia="宋体"/>
                <w:sz w:val="24"/>
              </w:rPr>
              <w:t>有效离心时间</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具有</w:t>
            </w:r>
            <w:r>
              <w:rPr>
                <w:rFonts w:ascii="宋体" w:hAnsi="宋体" w:cs="宋体" w:eastAsia="宋体"/>
                <w:sz w:val="24"/>
              </w:rPr>
              <w:t>即时离心功能，在最高转速时可实现</w:t>
            </w:r>
            <w:r>
              <w:rPr>
                <w:rFonts w:ascii="宋体" w:hAnsi="宋体" w:cs="宋体" w:eastAsia="宋体"/>
                <w:sz w:val="24"/>
              </w:rPr>
              <w:t>10秒内平稳停机</w:t>
            </w:r>
            <w:r>
              <w:rPr>
                <w:rFonts w:ascii="宋体" w:hAnsi="宋体" w:cs="宋体" w:eastAsia="宋体"/>
                <w:sz w:val="24"/>
              </w:rPr>
              <w:t>；</w:t>
            </w:r>
          </w:p>
          <w:p>
            <w:pPr>
              <w:pStyle w:val="null3"/>
              <w:jc w:val="both"/>
            </w:pPr>
            <w:r>
              <w:rPr>
                <w:rFonts w:ascii="宋体" w:hAnsi="宋体" w:cs="宋体" w:eastAsia="宋体"/>
                <w:sz w:val="24"/>
              </w:rPr>
              <w:t>6、工作状态下，工作仓内温度升温</w:t>
            </w:r>
            <w:r>
              <w:rPr>
                <w:rFonts w:ascii="宋体" w:hAnsi="宋体" w:cs="宋体" w:eastAsia="宋体"/>
                <w:sz w:val="24"/>
              </w:rPr>
              <w:t>≤</w:t>
            </w:r>
            <w:r>
              <w:rPr>
                <w:rFonts w:ascii="宋体" w:hAnsi="宋体" w:cs="宋体" w:eastAsia="宋体"/>
                <w:sz w:val="24"/>
              </w:rPr>
              <w:t>5度</w:t>
            </w:r>
            <w:r>
              <w:rPr>
                <w:rFonts w:ascii="宋体" w:hAnsi="宋体" w:cs="宋体" w:eastAsia="宋体"/>
                <w:sz w:val="24"/>
              </w:rPr>
              <w:t>；</w:t>
            </w:r>
          </w:p>
          <w:p>
            <w:pPr>
              <w:pStyle w:val="null3"/>
              <w:jc w:val="both"/>
            </w:pPr>
            <w:r>
              <w:rPr>
                <w:rFonts w:ascii="宋体" w:hAnsi="宋体" w:cs="宋体" w:eastAsia="宋体"/>
                <w:sz w:val="24"/>
              </w:rPr>
              <w:t>7、可存储多种自定义工作模式，有为血库试验可选模式，绝对离心力与相对离心力转换功能</w:t>
            </w:r>
            <w:r>
              <w:rPr>
                <w:rFonts w:ascii="宋体" w:hAnsi="宋体" w:cs="宋体" w:eastAsia="宋体"/>
                <w:sz w:val="24"/>
              </w:rPr>
              <w:t>；</w:t>
            </w:r>
          </w:p>
          <w:p>
            <w:pPr>
              <w:pStyle w:val="null3"/>
              <w:jc w:val="both"/>
            </w:pPr>
            <w:r>
              <w:rPr>
                <w:rFonts w:ascii="宋体" w:hAnsi="宋体" w:cs="宋体" w:eastAsia="宋体"/>
                <w:sz w:val="24"/>
              </w:rPr>
              <w:t>8</w:t>
            </w:r>
            <w:r>
              <w:rPr>
                <w:rFonts w:ascii="宋体" w:hAnsi="宋体" w:cs="宋体" w:eastAsia="宋体"/>
                <w:sz w:val="24"/>
              </w:rPr>
              <w:t>、</w:t>
            </w:r>
            <w:r>
              <w:rPr>
                <w:rFonts w:ascii="宋体" w:hAnsi="宋体" w:cs="宋体" w:eastAsia="宋体"/>
                <w:sz w:val="24"/>
              </w:rPr>
              <w:t>技术参数：</w:t>
            </w:r>
          </w:p>
          <w:p>
            <w:pPr>
              <w:pStyle w:val="null3"/>
              <w:jc w:val="both"/>
            </w:pPr>
            <w:r>
              <w:rPr>
                <w:rFonts w:ascii="宋体" w:hAnsi="宋体" w:cs="宋体" w:eastAsia="宋体"/>
                <w:sz w:val="24"/>
              </w:rPr>
              <w:t>8.1、最大</w:t>
            </w:r>
            <w:r>
              <w:rPr>
                <w:rFonts w:ascii="宋体" w:hAnsi="宋体" w:cs="宋体" w:eastAsia="宋体"/>
                <w:sz w:val="24"/>
              </w:rPr>
              <w:t>离心力</w:t>
            </w:r>
            <w:r>
              <w:rPr>
                <w:rFonts w:ascii="宋体" w:hAnsi="宋体" w:cs="宋体" w:eastAsia="宋体"/>
                <w:sz w:val="24"/>
              </w:rPr>
              <w:t>≥</w:t>
            </w:r>
            <w:r>
              <w:rPr>
                <w:rFonts w:ascii="宋体" w:hAnsi="宋体" w:cs="宋体" w:eastAsia="宋体"/>
                <w:sz w:val="24"/>
              </w:rPr>
              <w:t>17</w:t>
            </w:r>
            <w:r>
              <w:rPr>
                <w:rFonts w:ascii="宋体" w:hAnsi="宋体" w:cs="宋体" w:eastAsia="宋体"/>
                <w:sz w:val="24"/>
              </w:rPr>
              <w:t>5</w:t>
            </w:r>
            <w:r>
              <w:rPr>
                <w:rFonts w:ascii="宋体" w:hAnsi="宋体" w:cs="宋体" w:eastAsia="宋体"/>
                <w:sz w:val="24"/>
              </w:rPr>
              <w:t>0</w:t>
            </w:r>
            <w:r>
              <w:rPr>
                <w:rFonts w:ascii="宋体" w:hAnsi="宋体" w:cs="宋体" w:eastAsia="宋体"/>
                <w:sz w:val="24"/>
              </w:rPr>
              <w:t>x</w:t>
            </w:r>
            <w:r>
              <w:rPr>
                <w:rFonts w:ascii="宋体" w:hAnsi="宋体" w:cs="宋体" w:eastAsia="宋体"/>
                <w:sz w:val="24"/>
              </w:rPr>
              <w:t>g</w:t>
            </w:r>
            <w:r>
              <w:rPr>
                <w:rFonts w:ascii="宋体" w:hAnsi="宋体" w:cs="宋体" w:eastAsia="宋体"/>
                <w:sz w:val="24"/>
              </w:rPr>
              <w:t>；</w:t>
            </w:r>
          </w:p>
          <w:p>
            <w:pPr>
              <w:pStyle w:val="null3"/>
              <w:jc w:val="both"/>
            </w:pPr>
            <w:r>
              <w:rPr>
                <w:rFonts w:ascii="宋体" w:hAnsi="宋体" w:cs="宋体" w:eastAsia="宋体"/>
                <w:sz w:val="24"/>
              </w:rPr>
              <w:t>8.2、转速≥</w:t>
            </w:r>
            <w:r>
              <w:rPr>
                <w:rFonts w:ascii="宋体" w:hAnsi="宋体" w:cs="宋体" w:eastAsia="宋体"/>
                <w:sz w:val="24"/>
              </w:rPr>
              <w:t>4000rpm；</w:t>
            </w:r>
          </w:p>
          <w:p>
            <w:pPr>
              <w:pStyle w:val="null3"/>
              <w:jc w:val="both"/>
            </w:pPr>
            <w:r>
              <w:rPr>
                <w:rFonts w:ascii="宋体" w:hAnsi="宋体" w:cs="宋体" w:eastAsia="宋体"/>
                <w:sz w:val="24"/>
              </w:rPr>
              <w:t>8.3、</w:t>
            </w:r>
            <w:r>
              <w:rPr>
                <w:rFonts w:ascii="宋体" w:hAnsi="宋体" w:cs="宋体" w:eastAsia="宋体"/>
                <w:sz w:val="24"/>
              </w:rPr>
              <w:t>转子容量：</w:t>
            </w:r>
            <w:r>
              <w:rPr>
                <w:rFonts w:ascii="宋体" w:hAnsi="宋体" w:cs="宋体" w:eastAsia="宋体"/>
                <w:sz w:val="24"/>
              </w:rPr>
              <w:t>10ml/15ml × 12支；</w:t>
            </w:r>
          </w:p>
          <w:p>
            <w:pPr>
              <w:pStyle w:val="null3"/>
              <w:jc w:val="both"/>
            </w:pPr>
            <w:r>
              <w:rPr>
                <w:rFonts w:ascii="宋体" w:hAnsi="宋体" w:cs="宋体" w:eastAsia="宋体"/>
                <w:sz w:val="24"/>
              </w:rPr>
              <w:t>8.4、</w:t>
            </w:r>
            <w:r>
              <w:rPr>
                <w:rFonts w:ascii="宋体" w:hAnsi="宋体" w:cs="宋体" w:eastAsia="宋体"/>
                <w:sz w:val="24"/>
              </w:rPr>
              <w:t>转速精度</w:t>
            </w:r>
            <w:r>
              <w:rPr>
                <w:rFonts w:ascii="宋体" w:hAnsi="宋体" w:cs="宋体" w:eastAsia="宋体"/>
                <w:sz w:val="24"/>
              </w:rPr>
              <w:t>: ±20r/min；</w:t>
            </w:r>
          </w:p>
          <w:p>
            <w:pPr>
              <w:pStyle w:val="null3"/>
              <w:jc w:val="both"/>
            </w:pPr>
            <w:r>
              <w:rPr>
                <w:rFonts w:ascii="宋体" w:hAnsi="宋体" w:cs="宋体" w:eastAsia="宋体"/>
                <w:sz w:val="24"/>
              </w:rPr>
              <w:t>8.5、</w:t>
            </w:r>
            <w:r>
              <w:rPr>
                <w:rFonts w:ascii="宋体" w:hAnsi="宋体" w:cs="宋体" w:eastAsia="宋体"/>
                <w:sz w:val="24"/>
              </w:rPr>
              <w:t>整机噪声</w:t>
            </w:r>
            <w:r>
              <w:rPr>
                <w:rFonts w:ascii="宋体" w:hAnsi="宋体" w:cs="宋体" w:eastAsia="宋体"/>
                <w:sz w:val="24"/>
              </w:rPr>
              <w:t>≤60dB</w:t>
            </w:r>
            <w:r>
              <w:rPr>
                <w:rFonts w:ascii="宋体" w:hAnsi="宋体" w:cs="宋体" w:eastAsia="宋体"/>
                <w:sz w:val="24"/>
              </w:rPr>
              <w:t>（</w:t>
            </w:r>
            <w:r>
              <w:rPr>
                <w:rFonts w:ascii="宋体" w:hAnsi="宋体" w:cs="宋体" w:eastAsia="宋体"/>
                <w:sz w:val="24"/>
              </w:rPr>
              <w:t>A</w:t>
            </w:r>
            <w:r>
              <w:rPr>
                <w:rFonts w:ascii="宋体" w:hAnsi="宋体" w:cs="宋体" w:eastAsia="宋体"/>
                <w:sz w:val="24"/>
              </w:rPr>
              <w:t>）。</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标的名称：图像引导后装调强定位传输系统（平移定位床）等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宋体" w:hAnsi="宋体" w:cs="宋体" w:eastAsia="宋体"/>
                <w:sz w:val="28"/>
                <w:b/>
              </w:rPr>
              <w:t>采购清单</w:t>
            </w:r>
          </w:p>
          <w:tbl>
            <w:tblPr>
              <w:tblBorders>
                <w:top w:val="none" w:color="000000" w:sz="4"/>
                <w:left w:val="none" w:color="000000" w:sz="4"/>
                <w:bottom w:val="none" w:color="000000" w:sz="4"/>
                <w:right w:val="none" w:color="000000" w:sz="4"/>
                <w:insideH w:val="none"/>
                <w:insideV w:val="none"/>
              </w:tblBorders>
            </w:tblPr>
            <w:tblGrid>
              <w:gridCol w:w="340"/>
              <w:gridCol w:w="701"/>
              <w:gridCol w:w="305"/>
              <w:gridCol w:w="342"/>
              <w:gridCol w:w="442"/>
              <w:gridCol w:w="421"/>
            </w:tblGrid>
            <w:tr>
              <w:tc>
                <w:tcPr>
                  <w:tcW w:type="dxa" w:w="34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70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项目名称</w:t>
                  </w:r>
                </w:p>
              </w:tc>
              <w:tc>
                <w:tcPr>
                  <w:tcW w:type="dxa" w:w="30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数量（台）</w:t>
                  </w:r>
                </w:p>
              </w:tc>
              <w:tc>
                <w:tcPr>
                  <w:tcW w:type="dxa" w:w="3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单价</w:t>
                  </w:r>
                </w:p>
              </w:tc>
              <w:tc>
                <w:tcPr>
                  <w:tcW w:type="dxa" w:w="4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预算金额（万元）</w:t>
                  </w:r>
                </w:p>
              </w:tc>
              <w:tc>
                <w:tcPr>
                  <w:tcW w:type="dxa" w:w="42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限价</w:t>
                  </w:r>
                </w:p>
                <w:p>
                  <w:pPr>
                    <w:pStyle w:val="null3"/>
                    <w:jc w:val="center"/>
                  </w:pPr>
                  <w:r>
                    <w:rPr>
                      <w:rFonts w:ascii="宋体" w:hAnsi="宋体" w:cs="宋体" w:eastAsia="宋体"/>
                      <w:sz w:val="24"/>
                      <w:b/>
                      <w:color w:val="000000"/>
                    </w:rPr>
                    <w:t>（万元）</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标段三</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图像引导后装调强定位传输系统（平移定位床）</w:t>
                  </w:r>
                </w:p>
              </w:tc>
              <w:tc>
                <w:tcPr>
                  <w:tcW w:type="dxa" w:w="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3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19</w:t>
                  </w: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19</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18</w:t>
                  </w:r>
                </w:p>
              </w:tc>
            </w:tr>
            <w:tr>
              <w:tc>
                <w:tcPr>
                  <w:tcW w:type="dxa" w:w="34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合计</w:t>
                  </w:r>
                </w:p>
              </w:tc>
              <w:tc>
                <w:tcPr>
                  <w:tcW w:type="dxa" w:w="70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3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1</w:t>
                  </w:r>
                </w:p>
              </w:tc>
              <w:tc>
                <w:tcPr>
                  <w:tcW w:type="dxa" w:w="3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19</w:t>
                  </w:r>
                </w:p>
              </w:tc>
              <w:tc>
                <w:tcPr>
                  <w:tcW w:type="dxa" w:w="42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18</w:t>
                  </w:r>
                </w:p>
              </w:tc>
            </w:tr>
          </w:tbl>
          <w:p/>
        </w:tc>
      </w:tr>
      <w:tr>
        <w:tc>
          <w:tcPr>
            <w:tcW w:type="dxa" w:w="2769"/>
          </w:tcPr>
          <w:p/>
        </w:tc>
        <w:tc>
          <w:tcPr>
            <w:tcW w:type="dxa" w:w="2769"/>
          </w:tcPr>
          <w:p>
            <w:pPr>
              <w:pStyle w:val="null3"/>
            </w:pPr>
            <w:r>
              <w:rPr/>
              <w:t>2</w:t>
            </w:r>
          </w:p>
        </w:tc>
        <w:tc>
          <w:tcPr>
            <w:tcW w:type="dxa" w:w="2769"/>
          </w:tcPr>
          <w:p>
            <w:pPr>
              <w:pStyle w:val="null3"/>
              <w:jc w:val="center"/>
            </w:pPr>
            <w:r>
              <w:rPr>
                <w:rFonts w:ascii="宋体" w:hAnsi="宋体" w:cs="宋体" w:eastAsia="宋体"/>
                <w:sz w:val="36"/>
                <w:b/>
              </w:rPr>
              <w:t>图像引导后装调强定位传输系统（平移定位床）</w:t>
            </w:r>
          </w:p>
          <w:p>
            <w:pPr>
              <w:pStyle w:val="null3"/>
              <w:jc w:val="both"/>
            </w:pPr>
            <w:r>
              <w:rPr>
                <w:rFonts w:ascii="宋体" w:hAnsi="宋体" w:cs="宋体" w:eastAsia="宋体"/>
                <w:sz w:val="24"/>
              </w:rPr>
              <w:t>1</w:t>
            </w:r>
            <w:r>
              <w:rPr>
                <w:rFonts w:ascii="宋体" w:hAnsi="宋体" w:cs="宋体" w:eastAsia="宋体"/>
                <w:sz w:val="24"/>
              </w:rPr>
              <w:t>、</w:t>
            </w:r>
            <w:r>
              <w:rPr>
                <w:rFonts w:ascii="宋体" w:hAnsi="宋体" w:cs="宋体" w:eastAsia="宋体"/>
                <w:sz w:val="24"/>
              </w:rPr>
              <w:t>基本要求</w:t>
            </w:r>
          </w:p>
          <w:p>
            <w:pPr>
              <w:pStyle w:val="null3"/>
              <w:jc w:val="both"/>
            </w:pPr>
            <w:r>
              <w:rPr>
                <w:rFonts w:ascii="宋体" w:hAnsi="宋体" w:cs="宋体" w:eastAsia="宋体"/>
                <w:sz w:val="24"/>
              </w:rPr>
              <w:t>1.1</w:t>
            </w:r>
            <w:r>
              <w:rPr>
                <w:rFonts w:ascii="宋体" w:hAnsi="宋体" w:cs="宋体" w:eastAsia="宋体"/>
                <w:sz w:val="24"/>
              </w:rPr>
              <w:t>、</w:t>
            </w:r>
            <w:r>
              <w:rPr>
                <w:rFonts w:ascii="宋体" w:hAnsi="宋体" w:cs="宋体" w:eastAsia="宋体"/>
                <w:sz w:val="24"/>
              </w:rPr>
              <w:t>实现图像引导下的二维、三维精确后装内照射治疗</w:t>
            </w:r>
          </w:p>
          <w:p>
            <w:pPr>
              <w:pStyle w:val="null3"/>
              <w:jc w:val="both"/>
            </w:pPr>
            <w:r>
              <w:rPr>
                <w:rFonts w:ascii="宋体" w:hAnsi="宋体" w:cs="宋体" w:eastAsia="宋体"/>
                <w:sz w:val="24"/>
              </w:rPr>
              <w:t>1.2</w:t>
            </w:r>
            <w:r>
              <w:rPr>
                <w:rFonts w:ascii="宋体" w:hAnsi="宋体" w:cs="宋体" w:eastAsia="宋体"/>
                <w:sz w:val="24"/>
              </w:rPr>
              <w:t>、</w:t>
            </w:r>
            <w:r>
              <w:rPr>
                <w:rFonts w:ascii="宋体" w:hAnsi="宋体" w:cs="宋体" w:eastAsia="宋体"/>
                <w:sz w:val="24"/>
              </w:rPr>
              <w:t>实现同一体位下的</w:t>
            </w:r>
            <w:r>
              <w:rPr>
                <w:rFonts w:ascii="宋体" w:hAnsi="宋体" w:cs="宋体" w:eastAsia="宋体"/>
                <w:sz w:val="24"/>
              </w:rPr>
              <w:t>3DCRT和IMRT外照射治疗</w:t>
            </w:r>
          </w:p>
          <w:p>
            <w:pPr>
              <w:pStyle w:val="null3"/>
              <w:jc w:val="both"/>
            </w:pPr>
            <w:r>
              <w:rPr>
                <w:rFonts w:ascii="宋体" w:hAnsi="宋体" w:cs="宋体" w:eastAsia="宋体"/>
                <w:sz w:val="24"/>
              </w:rPr>
              <w:t>1.3</w:t>
            </w:r>
            <w:r>
              <w:rPr>
                <w:rFonts w:ascii="宋体" w:hAnsi="宋体" w:cs="宋体" w:eastAsia="宋体"/>
                <w:sz w:val="24"/>
              </w:rPr>
              <w:t>、</w:t>
            </w:r>
            <w:r>
              <w:rPr>
                <w:rFonts w:ascii="宋体" w:hAnsi="宋体" w:cs="宋体" w:eastAsia="宋体"/>
                <w:sz w:val="24"/>
              </w:rPr>
              <w:t>系统构成</w:t>
            </w:r>
            <w:r>
              <w:rPr>
                <w:rFonts w:ascii="宋体" w:hAnsi="宋体" w:cs="宋体" w:eastAsia="宋体"/>
                <w:sz w:val="24"/>
              </w:rPr>
              <w:t>：</w:t>
            </w:r>
            <w:r>
              <w:rPr>
                <w:rFonts w:ascii="宋体" w:hAnsi="宋体" w:cs="宋体" w:eastAsia="宋体"/>
                <w:sz w:val="24"/>
              </w:rPr>
              <w:t>碳纤维后装机治疗床板、碳纤维治疗床转运台车和碳纤维后装治疗床适配器。</w:t>
            </w:r>
          </w:p>
          <w:p>
            <w:pPr>
              <w:pStyle w:val="null3"/>
              <w:jc w:val="both"/>
            </w:pPr>
            <w:r>
              <w:rPr>
                <w:rFonts w:ascii="宋体" w:hAnsi="宋体" w:cs="宋体" w:eastAsia="宋体"/>
                <w:sz w:val="24"/>
              </w:rPr>
              <w:t>1.4</w:t>
            </w:r>
            <w:r>
              <w:rPr>
                <w:rFonts w:ascii="宋体" w:hAnsi="宋体" w:cs="宋体" w:eastAsia="宋体"/>
                <w:sz w:val="24"/>
              </w:rPr>
              <w:t>、</w:t>
            </w:r>
            <w:r>
              <w:rPr>
                <w:rFonts w:ascii="宋体" w:hAnsi="宋体" w:cs="宋体" w:eastAsia="宋体"/>
                <w:sz w:val="24"/>
              </w:rPr>
              <w:t>病人固定</w:t>
            </w:r>
            <w:r>
              <w:rPr>
                <w:rFonts w:ascii="宋体" w:hAnsi="宋体" w:cs="宋体" w:eastAsia="宋体"/>
                <w:sz w:val="24"/>
              </w:rPr>
              <w:t>：</w:t>
            </w:r>
            <w:r>
              <w:rPr>
                <w:rFonts w:ascii="宋体" w:hAnsi="宋体" w:cs="宋体" w:eastAsia="宋体"/>
                <w:sz w:val="24"/>
              </w:rPr>
              <w:t>可采用真空垫和定位膜固定，确保病人定位、复位的一致性</w:t>
            </w:r>
          </w:p>
          <w:p>
            <w:pPr>
              <w:pStyle w:val="null3"/>
              <w:jc w:val="both"/>
            </w:pPr>
            <w:r>
              <w:rPr>
                <w:rFonts w:ascii="宋体" w:hAnsi="宋体" w:cs="宋体" w:eastAsia="宋体"/>
                <w:sz w:val="24"/>
              </w:rPr>
              <w:t>1.5</w:t>
            </w:r>
            <w:r>
              <w:rPr>
                <w:rFonts w:ascii="宋体" w:hAnsi="宋体" w:cs="宋体" w:eastAsia="宋体"/>
                <w:sz w:val="24"/>
              </w:rPr>
              <w:t>、</w:t>
            </w:r>
            <w:r>
              <w:rPr>
                <w:rFonts w:ascii="宋体" w:hAnsi="宋体" w:cs="宋体" w:eastAsia="宋体"/>
                <w:sz w:val="24"/>
              </w:rPr>
              <w:t>施源器固定架</w:t>
            </w:r>
            <w:r>
              <w:rPr>
                <w:rFonts w:ascii="宋体" w:hAnsi="宋体" w:cs="宋体" w:eastAsia="宋体"/>
                <w:sz w:val="24"/>
              </w:rPr>
              <w:t>：</w:t>
            </w:r>
            <w:r>
              <w:rPr>
                <w:rFonts w:ascii="宋体" w:hAnsi="宋体" w:cs="宋体" w:eastAsia="宋体"/>
                <w:sz w:val="24"/>
              </w:rPr>
              <w:t>针对</w:t>
            </w:r>
            <w:r>
              <w:rPr>
                <w:rFonts w:ascii="宋体" w:hAnsi="宋体" w:cs="宋体" w:eastAsia="宋体"/>
                <w:sz w:val="24"/>
              </w:rPr>
              <w:t>CT和MRI定位，分别有金属施源器固定架和尼龙施源器固定架</w:t>
            </w:r>
          </w:p>
          <w:p>
            <w:pPr>
              <w:pStyle w:val="null3"/>
              <w:jc w:val="both"/>
            </w:pPr>
            <w:r>
              <w:rPr>
                <w:rFonts w:ascii="宋体" w:hAnsi="宋体" w:cs="宋体" w:eastAsia="宋体"/>
                <w:sz w:val="24"/>
              </w:rPr>
              <w:t>1.6</w:t>
            </w:r>
            <w:r>
              <w:rPr>
                <w:rFonts w:ascii="宋体" w:hAnsi="宋体" w:cs="宋体" w:eastAsia="宋体"/>
                <w:sz w:val="24"/>
              </w:rPr>
              <w:t>、</w:t>
            </w:r>
            <w:r>
              <w:rPr>
                <w:rFonts w:ascii="宋体" w:hAnsi="宋体" w:cs="宋体" w:eastAsia="宋体"/>
                <w:sz w:val="24"/>
              </w:rPr>
              <w:t>治疗床操作方式</w:t>
            </w:r>
            <w:r>
              <w:rPr>
                <w:rFonts w:ascii="宋体" w:hAnsi="宋体" w:cs="宋体" w:eastAsia="宋体"/>
                <w:sz w:val="24"/>
              </w:rPr>
              <w:t>：</w:t>
            </w:r>
            <w:r>
              <w:rPr>
                <w:rFonts w:ascii="宋体" w:hAnsi="宋体" w:cs="宋体" w:eastAsia="宋体"/>
                <w:sz w:val="24"/>
              </w:rPr>
              <w:t>电动</w:t>
            </w:r>
          </w:p>
          <w:p>
            <w:pPr>
              <w:pStyle w:val="null3"/>
              <w:jc w:val="both"/>
            </w:pPr>
            <w:r>
              <w:rPr>
                <w:rFonts w:ascii="宋体" w:hAnsi="宋体" w:cs="宋体" w:eastAsia="宋体"/>
                <w:sz w:val="24"/>
              </w:rPr>
              <w:t>1.7</w:t>
            </w:r>
            <w:r>
              <w:rPr>
                <w:rFonts w:ascii="宋体" w:hAnsi="宋体" w:cs="宋体" w:eastAsia="宋体"/>
                <w:sz w:val="24"/>
              </w:rPr>
              <w:t>、</w:t>
            </w:r>
            <w:r>
              <w:rPr>
                <w:rFonts w:ascii="宋体" w:hAnsi="宋体" w:cs="宋体" w:eastAsia="宋体"/>
                <w:sz w:val="24"/>
              </w:rPr>
              <w:t>联接方式</w:t>
            </w:r>
            <w:r>
              <w:rPr>
                <w:rFonts w:ascii="宋体" w:hAnsi="宋体" w:cs="宋体" w:eastAsia="宋体"/>
                <w:sz w:val="24"/>
              </w:rPr>
              <w:t>：</w:t>
            </w:r>
            <w:r>
              <w:rPr>
                <w:rFonts w:ascii="宋体" w:hAnsi="宋体" w:cs="宋体" w:eastAsia="宋体"/>
                <w:sz w:val="24"/>
              </w:rPr>
              <w:t>治疗床与加速器、</w:t>
            </w:r>
            <w:r>
              <w:rPr>
                <w:rFonts w:ascii="宋体" w:hAnsi="宋体" w:cs="宋体" w:eastAsia="宋体"/>
                <w:sz w:val="24"/>
              </w:rPr>
              <w:t>CT、MRI和模拟机配备适配器，实现无缝联接</w:t>
            </w:r>
          </w:p>
          <w:p>
            <w:pPr>
              <w:pStyle w:val="null3"/>
              <w:jc w:val="both"/>
            </w:pPr>
            <w:r>
              <w:rPr>
                <w:rFonts w:ascii="宋体" w:hAnsi="宋体" w:cs="宋体" w:eastAsia="宋体"/>
                <w:sz w:val="24"/>
              </w:rPr>
              <w:t>2</w:t>
            </w:r>
            <w:r>
              <w:rPr>
                <w:rFonts w:ascii="宋体" w:hAnsi="宋体" w:cs="宋体" w:eastAsia="宋体"/>
                <w:sz w:val="24"/>
              </w:rPr>
              <w:t>、</w:t>
            </w:r>
            <w:r>
              <w:rPr>
                <w:rFonts w:ascii="宋体" w:hAnsi="宋体" w:cs="宋体" w:eastAsia="宋体"/>
                <w:sz w:val="24"/>
              </w:rPr>
              <w:t>性能参数</w:t>
            </w:r>
          </w:p>
          <w:p>
            <w:pPr>
              <w:pStyle w:val="null3"/>
              <w:jc w:val="both"/>
            </w:pPr>
            <w:r>
              <w:rPr>
                <w:rFonts w:ascii="宋体" w:hAnsi="宋体" w:cs="宋体" w:eastAsia="宋体"/>
                <w:sz w:val="24"/>
              </w:rPr>
              <w:t>2.1</w:t>
            </w:r>
            <w:r>
              <w:rPr>
                <w:rFonts w:ascii="宋体" w:hAnsi="宋体" w:cs="宋体" w:eastAsia="宋体"/>
                <w:sz w:val="24"/>
              </w:rPr>
              <w:t>、</w:t>
            </w:r>
            <w:r>
              <w:rPr>
                <w:rFonts w:ascii="宋体" w:hAnsi="宋体" w:cs="宋体" w:eastAsia="宋体"/>
                <w:sz w:val="24"/>
              </w:rPr>
              <w:t>治疗床板尺寸</w:t>
            </w:r>
            <w:r>
              <w:rPr>
                <w:rFonts w:ascii="宋体" w:hAnsi="宋体" w:cs="宋体" w:eastAsia="宋体"/>
                <w:sz w:val="24"/>
              </w:rPr>
              <w:t>：</w:t>
            </w:r>
            <w:r>
              <w:rPr>
                <w:rFonts w:ascii="宋体" w:hAnsi="宋体" w:cs="宋体" w:eastAsia="宋体"/>
                <w:sz w:val="24"/>
              </w:rPr>
              <w:t>1100*480*20mm</w:t>
            </w:r>
            <w:r>
              <w:rPr>
                <w:rFonts w:ascii="宋体" w:hAnsi="宋体" w:cs="宋体" w:eastAsia="宋体"/>
                <w:sz w:val="24"/>
              </w:rPr>
              <w:t>±</w:t>
            </w:r>
            <w:r>
              <w:rPr>
                <w:rFonts w:ascii="宋体" w:hAnsi="宋体" w:cs="宋体" w:eastAsia="宋体"/>
                <w:sz w:val="24"/>
              </w:rPr>
              <w:t>5</w:t>
            </w:r>
            <w:r>
              <w:rPr>
                <w:rFonts w:ascii="宋体" w:hAnsi="宋体" w:cs="宋体" w:eastAsia="宋体"/>
                <w:sz w:val="24"/>
              </w:rPr>
              <w:t>mm</w:t>
            </w:r>
          </w:p>
          <w:p>
            <w:pPr>
              <w:pStyle w:val="null3"/>
              <w:jc w:val="both"/>
            </w:pPr>
            <w:r>
              <w:rPr>
                <w:rFonts w:ascii="宋体" w:hAnsi="宋体" w:cs="宋体" w:eastAsia="宋体"/>
                <w:sz w:val="24"/>
              </w:rPr>
              <w:t>2.2</w:t>
            </w:r>
            <w:r>
              <w:rPr>
                <w:rFonts w:ascii="宋体" w:hAnsi="宋体" w:cs="宋体" w:eastAsia="宋体"/>
                <w:sz w:val="24"/>
              </w:rPr>
              <w:t>、</w:t>
            </w:r>
            <w:r>
              <w:rPr>
                <w:rFonts w:ascii="宋体" w:hAnsi="宋体" w:cs="宋体" w:eastAsia="宋体"/>
                <w:sz w:val="24"/>
              </w:rPr>
              <w:t>X</w:t>
            </w:r>
            <w:r>
              <w:rPr>
                <w:rFonts w:ascii="宋体" w:hAnsi="宋体" w:cs="宋体" w:eastAsia="宋体"/>
                <w:sz w:val="24"/>
              </w:rPr>
              <w:t>射线透射率</w:t>
            </w:r>
            <w:r>
              <w:rPr>
                <w:rFonts w:ascii="宋体" w:hAnsi="宋体" w:cs="宋体" w:eastAsia="宋体"/>
                <w:sz w:val="24"/>
              </w:rPr>
              <w:t>：</w:t>
            </w:r>
            <w:r>
              <w:rPr>
                <w:rFonts w:ascii="宋体" w:hAnsi="宋体" w:cs="宋体" w:eastAsia="宋体"/>
                <w:sz w:val="24"/>
              </w:rPr>
              <w:t>≥98%</w:t>
            </w:r>
          </w:p>
          <w:p>
            <w:pPr>
              <w:pStyle w:val="null3"/>
              <w:jc w:val="both"/>
            </w:pPr>
            <w:r>
              <w:rPr>
                <w:rFonts w:ascii="宋体" w:hAnsi="宋体" w:cs="宋体" w:eastAsia="宋体"/>
                <w:sz w:val="24"/>
              </w:rPr>
              <w:t>2.3</w:t>
            </w:r>
            <w:r>
              <w:rPr>
                <w:rFonts w:ascii="宋体" w:hAnsi="宋体" w:cs="宋体" w:eastAsia="宋体"/>
                <w:sz w:val="24"/>
              </w:rPr>
              <w:t>、</w:t>
            </w:r>
            <w:r>
              <w:rPr>
                <w:rFonts w:ascii="宋体" w:hAnsi="宋体" w:cs="宋体" w:eastAsia="宋体"/>
                <w:sz w:val="24"/>
              </w:rPr>
              <w:t>床板压力形变</w:t>
            </w:r>
            <w:r>
              <w:rPr>
                <w:rFonts w:ascii="宋体" w:hAnsi="宋体" w:cs="宋体" w:eastAsia="宋体"/>
                <w:sz w:val="24"/>
              </w:rPr>
              <w:t>：</w:t>
            </w:r>
            <w:r>
              <w:rPr>
                <w:rFonts w:ascii="宋体" w:hAnsi="宋体" w:cs="宋体" w:eastAsia="宋体"/>
                <w:sz w:val="24"/>
              </w:rPr>
              <w:t>≤2mm（均载135Kg）</w:t>
            </w:r>
          </w:p>
          <w:p>
            <w:pPr>
              <w:pStyle w:val="null3"/>
              <w:jc w:val="both"/>
            </w:pPr>
            <w:r>
              <w:rPr>
                <w:rFonts w:ascii="宋体" w:hAnsi="宋体" w:cs="宋体" w:eastAsia="宋体"/>
                <w:sz w:val="24"/>
              </w:rPr>
              <w:t>2.5</w:t>
            </w:r>
            <w:r>
              <w:rPr>
                <w:rFonts w:ascii="宋体" w:hAnsi="宋体" w:cs="宋体" w:eastAsia="宋体"/>
                <w:sz w:val="24"/>
              </w:rPr>
              <w:t>、</w:t>
            </w:r>
            <w:r>
              <w:rPr>
                <w:rFonts w:ascii="宋体" w:hAnsi="宋体" w:cs="宋体" w:eastAsia="宋体"/>
                <w:sz w:val="24"/>
              </w:rPr>
              <w:t>治疗床板最大承载</w:t>
            </w:r>
            <w:r>
              <w:rPr>
                <w:rFonts w:ascii="宋体" w:hAnsi="宋体" w:cs="宋体" w:eastAsia="宋体"/>
                <w:sz w:val="24"/>
              </w:rPr>
              <w:t>：</w:t>
            </w:r>
            <w:r>
              <w:rPr>
                <w:rFonts w:ascii="宋体" w:hAnsi="宋体" w:cs="宋体" w:eastAsia="宋体"/>
                <w:sz w:val="24"/>
              </w:rPr>
              <w:t>≥200Kg</w:t>
            </w:r>
          </w:p>
          <w:p>
            <w:pPr>
              <w:pStyle w:val="null3"/>
              <w:jc w:val="both"/>
            </w:pPr>
            <w:r>
              <w:rPr>
                <w:rFonts w:ascii="宋体" w:hAnsi="宋体" w:cs="宋体" w:eastAsia="宋体"/>
                <w:sz w:val="24"/>
              </w:rPr>
              <w:t>2.6</w:t>
            </w:r>
            <w:r>
              <w:rPr>
                <w:rFonts w:ascii="宋体" w:hAnsi="宋体" w:cs="宋体" w:eastAsia="宋体"/>
                <w:sz w:val="24"/>
              </w:rPr>
              <w:t>、</w:t>
            </w:r>
            <w:r>
              <w:rPr>
                <w:rFonts w:ascii="宋体" w:hAnsi="宋体" w:cs="宋体" w:eastAsia="宋体"/>
                <w:sz w:val="24"/>
              </w:rPr>
              <w:t>升降范围</w:t>
            </w:r>
            <w:r>
              <w:rPr>
                <w:rFonts w:ascii="宋体" w:hAnsi="宋体" w:cs="宋体" w:eastAsia="宋体"/>
                <w:sz w:val="24"/>
              </w:rPr>
              <w:t>：</w:t>
            </w:r>
            <w:r>
              <w:rPr>
                <w:rFonts w:ascii="宋体" w:hAnsi="宋体" w:cs="宋体" w:eastAsia="宋体"/>
                <w:sz w:val="24"/>
              </w:rPr>
              <w:t>≥300mm</w:t>
            </w:r>
          </w:p>
          <w:p>
            <w:pPr>
              <w:pStyle w:val="null3"/>
              <w:jc w:val="both"/>
            </w:pPr>
            <w:r>
              <w:rPr>
                <w:rFonts w:ascii="宋体" w:hAnsi="宋体" w:cs="宋体" w:eastAsia="宋体"/>
                <w:sz w:val="24"/>
              </w:rPr>
              <w:t>2.7</w:t>
            </w:r>
            <w:r>
              <w:rPr>
                <w:rFonts w:ascii="宋体" w:hAnsi="宋体" w:cs="宋体" w:eastAsia="宋体"/>
                <w:sz w:val="24"/>
              </w:rPr>
              <w:t>、</w:t>
            </w:r>
            <w:r>
              <w:rPr>
                <w:rFonts w:ascii="宋体" w:hAnsi="宋体" w:cs="宋体" w:eastAsia="宋体"/>
                <w:sz w:val="24"/>
              </w:rPr>
              <w:t>供电方式</w:t>
            </w:r>
            <w:r>
              <w:rPr>
                <w:rFonts w:ascii="宋体" w:hAnsi="宋体" w:cs="宋体" w:eastAsia="宋体"/>
                <w:sz w:val="24"/>
              </w:rPr>
              <w:t>：</w:t>
            </w:r>
            <w:r>
              <w:rPr>
                <w:rFonts w:ascii="宋体" w:hAnsi="宋体" w:cs="宋体" w:eastAsia="宋体"/>
                <w:sz w:val="24"/>
              </w:rPr>
              <w:t>蓄电池供电（可充电）</w:t>
            </w:r>
          </w:p>
          <w:p>
            <w:pPr>
              <w:pStyle w:val="null3"/>
              <w:jc w:val="both"/>
            </w:pPr>
            <w:r>
              <w:rPr>
                <w:rFonts w:ascii="宋体" w:hAnsi="宋体" w:cs="宋体" w:eastAsia="宋体"/>
                <w:sz w:val="24"/>
              </w:rPr>
              <w:t>2.8</w:t>
            </w:r>
            <w:r>
              <w:rPr>
                <w:rFonts w:ascii="宋体" w:hAnsi="宋体" w:cs="宋体" w:eastAsia="宋体"/>
                <w:sz w:val="24"/>
              </w:rPr>
              <w:t>、</w:t>
            </w:r>
            <w:r>
              <w:rPr>
                <w:rFonts w:ascii="宋体" w:hAnsi="宋体" w:cs="宋体" w:eastAsia="宋体"/>
                <w:sz w:val="24"/>
              </w:rPr>
              <w:t>床面适配器</w:t>
            </w:r>
            <w:r>
              <w:rPr>
                <w:rFonts w:ascii="宋体" w:hAnsi="宋体" w:cs="宋体" w:eastAsia="宋体"/>
                <w:sz w:val="24"/>
              </w:rPr>
              <w:t>：</w:t>
            </w:r>
            <w:r>
              <w:rPr>
                <w:rFonts w:ascii="宋体" w:hAnsi="宋体" w:cs="宋体" w:eastAsia="宋体"/>
                <w:sz w:val="24"/>
              </w:rPr>
              <w:t>根据不同设备床面尺寸定做</w:t>
            </w:r>
          </w:p>
          <w:p>
            <w:pPr>
              <w:pStyle w:val="null3"/>
              <w:jc w:val="both"/>
            </w:pPr>
            <w:r>
              <w:rPr>
                <w:rFonts w:ascii="宋体" w:hAnsi="宋体" w:cs="宋体" w:eastAsia="宋体"/>
                <w:sz w:val="24"/>
              </w:rPr>
              <w:t>3</w:t>
            </w:r>
            <w:r>
              <w:rPr>
                <w:rFonts w:ascii="宋体" w:hAnsi="宋体" w:cs="宋体" w:eastAsia="宋体"/>
                <w:sz w:val="24"/>
              </w:rPr>
              <w:t>、</w:t>
            </w:r>
            <w:r>
              <w:rPr>
                <w:rFonts w:ascii="宋体" w:hAnsi="宋体" w:cs="宋体" w:eastAsia="宋体"/>
                <w:sz w:val="24"/>
              </w:rPr>
              <w:t>临床应用</w:t>
            </w:r>
            <w:r>
              <w:rPr>
                <w:rFonts w:ascii="宋体" w:hAnsi="宋体" w:cs="宋体" w:eastAsia="宋体"/>
                <w:sz w:val="24"/>
              </w:rPr>
              <w:t>：</w:t>
            </w:r>
            <w:r>
              <w:rPr>
                <w:rFonts w:ascii="宋体" w:hAnsi="宋体" w:cs="宋体" w:eastAsia="宋体"/>
                <w:sz w:val="24"/>
              </w:rPr>
              <w:t>床面能与我院现有的</w:t>
            </w:r>
            <w:r>
              <w:rPr>
                <w:rFonts w:ascii="宋体" w:hAnsi="宋体" w:cs="宋体" w:eastAsia="宋体"/>
                <w:sz w:val="24"/>
              </w:rPr>
              <w:t>CT定位床板匹配使用</w:t>
            </w:r>
            <w:r>
              <w:rPr>
                <w:rFonts w:ascii="宋体" w:hAnsi="宋体" w:cs="宋体" w:eastAsia="宋体"/>
                <w:sz w:val="24"/>
              </w:rPr>
              <w:t>.</w:t>
            </w:r>
            <w:r>
              <w:rPr>
                <w:rFonts w:ascii="宋体" w:hAnsi="宋体" w:cs="宋体" w:eastAsia="宋体"/>
                <w:sz w:val="24"/>
              </w:rPr>
              <w:t>（</w:t>
            </w:r>
            <w:r>
              <w:rPr>
                <w:rFonts w:ascii="宋体" w:hAnsi="宋体" w:cs="宋体" w:eastAsia="宋体"/>
                <w:sz w:val="24"/>
              </w:rPr>
              <w:t>与飞利浦</w:t>
            </w:r>
            <w:r>
              <w:rPr>
                <w:rFonts w:ascii="宋体" w:hAnsi="宋体" w:cs="宋体" w:eastAsia="宋体"/>
                <w:sz w:val="24"/>
              </w:rPr>
              <w:t>Briliance CT BIG BORE ONCOLOGY的定位床接口尺寸匹配</w:t>
            </w:r>
            <w:r>
              <w:rPr>
                <w:rFonts w:ascii="宋体" w:hAnsi="宋体" w:cs="宋体" w:eastAsia="宋体"/>
                <w:sz w:val="24"/>
              </w:rPr>
              <w:t>）</w:t>
            </w:r>
          </w:p>
        </w:tc>
      </w:tr>
    </w:tbl>
    <w:p>
      <w:pPr>
        <w:pStyle w:val="null3"/>
      </w:pPr>
      <w:r>
        <w:rPr/>
        <w:t>采购包4：</w:t>
      </w:r>
    </w:p>
    <w:p>
      <w:pPr>
        <w:pStyle w:val="null3"/>
      </w:pPr>
      <w:r>
        <w:rPr/>
        <w:t>供应商报价不允许超过标的金额</w:t>
      </w:r>
    </w:p>
    <w:p>
      <w:pPr>
        <w:pStyle w:val="null3"/>
      </w:pPr>
      <w:r>
        <w:rPr/>
        <w:t>（招单价的）供应商报价不允许超过标的单价</w:t>
      </w:r>
    </w:p>
    <w:p>
      <w:pPr>
        <w:pStyle w:val="null3"/>
      </w:pPr>
      <w:r>
        <w:rPr/>
        <w:t>标的名称：妇科臭氧治疗冲洗仪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center"/>
            </w:pPr>
            <w:r>
              <w:rPr>
                <w:rFonts w:ascii="宋体" w:hAnsi="宋体" w:cs="宋体" w:eastAsia="宋体"/>
                <w:sz w:val="32"/>
                <w:b/>
              </w:rPr>
              <w:t>采购清单</w:t>
            </w:r>
          </w:p>
          <w:tbl>
            <w:tblPr>
              <w:tblBorders>
                <w:top w:val="none" w:color="000000" w:sz="4"/>
                <w:left w:val="none" w:color="000000" w:sz="4"/>
                <w:bottom w:val="none" w:color="000000" w:sz="4"/>
                <w:right w:val="none" w:color="000000" w:sz="4"/>
                <w:insideH w:val="none"/>
                <w:insideV w:val="none"/>
              </w:tblBorders>
            </w:tblPr>
            <w:tblGrid>
              <w:gridCol w:w="427"/>
              <w:gridCol w:w="703"/>
              <w:gridCol w:w="306"/>
              <w:gridCol w:w="252"/>
              <w:gridCol w:w="472"/>
              <w:gridCol w:w="392"/>
            </w:tblGrid>
            <w:tr>
              <w:tc>
                <w:tcPr>
                  <w:tcW w:type="dxa" w:w="42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序号</w:t>
                  </w:r>
                </w:p>
              </w:tc>
              <w:tc>
                <w:tcPr>
                  <w:tcW w:type="dxa" w:w="7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项目名称</w:t>
                  </w:r>
                </w:p>
              </w:tc>
              <w:tc>
                <w:tcPr>
                  <w:tcW w:type="dxa" w:w="3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数量（台）</w:t>
                  </w:r>
                </w:p>
              </w:tc>
              <w:tc>
                <w:tcPr>
                  <w:tcW w:type="dxa" w:w="25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单价</w:t>
                  </w:r>
                </w:p>
              </w:tc>
              <w:tc>
                <w:tcPr>
                  <w:tcW w:type="dxa" w:w="47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预算金额</w:t>
                  </w:r>
                </w:p>
                <w:p>
                  <w:pPr>
                    <w:pStyle w:val="null3"/>
                    <w:jc w:val="center"/>
                  </w:pPr>
                  <w:r>
                    <w:rPr>
                      <w:rFonts w:ascii="宋体" w:hAnsi="宋体" w:cs="宋体" w:eastAsia="宋体"/>
                      <w:sz w:val="24"/>
                      <w:b/>
                      <w:color w:val="000000"/>
                    </w:rPr>
                    <w:t>（万元）</w:t>
                  </w:r>
                </w:p>
              </w:tc>
              <w:tc>
                <w:tcPr>
                  <w:tcW w:type="dxa" w:w="3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限价</w:t>
                  </w:r>
                </w:p>
                <w:p>
                  <w:pPr>
                    <w:pStyle w:val="null3"/>
                    <w:jc w:val="center"/>
                  </w:pPr>
                  <w:r>
                    <w:rPr>
                      <w:rFonts w:ascii="宋体" w:hAnsi="宋体" w:cs="宋体" w:eastAsia="宋体"/>
                      <w:sz w:val="24"/>
                      <w:b/>
                      <w:color w:val="000000"/>
                    </w:rPr>
                    <w:t>（万元）</w:t>
                  </w:r>
                </w:p>
              </w:tc>
            </w:tr>
            <w:tr>
              <w:tc>
                <w:tcPr>
                  <w:tcW w:type="dxa" w:w="4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标段四</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宋体" w:hAnsi="宋体" w:cs="宋体" w:eastAsia="宋体"/>
                      <w:sz w:val="24"/>
                      <w:color w:val="000000"/>
                    </w:rPr>
                    <w:t>妇科臭氧治疗冲洗仪</w:t>
                  </w: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5</w:t>
                  </w: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20</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20</w:t>
                  </w:r>
                </w:p>
              </w:tc>
            </w:tr>
            <w:tr>
              <w:tc>
                <w:tcPr>
                  <w:tcW w:type="dxa" w:w="42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合计</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color w:val="000000"/>
                    </w:rPr>
                    <w:t>4</w:t>
                  </w:r>
                </w:p>
              </w:tc>
              <w:tc>
                <w:tcPr>
                  <w:tcW w:type="dxa" w:w="25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7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20</w:t>
                  </w:r>
                </w:p>
              </w:tc>
              <w:tc>
                <w:tcPr>
                  <w:tcW w:type="dxa" w:w="3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宋体" w:hAnsi="宋体" w:cs="宋体" w:eastAsia="宋体"/>
                      <w:sz w:val="24"/>
                      <w:b/>
                      <w:color w:val="000000"/>
                    </w:rPr>
                    <w:t>20</w:t>
                  </w:r>
                </w:p>
              </w:tc>
            </w:tr>
          </w:tbl>
          <w:p/>
        </w:tc>
      </w:tr>
      <w:tr>
        <w:tc>
          <w:tcPr>
            <w:tcW w:type="dxa" w:w="2769"/>
          </w:tcPr>
          <w:p/>
        </w:tc>
        <w:tc>
          <w:tcPr>
            <w:tcW w:type="dxa" w:w="2769"/>
          </w:tcPr>
          <w:p>
            <w:pPr>
              <w:pStyle w:val="null3"/>
            </w:pPr>
            <w:r>
              <w:rPr/>
              <w:t>2</w:t>
            </w:r>
          </w:p>
        </w:tc>
        <w:tc>
          <w:tcPr>
            <w:tcW w:type="dxa" w:w="2769"/>
          </w:tcPr>
          <w:p>
            <w:pPr>
              <w:pStyle w:val="null3"/>
              <w:jc w:val="center"/>
            </w:pPr>
            <w:r>
              <w:rPr>
                <w:rFonts w:ascii="宋体" w:hAnsi="宋体" w:cs="宋体" w:eastAsia="宋体"/>
                <w:sz w:val="32"/>
                <w:b/>
              </w:rPr>
              <w:t>妇科臭氧治疗冲洗仪技术参数</w:t>
            </w:r>
          </w:p>
          <w:p>
            <w:pPr>
              <w:pStyle w:val="null3"/>
              <w:jc w:val="both"/>
            </w:pPr>
            <w:r>
              <w:rPr>
                <w:rFonts w:ascii="宋体" w:hAnsi="宋体" w:cs="宋体" w:eastAsia="宋体"/>
                <w:sz w:val="24"/>
              </w:rPr>
              <w:t>1、</w:t>
            </w:r>
            <w:r>
              <w:rPr>
                <w:rFonts w:ascii="宋体" w:hAnsi="宋体" w:cs="宋体" w:eastAsia="宋体"/>
                <w:sz w:val="24"/>
              </w:rPr>
              <w:t>使用自来水，带过滤功能，可加热；</w:t>
            </w:r>
          </w:p>
          <w:p>
            <w:pPr>
              <w:pStyle w:val="null3"/>
              <w:jc w:val="both"/>
            </w:pPr>
            <w:r>
              <w:rPr>
                <w:rFonts w:ascii="宋体" w:hAnsi="宋体" w:cs="宋体" w:eastAsia="宋体"/>
                <w:sz w:val="24"/>
              </w:rPr>
              <w:t>2、</w:t>
            </w:r>
            <w:r>
              <w:rPr>
                <w:rFonts w:ascii="宋体" w:hAnsi="宋体" w:cs="宋体" w:eastAsia="宋体"/>
                <w:sz w:val="24"/>
              </w:rPr>
              <w:t>冲洗出水流量可调范围：（</w:t>
            </w:r>
            <w:r>
              <w:rPr>
                <w:rFonts w:ascii="宋体" w:hAnsi="宋体" w:cs="宋体" w:eastAsia="宋体"/>
                <w:sz w:val="24"/>
              </w:rPr>
              <w:t>0.5～1）L/min</w:t>
            </w:r>
            <w:r>
              <w:rPr>
                <w:rFonts w:ascii="宋体" w:hAnsi="宋体" w:cs="宋体" w:eastAsia="宋体"/>
                <w:sz w:val="24"/>
              </w:rPr>
              <w:t>；</w:t>
            </w:r>
          </w:p>
          <w:p>
            <w:pPr>
              <w:pStyle w:val="null3"/>
              <w:jc w:val="both"/>
            </w:pPr>
            <w:r>
              <w:rPr>
                <w:rFonts w:ascii="宋体" w:hAnsi="宋体" w:cs="宋体" w:eastAsia="宋体"/>
                <w:sz w:val="24"/>
              </w:rPr>
              <w:t>3、</w:t>
            </w:r>
            <w:r>
              <w:rPr>
                <w:rFonts w:ascii="宋体" w:hAnsi="宋体" w:cs="宋体" w:eastAsia="宋体"/>
                <w:sz w:val="24"/>
              </w:rPr>
              <w:t>冲洗出水压力可调范围：（</w:t>
            </w:r>
            <w:r>
              <w:rPr>
                <w:rFonts w:ascii="宋体" w:hAnsi="宋体" w:cs="宋体" w:eastAsia="宋体"/>
                <w:sz w:val="24"/>
              </w:rPr>
              <w:t>0~180）kPa</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臭氧产量：空气源时臭氧产量</w:t>
            </w:r>
            <w:r>
              <w:rPr>
                <w:rFonts w:ascii="宋体" w:hAnsi="宋体" w:cs="宋体" w:eastAsia="宋体"/>
                <w:sz w:val="24"/>
              </w:rPr>
              <w:t>≥</w:t>
            </w:r>
            <w:r>
              <w:rPr>
                <w:rFonts w:ascii="宋体" w:hAnsi="宋体" w:cs="宋体" w:eastAsia="宋体"/>
                <w:sz w:val="24"/>
              </w:rPr>
              <w:t>1000mg/h</w:t>
            </w:r>
            <w:r>
              <w:rPr>
                <w:rFonts w:ascii="宋体" w:hAnsi="宋体" w:cs="宋体" w:eastAsia="宋体"/>
                <w:sz w:val="24"/>
              </w:rPr>
              <w:t>；</w:t>
            </w:r>
          </w:p>
          <w:p>
            <w:pPr>
              <w:pStyle w:val="null3"/>
              <w:jc w:val="both"/>
            </w:pPr>
            <w:r>
              <w:rPr>
                <w:rFonts w:ascii="宋体" w:hAnsi="宋体" w:cs="宋体" w:eastAsia="宋体"/>
                <w:sz w:val="24"/>
              </w:rPr>
              <w:t>5、</w:t>
            </w:r>
            <w:r>
              <w:rPr>
                <w:rFonts w:ascii="宋体" w:hAnsi="宋体" w:cs="宋体" w:eastAsia="宋体"/>
                <w:sz w:val="24"/>
              </w:rPr>
              <w:t>治疗臭氧气体浓度：空气源时应</w:t>
            </w:r>
            <w:r>
              <w:rPr>
                <w:rFonts w:ascii="宋体" w:hAnsi="宋体" w:cs="宋体" w:eastAsia="宋体"/>
                <w:sz w:val="24"/>
              </w:rPr>
              <w:t>≥</w:t>
            </w:r>
            <w:r>
              <w:rPr>
                <w:rFonts w:ascii="宋体" w:hAnsi="宋体" w:cs="宋体" w:eastAsia="宋体"/>
                <w:sz w:val="24"/>
              </w:rPr>
              <w:t xml:space="preserve"> </w:t>
            </w:r>
            <w:r>
              <w:rPr>
                <w:rFonts w:ascii="宋体" w:hAnsi="宋体" w:cs="宋体" w:eastAsia="宋体"/>
                <w:sz w:val="24"/>
              </w:rPr>
              <w:t>3mg/L；</w:t>
            </w:r>
          </w:p>
          <w:p>
            <w:pPr>
              <w:pStyle w:val="null3"/>
              <w:jc w:val="both"/>
            </w:pPr>
            <w:r>
              <w:rPr>
                <w:rFonts w:ascii="宋体" w:hAnsi="宋体" w:cs="宋体" w:eastAsia="宋体"/>
                <w:sz w:val="24"/>
              </w:rPr>
              <w:t>6、</w:t>
            </w:r>
            <w:r>
              <w:rPr>
                <w:rFonts w:ascii="宋体" w:hAnsi="宋体" w:cs="宋体" w:eastAsia="宋体"/>
                <w:sz w:val="24"/>
              </w:rPr>
              <w:t>冲洗臭氧水的臭氧浓度空气源时：应</w:t>
            </w:r>
            <w:r>
              <w:rPr>
                <w:rFonts w:ascii="宋体" w:hAnsi="宋体" w:cs="宋体" w:eastAsia="宋体"/>
                <w:sz w:val="24"/>
              </w:rPr>
              <w:t>≥</w:t>
            </w:r>
            <w:r>
              <w:rPr>
                <w:rFonts w:ascii="宋体" w:hAnsi="宋体" w:cs="宋体" w:eastAsia="宋体"/>
                <w:sz w:val="24"/>
              </w:rPr>
              <w:t>0.5mg/L</w:t>
            </w:r>
            <w:r>
              <w:rPr>
                <w:rFonts w:ascii="宋体" w:hAnsi="宋体" w:cs="宋体" w:eastAsia="宋体"/>
                <w:sz w:val="24"/>
              </w:rPr>
              <w:t>；</w:t>
            </w:r>
          </w:p>
          <w:p>
            <w:pPr>
              <w:pStyle w:val="null3"/>
              <w:jc w:val="both"/>
            </w:pPr>
            <w:r>
              <w:rPr>
                <w:rFonts w:ascii="宋体" w:hAnsi="宋体" w:cs="宋体" w:eastAsia="宋体"/>
                <w:sz w:val="24"/>
              </w:rPr>
              <w:t>7、</w:t>
            </w:r>
            <w:r>
              <w:rPr>
                <w:rFonts w:ascii="宋体" w:hAnsi="宋体" w:cs="宋体" w:eastAsia="宋体"/>
                <w:sz w:val="24"/>
              </w:rPr>
              <w:t>治疗仪的气体流量可调范围（</w:t>
            </w:r>
            <w:r>
              <w:rPr>
                <w:rFonts w:ascii="宋体" w:hAnsi="宋体" w:cs="宋体" w:eastAsia="宋体"/>
                <w:sz w:val="24"/>
              </w:rPr>
              <w:t>0～5）L/min</w:t>
            </w:r>
            <w:r>
              <w:rPr>
                <w:rFonts w:ascii="宋体" w:hAnsi="宋体" w:cs="宋体" w:eastAsia="宋体"/>
                <w:sz w:val="24"/>
              </w:rPr>
              <w:t>；</w:t>
            </w:r>
          </w:p>
          <w:p>
            <w:pPr>
              <w:pStyle w:val="null3"/>
              <w:jc w:val="both"/>
            </w:pPr>
            <w:r>
              <w:rPr>
                <w:rFonts w:ascii="宋体" w:hAnsi="宋体" w:cs="宋体" w:eastAsia="宋体"/>
                <w:sz w:val="24"/>
              </w:rPr>
              <w:t>8、</w:t>
            </w:r>
            <w:r>
              <w:rPr>
                <w:rFonts w:ascii="宋体" w:hAnsi="宋体" w:cs="宋体" w:eastAsia="宋体"/>
                <w:sz w:val="24"/>
              </w:rPr>
              <w:t>超声雾化率</w:t>
            </w:r>
            <w:r>
              <w:rPr>
                <w:rFonts w:ascii="宋体" w:hAnsi="宋体" w:cs="宋体" w:eastAsia="宋体"/>
                <w:sz w:val="24"/>
              </w:rPr>
              <w:t>≥4mL/min</w:t>
            </w:r>
            <w:r>
              <w:rPr>
                <w:rFonts w:ascii="宋体" w:hAnsi="宋体" w:cs="宋体" w:eastAsia="宋体"/>
                <w:sz w:val="24"/>
              </w:rPr>
              <w:t>；</w:t>
            </w:r>
          </w:p>
          <w:p>
            <w:pPr>
              <w:pStyle w:val="null3"/>
              <w:jc w:val="both"/>
            </w:pPr>
            <w:r>
              <w:rPr>
                <w:rFonts w:ascii="宋体" w:hAnsi="宋体" w:cs="宋体" w:eastAsia="宋体"/>
                <w:sz w:val="24"/>
              </w:rPr>
              <w:t>9、</w:t>
            </w:r>
            <w:r>
              <w:rPr>
                <w:rFonts w:ascii="宋体" w:hAnsi="宋体" w:cs="宋体" w:eastAsia="宋体"/>
                <w:sz w:val="24"/>
              </w:rPr>
              <w:t>噪音</w:t>
            </w:r>
            <w:r>
              <w:rPr>
                <w:rFonts w:ascii="宋体" w:hAnsi="宋体" w:cs="宋体" w:eastAsia="宋体"/>
                <w:sz w:val="24"/>
              </w:rPr>
              <w:t>≤50dB（A）</w:t>
            </w:r>
            <w:r>
              <w:rPr>
                <w:rFonts w:ascii="宋体" w:hAnsi="宋体" w:cs="宋体" w:eastAsia="宋体"/>
                <w:sz w:val="24"/>
              </w:rPr>
              <w:t>；</w:t>
            </w:r>
          </w:p>
          <w:p>
            <w:pPr>
              <w:pStyle w:val="null3"/>
              <w:jc w:val="both"/>
            </w:pPr>
            <w:r>
              <w:rPr>
                <w:rFonts w:ascii="宋体" w:hAnsi="宋体" w:cs="宋体" w:eastAsia="宋体"/>
                <w:sz w:val="24"/>
              </w:rPr>
              <w:t>10、</w:t>
            </w:r>
            <w:r>
              <w:rPr>
                <w:rFonts w:ascii="宋体" w:hAnsi="宋体" w:cs="宋体" w:eastAsia="宋体"/>
                <w:sz w:val="24"/>
              </w:rPr>
              <w:t>冲洗温度调节范围</w:t>
            </w:r>
            <w:r>
              <w:rPr>
                <w:rFonts w:ascii="宋体" w:hAnsi="宋体" w:cs="宋体" w:eastAsia="宋体"/>
                <w:sz w:val="24"/>
              </w:rPr>
              <w:t>:30℃～35℃</w:t>
            </w:r>
            <w:r>
              <w:rPr>
                <w:rFonts w:ascii="宋体" w:hAnsi="宋体" w:cs="宋体" w:eastAsia="宋体"/>
                <w:sz w:val="24"/>
              </w:rPr>
              <w:t>；</w:t>
            </w:r>
          </w:p>
          <w:p>
            <w:pPr>
              <w:pStyle w:val="null3"/>
              <w:jc w:val="both"/>
            </w:pPr>
            <w:r>
              <w:rPr>
                <w:rFonts w:ascii="宋体" w:hAnsi="宋体" w:cs="宋体" w:eastAsia="宋体"/>
                <w:sz w:val="24"/>
              </w:rPr>
              <w:t>11、具有</w:t>
            </w:r>
            <w:r>
              <w:rPr>
                <w:rFonts w:ascii="宋体" w:hAnsi="宋体" w:cs="宋体" w:eastAsia="宋体"/>
                <w:sz w:val="24"/>
              </w:rPr>
              <w:t>冲洗过热保护</w:t>
            </w:r>
            <w:r>
              <w:rPr>
                <w:rFonts w:ascii="宋体" w:hAnsi="宋体" w:cs="宋体" w:eastAsia="宋体"/>
                <w:sz w:val="24"/>
              </w:rPr>
              <w:t>功能；</w:t>
            </w:r>
          </w:p>
          <w:p>
            <w:pPr>
              <w:pStyle w:val="null3"/>
              <w:jc w:val="both"/>
            </w:pPr>
            <w:r>
              <w:rPr>
                <w:rFonts w:ascii="宋体" w:hAnsi="宋体" w:cs="宋体" w:eastAsia="宋体"/>
                <w:sz w:val="24"/>
              </w:rPr>
              <w:t>12、配置</w:t>
            </w:r>
            <w:r>
              <w:rPr>
                <w:rFonts w:ascii="宋体" w:hAnsi="宋体" w:cs="宋体" w:eastAsia="宋体"/>
                <w:sz w:val="24"/>
              </w:rPr>
              <w:t>：产品由机箱、智能显示控制屏、臭氧发生器、加热和调温装置、跟踪式末端尾气回收装置、全自动加水过滤装置、冲洗手柄、双通道回收治疗手柄、低温等离子超声波雾化器、一次性冲洗治疗头、一次性回收罩、脚踏开关、连接导管等组成</w:t>
            </w:r>
            <w:r>
              <w:rPr>
                <w:rFonts w:ascii="宋体" w:hAnsi="宋体" w:cs="宋体" w:eastAsia="宋体"/>
                <w:sz w:val="24"/>
              </w:rPr>
              <w:t>；</w:t>
            </w:r>
          </w:p>
          <w:p>
            <w:pPr>
              <w:pStyle w:val="null3"/>
              <w:jc w:val="both"/>
            </w:pPr>
            <w:r>
              <w:rPr>
                <w:rFonts w:ascii="宋体" w:hAnsi="宋体" w:cs="宋体" w:eastAsia="宋体"/>
                <w:sz w:val="24"/>
              </w:rPr>
              <w:t>13、具有</w:t>
            </w:r>
            <w:r>
              <w:rPr>
                <w:rFonts w:ascii="宋体" w:hAnsi="宋体" w:cs="宋体" w:eastAsia="宋体"/>
                <w:sz w:val="24"/>
              </w:rPr>
              <w:t>消毒、杀菌效果</w:t>
            </w:r>
            <w:r>
              <w:rPr>
                <w:rFonts w:ascii="宋体" w:hAnsi="宋体" w:cs="宋体" w:eastAsia="宋体"/>
                <w:sz w:val="24"/>
              </w:rPr>
              <w:t>：</w:t>
            </w:r>
            <w:r>
              <w:rPr>
                <w:rFonts w:ascii="宋体" w:hAnsi="宋体" w:cs="宋体" w:eastAsia="宋体"/>
                <w:sz w:val="24"/>
              </w:rPr>
              <w:t>治疗</w:t>
            </w:r>
            <w:r>
              <w:rPr>
                <w:rFonts w:ascii="宋体" w:hAnsi="宋体" w:cs="宋体" w:eastAsia="宋体"/>
                <w:sz w:val="24"/>
              </w:rPr>
              <w:t>20min 后，对金黄色葡萄球菌、大肠杆菌的杀灭对数值</w:t>
            </w:r>
            <w:r>
              <w:rPr>
                <w:rFonts w:ascii="宋体" w:hAnsi="宋体" w:cs="宋体" w:eastAsia="宋体"/>
                <w:sz w:val="24"/>
              </w:rPr>
              <w:t>≥</w:t>
            </w:r>
            <w:r>
              <w:rPr>
                <w:rFonts w:ascii="宋体" w:hAnsi="宋体" w:cs="宋体" w:eastAsia="宋体"/>
                <w:sz w:val="24"/>
              </w:rPr>
              <w:t>3；</w:t>
            </w:r>
          </w:p>
          <w:p>
            <w:pPr>
              <w:pStyle w:val="null3"/>
              <w:jc w:val="both"/>
            </w:pPr>
            <w:r>
              <w:rPr>
                <w:rFonts w:ascii="宋体" w:hAnsi="宋体" w:cs="宋体" w:eastAsia="宋体"/>
                <w:sz w:val="24"/>
                <w:b/>
              </w:rPr>
              <w:t>商务要求</w:t>
            </w:r>
          </w:p>
          <w:p>
            <w:pPr>
              <w:pStyle w:val="null3"/>
              <w:jc w:val="both"/>
            </w:pPr>
            <w:r>
              <w:rPr>
                <w:rFonts w:ascii="宋体" w:hAnsi="宋体" w:cs="宋体" w:eastAsia="宋体"/>
                <w:sz w:val="24"/>
              </w:rPr>
              <w:t>1、</w:t>
            </w:r>
            <w:r>
              <w:rPr>
                <w:rFonts w:ascii="宋体" w:hAnsi="宋体" w:cs="宋体" w:eastAsia="宋体"/>
                <w:sz w:val="24"/>
              </w:rPr>
              <w:t>保修期至少三年</w:t>
            </w:r>
            <w:r>
              <w:rPr>
                <w:rFonts w:ascii="宋体" w:hAnsi="宋体" w:cs="宋体" w:eastAsia="宋体"/>
                <w:sz w:val="24"/>
              </w:rPr>
              <w:t>；</w:t>
            </w:r>
          </w:p>
          <w:p>
            <w:pPr>
              <w:pStyle w:val="null3"/>
              <w:jc w:val="both"/>
            </w:pPr>
            <w:r>
              <w:rPr>
                <w:rFonts w:ascii="宋体" w:hAnsi="宋体" w:cs="宋体" w:eastAsia="宋体"/>
                <w:sz w:val="24"/>
              </w:rPr>
              <w:t>2、提供耗材最低报价（仅参考）。（耗材：一次性冲洗治疗头，参考单价：≤7元/支）</w:t>
            </w:r>
          </w:p>
          <w:p>
            <w:pPr>
              <w:pStyle w:val="null3"/>
              <w:jc w:val="both"/>
            </w:pP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合同签订后一个月内到货</w:t>
      </w:r>
    </w:p>
    <w:p>
      <w:pPr>
        <w:pStyle w:val="null3"/>
      </w:pPr>
      <w:r>
        <w:rPr/>
        <w:t>采购包2：</w:t>
      </w:r>
    </w:p>
    <w:p>
      <w:pPr>
        <w:pStyle w:val="null3"/>
      </w:pPr>
      <w:r>
        <w:rPr/>
        <w:t>合同签订后一个月内到货</w:t>
      </w:r>
    </w:p>
    <w:p>
      <w:pPr>
        <w:pStyle w:val="null3"/>
      </w:pPr>
      <w:r>
        <w:rPr/>
        <w:t>采购包3：</w:t>
      </w:r>
    </w:p>
    <w:p>
      <w:pPr>
        <w:pStyle w:val="null3"/>
      </w:pPr>
      <w:r>
        <w:rPr/>
        <w:t>合同签订后一个月内到货</w:t>
      </w:r>
    </w:p>
    <w:p>
      <w:pPr>
        <w:pStyle w:val="null3"/>
      </w:pPr>
      <w:r>
        <w:rPr/>
        <w:t>采购包4：</w:t>
      </w:r>
    </w:p>
    <w:p>
      <w:pPr>
        <w:pStyle w:val="null3"/>
      </w:pPr>
      <w:r>
        <w:rPr/>
        <w:t>合同签订后一个月内到货</w:t>
      </w:r>
    </w:p>
    <w:p>
      <w:pPr>
        <w:pStyle w:val="null3"/>
        <w:outlineLvl w:val="3"/>
      </w:pPr>
      <w:r>
        <w:rPr>
          <w:sz w:val="24"/>
          <w:b/>
        </w:rPr>
        <w:t>3.4.2交货地点</w:t>
      </w:r>
    </w:p>
    <w:p>
      <w:pPr>
        <w:pStyle w:val="null3"/>
      </w:pPr>
      <w:r>
        <w:rPr/>
        <w:t>采购包1：</w:t>
      </w:r>
    </w:p>
    <w:p>
      <w:pPr>
        <w:pStyle w:val="null3"/>
      </w:pPr>
      <w:r>
        <w:rPr/>
        <w:t>陕西省肿瘤医院指定地点</w:t>
      </w:r>
    </w:p>
    <w:p>
      <w:pPr>
        <w:pStyle w:val="null3"/>
      </w:pPr>
      <w:r>
        <w:rPr/>
        <w:t>采购包2：</w:t>
      </w:r>
    </w:p>
    <w:p>
      <w:pPr>
        <w:pStyle w:val="null3"/>
      </w:pPr>
      <w:r>
        <w:rPr/>
        <w:t>陕西省肿瘤医院指定地点</w:t>
      </w:r>
    </w:p>
    <w:p>
      <w:pPr>
        <w:pStyle w:val="null3"/>
      </w:pPr>
      <w:r>
        <w:rPr/>
        <w:t>采购包3：</w:t>
      </w:r>
    </w:p>
    <w:p>
      <w:pPr>
        <w:pStyle w:val="null3"/>
      </w:pPr>
      <w:r>
        <w:rPr/>
        <w:t>陕西省肿瘤医院指定地点</w:t>
      </w:r>
    </w:p>
    <w:p>
      <w:pPr>
        <w:pStyle w:val="null3"/>
      </w:pPr>
      <w:r>
        <w:rPr/>
        <w:t>采购包4：</w:t>
      </w:r>
    </w:p>
    <w:p>
      <w:pPr>
        <w:pStyle w:val="null3"/>
      </w:pPr>
      <w:r>
        <w:rPr/>
        <w:t>陕西省肿瘤医院指定地点</w:t>
      </w:r>
    </w:p>
    <w:p>
      <w:pPr>
        <w:pStyle w:val="null3"/>
        <w:outlineLvl w:val="3"/>
      </w:pPr>
      <w:r>
        <w:rPr>
          <w:sz w:val="24"/>
          <w:b/>
        </w:rPr>
        <w:t>3.4.3支付方式</w:t>
      </w:r>
    </w:p>
    <w:p>
      <w:pPr>
        <w:pStyle w:val="null3"/>
      </w:pPr>
      <w:r>
        <w:rPr/>
        <w:t>采购包1：</w:t>
      </w:r>
    </w:p>
    <w:p>
      <w:pPr>
        <w:pStyle w:val="null3"/>
      </w:pPr>
      <w:r>
        <w:rPr/>
        <w:t>一次付清</w:t>
      </w:r>
    </w:p>
    <w:p>
      <w:pPr>
        <w:pStyle w:val="null3"/>
      </w:pPr>
      <w:r>
        <w:rPr/>
        <w:t>采购包2：</w:t>
      </w:r>
    </w:p>
    <w:p>
      <w:pPr>
        <w:pStyle w:val="null3"/>
      </w:pPr>
      <w:r>
        <w:rPr/>
        <w:t>一次付清</w:t>
      </w:r>
    </w:p>
    <w:p>
      <w:pPr>
        <w:pStyle w:val="null3"/>
      </w:pPr>
      <w:r>
        <w:rPr/>
        <w:t>采购包3：</w:t>
      </w:r>
    </w:p>
    <w:p>
      <w:pPr>
        <w:pStyle w:val="null3"/>
      </w:pPr>
      <w:r>
        <w:rPr/>
        <w:t>一次付清</w:t>
      </w:r>
    </w:p>
    <w:p>
      <w:pPr>
        <w:pStyle w:val="null3"/>
      </w:pPr>
      <w:r>
        <w:rPr/>
        <w:t>采购包4：</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所有货物全部运到甲方指定地方，安装完毕经终验合格并交付最终用户正常使用后，无质量问题、索赔、争议及其它纠纷的情况下，乙方提交付款申请、《验收合格单》原件和全额正式增值税发票</w:t>
      </w:r>
      <w:r>
        <w:rPr/>
        <w:t xml:space="preserve"> ，达到付款条件起 </w:t>
      </w:r>
      <w:r>
        <w:rPr/>
        <w:t>30</w:t>
      </w:r>
      <w:r>
        <w:rPr/>
        <w:t xml:space="preserve"> 日内，支付合同总金额的 </w:t>
      </w:r>
      <w:r>
        <w:rPr/>
        <w:t>100.00</w:t>
      </w:r>
      <w:r>
        <w:rPr/>
        <w:t>%。</w:t>
      </w:r>
    </w:p>
    <w:p>
      <w:pPr>
        <w:pStyle w:val="null3"/>
      </w:pPr>
      <w:r>
        <w:rPr/>
        <w:t>采购包2：</w:t>
      </w:r>
      <w:r>
        <w:rPr/>
        <w:t xml:space="preserve"> 付款条件说明： </w:t>
      </w:r>
      <w:r>
        <w:rPr/>
        <w:t>所有货物全部运到甲方指定地方，安装完毕经终验合格并交付最终用户正常使用后，无质量问题、索赔、争议及其它纠纷的情况下，乙方提交付款申请、《验收合格单》原件和全额正式增值税发票</w:t>
      </w:r>
      <w:r>
        <w:rPr/>
        <w:t xml:space="preserve"> ，达到付款条件起 </w:t>
      </w:r>
      <w:r>
        <w:rPr/>
        <w:t>30</w:t>
      </w:r>
      <w:r>
        <w:rPr/>
        <w:t xml:space="preserve"> 日内，支付合同总金额的 </w:t>
      </w:r>
      <w:r>
        <w:rPr/>
        <w:t>100.00</w:t>
      </w:r>
      <w:r>
        <w:rPr/>
        <w:t>%。</w:t>
      </w:r>
    </w:p>
    <w:p>
      <w:pPr>
        <w:pStyle w:val="null3"/>
      </w:pPr>
      <w:r>
        <w:rPr/>
        <w:t>采购包3：</w:t>
      </w:r>
      <w:r>
        <w:rPr/>
        <w:t xml:space="preserve"> 付款条件说明： </w:t>
      </w:r>
      <w:r>
        <w:rPr/>
        <w:t>所有货物全部运到甲方指定地方，安装完毕经终验合格并交付最终用户正常使用后，无质量问题、索赔、争议及其它纠纷的情况下，乙方提交付款申请、《验收合格单》原件和全额正式增值税发票</w:t>
      </w:r>
      <w:r>
        <w:rPr/>
        <w:t xml:space="preserve"> ，达到付款条件起 </w:t>
      </w:r>
      <w:r>
        <w:rPr/>
        <w:t>30</w:t>
      </w:r>
      <w:r>
        <w:rPr/>
        <w:t xml:space="preserve"> 日内，支付合同总金额的 </w:t>
      </w:r>
      <w:r>
        <w:rPr/>
        <w:t>100.00</w:t>
      </w:r>
      <w:r>
        <w:rPr/>
        <w:t>%。</w:t>
      </w:r>
    </w:p>
    <w:p>
      <w:pPr>
        <w:pStyle w:val="null3"/>
      </w:pPr>
      <w:r>
        <w:rPr/>
        <w:t>采购包4：</w:t>
      </w:r>
      <w:r>
        <w:rPr/>
        <w:t xml:space="preserve"> 付款条件说明： </w:t>
      </w:r>
      <w:r>
        <w:rPr/>
        <w:t>所有货物全部运到甲方指定地方，安装完毕经终验合格并交付最终用户正常使用后，无质量问题、索赔、争议及其它纠纷的情况下，乙方提交付款申请、《验收合格单》原件和全额正式增值税发票</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一、质量要求 1.质量要求：设备安装调试作业达到合格标准且满足甲方需求，并办理完毕所有政府行政审批手续，正常投入使用。 2.乙方确保所供货物必须是采购需求货物，并符合本项目国家现行标准。乙方应保证所提供的设备均为崭新的、合法的正品，其质量、规格和性能应完全符合法律法规及合同规定的质量、配置、规格、技术指标（包括合同附件）等要求。乙方保证所使用主要设备及材料在设计、制造、包装、运输过程中，严格执行国家及行业标准规范，货物在正确安装、正常使用和保养条件下，在其使用寿命内应具有可靠的性能。 3.各种货物有良好的外观，适合各种安装场所的使用。除合同另有规定外，乙方提供的全部货物，均应按标准保护措施进行包装，并确保货物安全无损运抵甲方指定地点。 4.在设备使用期内，如果货物的质量、配置、规格、技术指标等与合同或投标文件、货物原产厂家及国家或行业有关规定的技术参数中任何一项不符，甲方有权向乙方提出索赔。甲乙双方均有权委托有关行业权威部门鉴定，如属于甲方责任，鉴定费用由甲方承担；如属于乙方责任，鉴定费用由乙方承担，并由乙方负责赔偿甲方采购货物费用等相应损失。 5.如乙方未按合同或招投标书要求提供产品、设备、所需文件手续以及售后服务，产品质量不能满足招标文件技术要求，甲方有权终止合同，并对乙方违约行为追究相应的民事、行政、刑事责任。在乙方违约的情况下，甲方有权单方面终止合同，并依法向乙方进行索赔。 二、货物验收 1.验收方法：乙方将货物发放甲方指定地点，由甲方统一组织验收。验收完成后，甲方填写货物验收报告单。 2.在发货前，乙方应对货物的质量、规格、配置、数量等进行准确而全面的检验，并随货出具产品生产产地证明材料(加盖公章)。 3.甲方在收到货物后原则上应在30日内组织人员按招、投标文件及合同约定的技术参数指标进行验收，并填写验收报告单（见附件6）。如果货物达不到国家的质量及企业标准或与投标时封存样品不符或不符合本合同的约定或短缺的情形，甲方有权拒绝接收，鉴定费用及在此前产生的一切费用由乙方承担， 但交货期不顺延。同时，甲方有权终止本合同，另行招标，或与评标报告中排名第二的供应商签订新的供货合同。 4.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5.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6.验收依据： （1）本合同及合同附件、补充协议。 （2）国家相应的标准、规范。 （3）招标文件、投标文件、澄清表（函）（如有）。</w:t>
      </w:r>
    </w:p>
    <w:p>
      <w:pPr>
        <w:pStyle w:val="null3"/>
      </w:pPr>
      <w:r>
        <w:rPr/>
        <w:t>采购包2：</w:t>
      </w:r>
    </w:p>
    <w:p>
      <w:pPr>
        <w:pStyle w:val="null3"/>
      </w:pPr>
      <w:r>
        <w:rPr/>
        <w:t>一、质量要求 1.质量要求：设备安装调试作业达到合格标准且满足甲方需求，并办理完毕所有政府行政审批手续，正常投入使用。 2.乙方确保所供货物必须是采购需求货物，并符合本项目国家现行标准。乙方应保证所提供的设备均为崭新的、合法的正品，其质量、规格和性能应完全符合法律法规及合同规定的质量、配置、规格、技术指标（包括合同附件）等要求。乙方保证所使用主要设备及材料在设计、制造、包装、运输过程中，严格执行国家及行业标准规范，货物在正确安装、正常使用和保养条件下，在其使用寿命内应具有可靠的性能。 3.各种货物有良好的外观，适合各种安装场所的使用。除合同另有规定外，乙方提供的全部货物，均应按标准保护措施进行包装，并确保货物安全无损运抵甲方指定地点。 4.在设备使用期内，如果货物的质量、配置、规格、技术指标等与合同或投标文件、货物原产厂家及国家或行业有关规定的技术参数中任何一项不符，甲方有权向乙方提出索赔。甲乙双方均有权委托有关行业权威部门鉴定，如属于甲方责任，鉴定费用由甲方承担；如属于乙方责任，鉴定费用由乙方承担，并由乙方负责赔偿甲方采购货物费用等相应损失。 5.如乙方未按合同或招投标书要求提供产品、设备、所需文件手续以及售后服务，产品质量不能满足招标文件技术要求，甲方有权终止合同，并对乙方违约行为追究相应的民事、行政、刑事责任。在乙方违约的情况下，甲方有权单方面终止合同，并依法向乙方进行索赔。 二、货物验收 1.验收方法：乙方将货物发放甲方指定地点，由甲方统一组织验收。验收完成后，甲方填写货物验收报告单。 2.在发货前，乙方应对货物的质量、规格、配置、数量等进行准确而全面的检验，并随货出具产品生产产地证明材料(加盖公章)。 3.甲方在收到货物后原则上应在30日内组织人员按招、投标文件及合同约定的技术参数指标进行验收，并填写验收报告单（见附件6）。如果货物达不到国家的质量及企业标准或与投标时封存样品不符或不符合本合同的约定或短缺的情形，甲方有权拒绝接收，鉴定费用及在此前产生的一切费用由乙方承担， 但交货期不顺延。同时，甲方有权终止本合同，另行招标，或与评标报告中排名第二的供应商签订新的供货合同。 4.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5.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6.验收依据： （1）本合同及合同附件、补充协议。 （2）国家相应的标准、规范。 （3）招标文件、投标文件、澄清表（函）（如有）。</w:t>
      </w:r>
    </w:p>
    <w:p>
      <w:pPr>
        <w:pStyle w:val="null3"/>
      </w:pPr>
      <w:r>
        <w:rPr/>
        <w:t>采购包3：</w:t>
      </w:r>
    </w:p>
    <w:p>
      <w:pPr>
        <w:pStyle w:val="null3"/>
      </w:pPr>
      <w:r>
        <w:rPr/>
        <w:t>一、质量要求 1.质量要求：设备安装调试作业达到合格标准且满足甲方需求，并办理完毕所有政府行政审批手续，正常投入使用。 2.乙方确保所供货物必须是采购需求货物，并符合本项目国家现行标准。乙方应保证所提供的设备均为崭新的、合法的正品，其质量、规格和性能应完全符合法律法规及合同规定的质量、配置、规格、技术指标（包括合同附件）等要求。乙方保证所使用主要设备及材料在设计、制造、包装、运输过程中，严格执行国家及行业标准规范，货物在正确安装、正常使用和保养条件下，在其使用寿命内应具有可靠的性能。 3.各种货物有良好的外观，适合各种安装场所的使用。除合同另有规定外，乙方提供的全部货物，均应按标准保护措施进行包装，并确保货物安全无损运抵甲方指定地点。 4.在设备使用期内，如果货物的质量、配置、规格、技术指标等与合同或投标文件、货物原产厂家及国家或行业有关规定的技术参数中任何一项不符，甲方有权向乙方提出索赔。甲乙双方均有权委托有关行业权威部门鉴定，如属于甲方责任，鉴定费用由甲方承担；如属于乙方责任，鉴定费用由乙方承担，并由乙方负责赔偿甲方采购货物费用等相应损失。 5.如乙方未按合同或招投标书要求提供产品、设备、所需文件手续以及售后服务，产品质量不能满足招标文件技术要求，甲方有权终止合同，并对乙方违约行为追究相应的民事、行政、刑事责任。在乙方违约的情况下，甲方有权单方面终止合同，并依法向乙方进行索赔。 二、货物验收 1.验收方法：乙方将货物发放甲方指定地点，由甲方统一组织验收。验收完成后，甲方填写货物验收报告单。 2.在发货前，乙方应对货物的质量、规格、配置、数量等进行准确而全面的检验，并随货出具产品生产产地证明材料(加盖公章)。 3.甲方在收到货物后原则上应在30日内组织人员按招、投标文件及合同约定的技术参数指标进行验收，并填写验收报告单（见附件6）。如果货物达不到国家的质量及企业标准或与投标时封存样品不符或不符合本合同的约定或短缺的情形，甲方有权拒绝接收，鉴定费用及在此前产生的一切费用由乙方承担， 但交货期不顺延。同时，甲方有权终止本合同，另行招标，或与评标报告中排名第二的供应商签订新的供货合同。 4.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5.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6.验收依据： （1）本合同及合同附件、补充协议。 （2）国家相应的标准、规范。 （3）招标文件、投标文件、澄清表（函）（如有）。</w:t>
      </w:r>
    </w:p>
    <w:p>
      <w:pPr>
        <w:pStyle w:val="null3"/>
      </w:pPr>
      <w:r>
        <w:rPr/>
        <w:t>采购包4：</w:t>
      </w:r>
    </w:p>
    <w:p>
      <w:pPr>
        <w:pStyle w:val="null3"/>
      </w:pPr>
      <w:r>
        <w:rPr/>
        <w:t>一、质量要求 1.质量要求：设备安装调试作业达到合格标准且满足甲方需求，并办理完毕所有政府行政审批手续，正常投入使用。 2.乙方确保所供货物必须是采购需求货物，并符合本项目国家现行标准。乙方应保证所提供的设备均为崭新的、合法的正品，其质量、规格和性能应完全符合法律法规及合同规定的质量、配置、规格、技术指标（包括合同附件）等要求。乙方保证所使用主要设备及材料在设计、制造、包装、运输过程中，严格执行国家及行业标准规范，货物在正确安装、正常使用和保养条件下，在其使用寿命内应具有可靠的性能。 3.各种货物有良好的外观，适合各种安装场所的使用。除合同另有规定外，乙方提供的全部货物，均应按标准保护措施进行包装，并确保货物安全无损运抵甲方指定地点。 4.在设备使用期内，如果货物的质量、配置、规格、技术指标等与合同或投标文件、货物原产厂家及国家或行业有关规定的技术参数中任何一项不符，甲方有权向乙方提出索赔。甲乙双方均有权委托有关行业权威部门鉴定，如属于甲方责任，鉴定费用由甲方承担；如属于乙方责任，鉴定费用由乙方承担，并由乙方负责赔偿甲方采购货物费用等相应损失。 5.如乙方未按合同或招投标书要求提供产品、设备、所需文件手续以及售后服务，产品质量不能满足招标文件技术要求，甲方有权终止合同，并对乙方违约行为追究相应的民事、行政、刑事责任。在乙方违约的情况下，甲方有权单方面终止合同，并依法向乙方进行索赔。 二、货物验收 1.验收方法：乙方将货物发放甲方指定地点，由甲方统一组织验收。验收完成后，甲方填写货物验收报告单。 2.在发货前，乙方应对货物的质量、规格、配置、数量等进行准确而全面的检验，并随货出具产品生产产地证明材料(加盖公章)。 3.甲方在收到货物后原则上应在30日内组织人员按招、投标文件及合同约定的技术参数指标进行验收，并填写验收报告单（见附件6）。如果货物达不到国家的质量及企业标准或与投标时封存样品不符或不符合本合同的约定或短缺的情形，甲方有权拒绝接收，鉴定费用及在此前产生的一切费用由乙方承担， 但交货期不顺延。同时，甲方有权终止本合同，另行招标，或与评标报告中排名第二的供应商签订新的供货合同。 4.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5.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6.验收依据： （1）本合同及合同附件、补充协议。 （2）国家相应的标准、规范。 （3）招标文件、投标文件、澄清表（函）（如有）。</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采购包2：</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采购包3：</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t>采购包4：</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1.质量保证期（整机质保期）为：产品自安装、调试正常运行并验收合格之日起12个月，质保期内乙方免费进行设备维护及技术维修。 2.质保期内： （1）甲方收到设备30天内，如出现非人为损坏质量问题，可以选择换货或退货；30至60天内，可选择换货，更换为相同型号、同等技术参数的新设备，产生的运输等所有费用由乙方承担。 （2）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 （3）若需将产品送回生产厂，乙方应承担维修设备所需的往返运费，同时，为不影响甲方的工作，对可以提供备用机的设备，乙方须提供同型号备用设备（5个工作日内无法恢复的故障），以确保甲方工作的正常进行，否则视为违约。 （4）乙方须定期派技术人员到现场走访，对设备给予检查、维护、保养。属于计量设备的每年对设备提供一次免费校准服务并提供校准报告。 （5）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 3.质保期结束前，乙方应对所供产品进行系统测试和全面维护保养，维护内容包括但不限于：检查所有产品的各类连接件等，确保产品的正常运行。 4.乙方对由于设计、工艺或材料的缺陷而产生的故障负责，对因产品本身的隐蔽瑕疵而出现的质量问题，乙方应负责解决（维修、调试或更新、更换）并承担全部费用，甲方有权要求退货、换货、终身维修保养。 5.质量保修期外售后服务：质量保修期外售后服务机制、服务效率、服务承诺与质保期内一致；超过保修期外乙方提供设备维护和大修所需的备件，在维修中仅收原器件成本费，不收人工费。 6.有软件支持的设备，乙方应当根据客户要求长期及时免费提供设备的软件升级换代和设备的技术咨询。（含公司正在开发的远程网络会诊功能）。</w:t>
      </w:r>
    </w:p>
    <w:p>
      <w:pPr>
        <w:pStyle w:val="null3"/>
      </w:pPr>
      <w:r>
        <w:rPr/>
        <w:t>采购包2：</w:t>
      </w:r>
    </w:p>
    <w:p>
      <w:pPr>
        <w:pStyle w:val="null3"/>
      </w:pPr>
      <w:r>
        <w:rPr/>
        <w:t>1.质量保证期（整机质保期）为：产品自安装、调试正常运行并验收合格之日起12个月，质保期内乙方免费进行设备维护及技术维修。 2.质保期内： （1）甲方收到设备30天内，如出现非人为损坏质量问题，可以选择换货或退货；30至60天内，可选择换货，更换为相同型号、同等技术参数的新设备，产生的运输等所有费用由乙方承担。 （2）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 （3）若需将产品送回生产厂，乙方应承担维修设备所需的往返运费，同时，为不影响甲方的工作，对可以提供备用机的设备，乙方须提供同型号备用设备（5个工作日内无法恢复的故障），以确保甲方工作的正常进行，否则视为违约。 （4）乙方须定期派技术人员到现场走访，对设备给予检查、维护、保养。属于计量设备的每年对设备提供一次免费校准服务并提供校准报告。 （5）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 3.质保期结束前，乙方应对所供产品进行系统测试和全面维护保养，维护内容包括但不限于：检查所有产品的各类连接件等，确保产品的正常运行。 4.乙方对由于设计、工艺或材料的缺陷而产生的故障负责，对因产品本身的隐蔽瑕疵而出现的质量问题，乙方应负责解决（维修、调试或更新、更换）并承担全部费用，甲方有权要求退货、换货、终身维修保养。 5.质量保修期外售后服务：质量保修期外售后服务机制、服务效率、服务承诺与质保期内一致；超过保修期外乙方提供设备维护和大修所需的备件，在维修中仅收原器件成本费，不收人工费。 6.有软件支持的设备，乙方应当根据客户要求长期及时免费提供设备的软件升级换代和设备的技术咨询。（含公司正在开发的远程网络会诊功能）。</w:t>
      </w:r>
    </w:p>
    <w:p>
      <w:pPr>
        <w:pStyle w:val="null3"/>
      </w:pPr>
      <w:r>
        <w:rPr/>
        <w:t>采购包3：</w:t>
      </w:r>
    </w:p>
    <w:p>
      <w:pPr>
        <w:pStyle w:val="null3"/>
      </w:pPr>
      <w:r>
        <w:rPr/>
        <w:t>1.质量保证期（整机质保期）为：产品自安装、调试正常运行并验收合格之日起12个月，质保期内乙方免费进行设备维护及技术维修。 2.质保期内： （1）甲方收到设备30天内，如出现非人为损坏质量问题，可以选择换货或退货；30至60天内，可选择换货，更换为相同型号、同等技术参数的新设备，产生的运输等所有费用由乙方承担。 （2）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 （3）若需将产品送回生产厂，乙方应承担维修设备所需的往返运费，同时，为不影响甲方的工作，对可以提供备用机的设备，乙方须提供同型号备用设备（5个工作日内无法恢复的故障），以确保甲方工作的正常进行，否则视为违约。 （4）乙方须定期派技术人员到现场走访，对设备给予检查、维护、保养。属于计量设备的每年对设备提供一次免费校准服务并提供校准报告。 （5）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 3.质保期结束前，乙方应对所供产品进行系统测试和全面维护保养，维护内容包括但不限于：检查所有产品的各类连接件等，确保产品的正常运行。 4.乙方对由于设计、工艺或材料的缺陷而产生的故障负责，对因产品本身的隐蔽瑕疵而出现的质量问题，乙方应负责解决（维修、调试或更新、更换）并承担全部费用，甲方有权要求退货、换货、终身维修保养。 5.质量保修期外售后服务：质量保修期外售后服务机制、服务效率、服务承诺与质保期内一致；超过保修期外乙方提供设备维护和大修所需的备件，在维修中仅收原器件成本费，不收人工费。 6.有软件支持的设备，乙方应当根据客户要求长期及时免费提供设备的软件升级换代和设备的技术咨询。（含公司正在开发的远程网络会诊功能）。</w:t>
      </w:r>
    </w:p>
    <w:p>
      <w:pPr>
        <w:pStyle w:val="null3"/>
      </w:pPr>
      <w:r>
        <w:rPr/>
        <w:t>采购包4：</w:t>
      </w:r>
    </w:p>
    <w:p>
      <w:pPr>
        <w:pStyle w:val="null3"/>
      </w:pPr>
      <w:r>
        <w:rPr/>
        <w:t>1.质量保证期（整机质保期）为：产品自安装、调试正常运行并验收合格之日起免费保修期至少三年，质保期内乙方免费进行设备维护及技术维修。 2.质保期内： （1）甲方收到设备30天内，如出现非人为损坏质量问题，可以选择换货或退货；30至60天内，可选择换货，更换为相同型号、同等技术参数的新设备，产生的运输等所有费用由乙方承担。 （2）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 （3）若需将产品送回生产厂，乙方应承担维修设备所需的往返运费，同时，为不影响甲方的工作，对可以提供备用机的设备，乙方须提供同型号备用设备（5个工作日内无法恢复的故障），以确保甲方工作的正常进行，否则视为违约。 （4）乙方须定期派技术人员到现场走访，对设备给予检查、维护、保养。属于计量设备的每年对设备提供一次免费校准服务并提供校准报告。 （5）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 3.质保期结束前，乙方应对所供产品进行系统测试和全面维护保养，维护内容包括但不限于：检查所有产品的各类连接件等，确保产品的正常运行。 4.乙方对由于设计、工艺或材料的缺陷而产生的故障负责，对因产品本身的隐蔽瑕疵而出现的质量问题，乙方应负责解决（维修、调试或更新、更换）并承担全部费用，甲方有权要求退货、换货、终身维修保养。 5.质量保修期外售后服务：质量保修期外售后服务机制、服务效率、服务承诺与质保期内一致；超过保修期外乙方提供设备维护和大修所需的备件，在维修中仅收原器件成本费，不收人工费。 6.有软件支持的设备，乙方应当根据客户要求长期及时免费提供设备的软件升级换代和设备的技术咨询。（含公司正在开发的远程网络会诊功能）。</w:t>
      </w:r>
    </w:p>
    <w:p>
      <w:pPr>
        <w:pStyle w:val="null3"/>
        <w:outlineLvl w:val="3"/>
      </w:pPr>
      <w:r>
        <w:rPr>
          <w:sz w:val="24"/>
          <w:b/>
        </w:rPr>
        <w:t>3.4.8违约责任与解决争议的方法</w:t>
      </w:r>
    </w:p>
    <w:p>
      <w:pPr>
        <w:pStyle w:val="null3"/>
      </w:pPr>
      <w:r>
        <w:rPr/>
        <w:t>采购包1：</w:t>
      </w:r>
    </w:p>
    <w:p>
      <w:pPr>
        <w:pStyle w:val="null3"/>
      </w:pPr>
      <w:r>
        <w:rPr/>
        <w:t>一、违约责任 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 2.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 3.质量保证期内因产品质量问题，乙方未按合同规定及时进行维修、更换，甲方可自行组织人员进行维修、更换，因此造成的相关责任、费用由乙方全部承担。 4.乙方对材料不按招标文件要求，擅自更换，除恢复原招标产品外，应承担更换部分价款30%的违约金。 5.乙方如对材料以次充好，除全部按要求恢复外，应承担此部分价款30%的违约金。 6.如由于产品质量原因，不能通过验收，乙方除按规定无偿更换外，应承担所涉及产品总价款的30%违约金。 7.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 8.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 二、争议解决 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pPr>
      <w:r>
        <w:rPr/>
        <w:t>采购包2：</w:t>
      </w:r>
    </w:p>
    <w:p>
      <w:pPr>
        <w:pStyle w:val="null3"/>
      </w:pPr>
      <w:r>
        <w:rPr/>
        <w:t>一、违约责任 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 2.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 3.质量保证期内因产品质量问题，乙方未按合同规定及时进行维修、更换，甲方可自行组织人员进行维修、更换，因此造成的相关责任、费用由乙方全部承担。 4.乙方对材料不按招标文件要求，擅自更换，除恢复原招标产品外，应承担更换部分价款30%的违约金。 5.乙方如对材料以次充好，除全部按要求恢复外，应承担此部分价款30%的违约金。 6.如由于产品质量原因，不能通过验收，乙方除按规定无偿更换外，应承担所涉及产品总价款的30%违约金。 7.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 8.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 二、争议解决 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pPr>
      <w:r>
        <w:rPr/>
        <w:t>采购包3：</w:t>
      </w:r>
    </w:p>
    <w:p>
      <w:pPr>
        <w:pStyle w:val="null3"/>
      </w:pPr>
      <w:r>
        <w:rPr/>
        <w:t>一、违约责任 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 2.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 3.质量保证期内因产品质量问题，乙方未按合同规定及时进行维修、更换，甲方可自行组织人员进行维修、更换，因此造成的相关责任、费用由乙方全部承担。 4.乙方对材料不按招标文件要求，擅自更换，除恢复原招标产品外，应承担更换部分价款30%的违约金。 5.乙方如对材料以次充好，除全部按要求恢复外，应承担此部分价款30%的违约金。 6.如由于产品质量原因，不能通过验收，乙方除按规定无偿更换外，应承担所涉及产品总价款的30%违约金。 7.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 8.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 二、争议解决 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pPr>
      <w:r>
        <w:rPr/>
        <w:t>采购包4：</w:t>
      </w:r>
    </w:p>
    <w:p>
      <w:pPr>
        <w:pStyle w:val="null3"/>
      </w:pPr>
      <w:r>
        <w:rPr/>
        <w:t>一、违约责任 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 2.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 3.质量保证期内因产品质量问题，乙方未按合同规定及时进行维修、更换，甲方可自行组织人员进行维修、更换，因此造成的相关责任、费用由乙方全部承担。 4.乙方对材料不按招标文件要求，擅自更换，除恢复原招标产品外，应承担更换部分价款30%的违约金。 5.乙方如对材料以次充好，除全部按要求恢复外，应承担此部分价款30%的违约金。 6.如由于产品质量原因，不能通过验收，乙方除按规定无偿更换外，应承担所涉及产品总价款的30%违约金。 7.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 8.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 二、争议解决 合同各方应本着诚信的态度及共同合作的精神，通过协商及谈判来努力解决由本合同而产生的或与本合同有关（包括本合同项下某一特定货物买卖合同）的任何争议及不同意见。协商、谈判不能解决的，任何一方有权向甲方所在地人民法院起诉解决。</w:t>
      </w:r>
    </w:p>
    <w:p>
      <w:pPr>
        <w:pStyle w:val="null3"/>
        <w:jc w:val="left"/>
        <w:outlineLvl w:val="2"/>
      </w:pPr>
      <w:r>
        <w:rPr>
          <w:sz w:val="28"/>
          <w:b/>
        </w:rPr>
        <w:t>3.5其他要求</w:t>
      </w:r>
    </w:p>
    <w:p>
      <w:pPr>
        <w:pStyle w:val="null3"/>
      </w:pPr>
      <w:r>
        <w:rPr/>
        <w:t>1、为顺利推进政府采购电子化交易平台试点应用工作，供应商需要在线提交所有通过电子化交易平台实施的政府采购项目的投标文件，同时，线下提交投标文件正本 壹 份、副本 壹 套、电子版壹 套（U盘一套标明供应商名称，随正本密封，文件双面打印）。若系统电子投标文件与纸质投标文件不一致的，以系统电子投标文件为准。 2、定标环节采购人有权对响应文件承诺响应的内容进行复核，如有虚假响应，一经发现，取消成交资格并上报财政主管部门，列入政府采购黑名单。</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资格响应表</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医疗器械经营许可证或医疗器械经营备案证</w:t>
            </w:r>
          </w:p>
        </w:tc>
        <w:tc>
          <w:tcPr>
            <w:tcW w:type="dxa" w:w="3322"/>
          </w:tcPr>
          <w:p>
            <w:pPr>
              <w:pStyle w:val="null3"/>
            </w:pPr>
            <w:r>
              <w:rPr/>
              <w:t>出具供应商医疗器械经营许可证或医疗器械经营备案证</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生产厂家的医疗器械生产许可证或医疗器械生产备案证</w:t>
            </w:r>
          </w:p>
        </w:tc>
        <w:tc>
          <w:tcPr>
            <w:tcW w:type="dxa" w:w="3322"/>
          </w:tcPr>
          <w:p>
            <w:pPr>
              <w:pStyle w:val="null3"/>
            </w:pPr>
            <w:r>
              <w:rPr/>
              <w:t>出具生产厂家的医疗器械生产许可证或医疗器械生产备案证</w:t>
            </w:r>
          </w:p>
        </w:tc>
        <w:tc>
          <w:tcPr>
            <w:tcW w:type="dxa" w:w="1661"/>
          </w:tcPr>
          <w:p>
            <w:pPr>
              <w:pStyle w:val="null3"/>
            </w:pPr>
            <w:r>
              <w:rPr/>
              <w:t>资格响应表</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出具所投产品医疗器械注册证或医疗器械备案凭证</w:t>
            </w:r>
          </w:p>
        </w:tc>
        <w:tc>
          <w:tcPr>
            <w:tcW w:type="dxa" w:w="1661"/>
          </w:tcPr>
          <w:p>
            <w:pPr>
              <w:pStyle w:val="null3"/>
            </w:pPr>
            <w:r>
              <w:rPr/>
              <w:t>资格响应表</w:t>
            </w:r>
          </w:p>
        </w:tc>
      </w:tr>
      <w:tr>
        <w:tc>
          <w:tcPr>
            <w:tcW w:type="dxa" w:w="831"/>
          </w:tcPr>
          <w:p>
            <w:pPr>
              <w:pStyle w:val="null3"/>
            </w:pPr>
            <w:r>
              <w:rPr/>
              <w:t>5</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医疗器械经营许可证或医疗器械经营备案证</w:t>
            </w:r>
          </w:p>
        </w:tc>
        <w:tc>
          <w:tcPr>
            <w:tcW w:type="dxa" w:w="3322"/>
          </w:tcPr>
          <w:p>
            <w:pPr>
              <w:pStyle w:val="null3"/>
            </w:pPr>
            <w:r>
              <w:rPr/>
              <w:t>出具供应商医疗器械经营许可证或医疗器械经营备案证</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生产厂家的医疗器械生产许可证或医疗器械生产备案证</w:t>
            </w:r>
          </w:p>
        </w:tc>
        <w:tc>
          <w:tcPr>
            <w:tcW w:type="dxa" w:w="3322"/>
          </w:tcPr>
          <w:p>
            <w:pPr>
              <w:pStyle w:val="null3"/>
            </w:pPr>
            <w:r>
              <w:rPr/>
              <w:t>出具生产厂家的医疗器械生产许可证或医疗器械生产备案证</w:t>
            </w:r>
          </w:p>
        </w:tc>
        <w:tc>
          <w:tcPr>
            <w:tcW w:type="dxa" w:w="1661"/>
          </w:tcPr>
          <w:p>
            <w:pPr>
              <w:pStyle w:val="null3"/>
            </w:pPr>
            <w:r>
              <w:rPr/>
              <w:t>资格响应表</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出具所投产品医疗器械注册证或医疗器械备案凭证</w:t>
            </w:r>
          </w:p>
        </w:tc>
        <w:tc>
          <w:tcPr>
            <w:tcW w:type="dxa" w:w="1661"/>
          </w:tcPr>
          <w:p>
            <w:pPr>
              <w:pStyle w:val="null3"/>
            </w:pPr>
            <w:r>
              <w:rPr/>
              <w:t>资格响应表</w:t>
            </w:r>
          </w:p>
        </w:tc>
      </w:tr>
      <w:tr>
        <w:tc>
          <w:tcPr>
            <w:tcW w:type="dxa" w:w="831"/>
          </w:tcPr>
          <w:p>
            <w:pPr>
              <w:pStyle w:val="null3"/>
            </w:pPr>
            <w:r>
              <w:rPr/>
              <w:t>5</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医疗器械经营许可证或医疗器械经营备案证</w:t>
            </w:r>
          </w:p>
        </w:tc>
        <w:tc>
          <w:tcPr>
            <w:tcW w:type="dxa" w:w="3322"/>
          </w:tcPr>
          <w:p>
            <w:pPr>
              <w:pStyle w:val="null3"/>
            </w:pPr>
            <w:r>
              <w:rPr/>
              <w:t>出具供应商医疗器械经营许可证或医疗器械经营备案证</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生产厂家的医疗器械生产许可证或医疗器械生产备案证</w:t>
            </w:r>
          </w:p>
        </w:tc>
        <w:tc>
          <w:tcPr>
            <w:tcW w:type="dxa" w:w="3322"/>
          </w:tcPr>
          <w:p>
            <w:pPr>
              <w:pStyle w:val="null3"/>
            </w:pPr>
            <w:r>
              <w:rPr/>
              <w:t>出具生产厂家的医疗器械生产许可证或医疗器械生产备案证</w:t>
            </w:r>
          </w:p>
        </w:tc>
        <w:tc>
          <w:tcPr>
            <w:tcW w:type="dxa" w:w="1661"/>
          </w:tcPr>
          <w:p>
            <w:pPr>
              <w:pStyle w:val="null3"/>
            </w:pPr>
            <w:r>
              <w:rPr/>
              <w:t>资格响应表</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出具所投产品医疗器械注册证或医疗器械备案凭证</w:t>
            </w:r>
          </w:p>
        </w:tc>
        <w:tc>
          <w:tcPr>
            <w:tcW w:type="dxa" w:w="1661"/>
          </w:tcPr>
          <w:p>
            <w:pPr>
              <w:pStyle w:val="null3"/>
            </w:pPr>
            <w:r>
              <w:rPr/>
              <w:t>资格响应表</w:t>
            </w:r>
          </w:p>
        </w:tc>
      </w:tr>
      <w:tr>
        <w:tc>
          <w:tcPr>
            <w:tcW w:type="dxa" w:w="831"/>
          </w:tcPr>
          <w:p>
            <w:pPr>
              <w:pStyle w:val="null3"/>
            </w:pPr>
            <w:r>
              <w:rPr/>
              <w:t>5</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授权委托书</w:t>
            </w:r>
          </w:p>
        </w:tc>
        <w:tc>
          <w:tcPr>
            <w:tcW w:type="dxa" w:w="3322"/>
          </w:tcPr>
          <w:p>
            <w:pPr>
              <w:pStyle w:val="null3"/>
            </w:pPr>
            <w:r>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t>资格响应表</w:t>
            </w:r>
          </w:p>
        </w:tc>
      </w:tr>
      <w:tr>
        <w:tc>
          <w:tcPr>
            <w:tcW w:type="dxa" w:w="831"/>
          </w:tcPr>
          <w:p>
            <w:pPr>
              <w:pStyle w:val="null3"/>
            </w:pPr>
            <w:r>
              <w:rPr/>
              <w:t>2</w:t>
            </w:r>
          </w:p>
        </w:tc>
        <w:tc>
          <w:tcPr>
            <w:tcW w:type="dxa" w:w="2492"/>
          </w:tcPr>
          <w:p>
            <w:pPr>
              <w:pStyle w:val="null3"/>
            </w:pPr>
            <w:r>
              <w:rPr/>
              <w:t>医疗器械经营许可证或医疗器械经营备案证</w:t>
            </w:r>
          </w:p>
        </w:tc>
        <w:tc>
          <w:tcPr>
            <w:tcW w:type="dxa" w:w="3322"/>
          </w:tcPr>
          <w:p>
            <w:pPr>
              <w:pStyle w:val="null3"/>
            </w:pPr>
            <w:r>
              <w:rPr/>
              <w:t>出具供应商医疗器械经营许可证或医疗器械经营备案证</w:t>
            </w:r>
          </w:p>
        </w:tc>
        <w:tc>
          <w:tcPr>
            <w:tcW w:type="dxa" w:w="1661"/>
          </w:tcPr>
          <w:p>
            <w:pPr>
              <w:pStyle w:val="null3"/>
            </w:pPr>
            <w:r>
              <w:rPr/>
              <w:t>资格响应表</w:t>
            </w:r>
          </w:p>
        </w:tc>
      </w:tr>
      <w:tr>
        <w:tc>
          <w:tcPr>
            <w:tcW w:type="dxa" w:w="831"/>
          </w:tcPr>
          <w:p>
            <w:pPr>
              <w:pStyle w:val="null3"/>
            </w:pPr>
            <w:r>
              <w:rPr/>
              <w:t>3</w:t>
            </w:r>
          </w:p>
        </w:tc>
        <w:tc>
          <w:tcPr>
            <w:tcW w:type="dxa" w:w="2492"/>
          </w:tcPr>
          <w:p>
            <w:pPr>
              <w:pStyle w:val="null3"/>
            </w:pPr>
            <w:r>
              <w:rPr/>
              <w:t>生产厂家的医疗器械生产许可证或医疗器械生产备案证</w:t>
            </w:r>
          </w:p>
        </w:tc>
        <w:tc>
          <w:tcPr>
            <w:tcW w:type="dxa" w:w="3322"/>
          </w:tcPr>
          <w:p>
            <w:pPr>
              <w:pStyle w:val="null3"/>
            </w:pPr>
            <w:r>
              <w:rPr/>
              <w:t>出具生产厂家的医疗器械生产许可证或医疗器械生产备案证</w:t>
            </w:r>
          </w:p>
        </w:tc>
        <w:tc>
          <w:tcPr>
            <w:tcW w:type="dxa" w:w="1661"/>
          </w:tcPr>
          <w:p>
            <w:pPr>
              <w:pStyle w:val="null3"/>
            </w:pPr>
            <w:r>
              <w:rPr/>
              <w:t>资格响应表</w:t>
            </w:r>
          </w:p>
        </w:tc>
      </w:tr>
      <w:tr>
        <w:tc>
          <w:tcPr>
            <w:tcW w:type="dxa" w:w="831"/>
          </w:tcPr>
          <w:p>
            <w:pPr>
              <w:pStyle w:val="null3"/>
            </w:pPr>
            <w:r>
              <w:rPr/>
              <w:t>4</w:t>
            </w:r>
          </w:p>
        </w:tc>
        <w:tc>
          <w:tcPr>
            <w:tcW w:type="dxa" w:w="2492"/>
          </w:tcPr>
          <w:p>
            <w:pPr>
              <w:pStyle w:val="null3"/>
            </w:pPr>
            <w:r>
              <w:rPr/>
              <w:t>所投产品医疗器械注册证或医疗器械备案凭证</w:t>
            </w:r>
          </w:p>
        </w:tc>
        <w:tc>
          <w:tcPr>
            <w:tcW w:type="dxa" w:w="3322"/>
          </w:tcPr>
          <w:p>
            <w:pPr>
              <w:pStyle w:val="null3"/>
            </w:pPr>
            <w:r>
              <w:rPr/>
              <w:t>出具所投产品医疗器械注册证或医疗器械备案凭证</w:t>
            </w:r>
          </w:p>
        </w:tc>
        <w:tc>
          <w:tcPr>
            <w:tcW w:type="dxa" w:w="1661"/>
          </w:tcPr>
          <w:p>
            <w:pPr>
              <w:pStyle w:val="null3"/>
            </w:pPr>
            <w:r>
              <w:rPr/>
              <w:t>资格响应表</w:t>
            </w:r>
          </w:p>
        </w:tc>
      </w:tr>
      <w:tr>
        <w:tc>
          <w:tcPr>
            <w:tcW w:type="dxa" w:w="831"/>
          </w:tcPr>
          <w:p>
            <w:pPr>
              <w:pStyle w:val="null3"/>
            </w:pPr>
            <w:r>
              <w:rPr/>
              <w:t>5</w:t>
            </w:r>
          </w:p>
        </w:tc>
        <w:tc>
          <w:tcPr>
            <w:tcW w:type="dxa" w:w="2492"/>
          </w:tcPr>
          <w:p>
            <w:pPr>
              <w:pStyle w:val="null3"/>
            </w:pPr>
            <w:r>
              <w:rPr/>
              <w:t>本项目不接受联合体投标</w:t>
            </w:r>
          </w:p>
        </w:tc>
        <w:tc>
          <w:tcPr>
            <w:tcW w:type="dxa" w:w="3322"/>
          </w:tcPr>
          <w:p>
            <w:pPr>
              <w:pStyle w:val="null3"/>
            </w:pPr>
            <w:r>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t>资格响应表</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合同签订后一个月内到货</w:t>
            </w:r>
          </w:p>
        </w:tc>
        <w:tc>
          <w:tcPr>
            <w:tcW w:type="dxa" w:w="1661"/>
          </w:tcPr>
          <w:p>
            <w:pPr>
              <w:pStyle w:val="null3"/>
            </w:pPr>
            <w:r>
              <w:rPr/>
              <w:t>商务偏离表 报价表及分项报价表</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免费安装、调试、培训正常运行并验收合格之日起：免费保修12 个月，终身提供维护服务，12小时内响应。</w:t>
            </w:r>
          </w:p>
        </w:tc>
        <w:tc>
          <w:tcPr>
            <w:tcW w:type="dxa" w:w="1661"/>
          </w:tcPr>
          <w:p>
            <w:pPr>
              <w:pStyle w:val="null3"/>
            </w:pPr>
            <w:r>
              <w:rPr/>
              <w:t>商务偏离表 报价表及分项报价表</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所有货物全部运到甲方指定地方，安装完毕经终验合格并交付最终用户正常使用后，无质量问题、索赔、争议及其它纠纷的情况下，乙方提交付款申请、《验收合格单》原件和全额正式增值税发票 ，达到付款条件起 30 日内，支付合同总金额的 100.00%</w:t>
            </w:r>
          </w:p>
        </w:tc>
        <w:tc>
          <w:tcPr>
            <w:tcW w:type="dxa" w:w="1661"/>
          </w:tcPr>
          <w:p>
            <w:pPr>
              <w:pStyle w:val="null3"/>
            </w:pPr>
            <w:r>
              <w:rPr/>
              <w:t>商务偏离表 报价表及分项报价表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 商务偏离表</w:t>
            </w:r>
          </w:p>
        </w:tc>
      </w:tr>
      <w:tr>
        <w:tc>
          <w:tcPr>
            <w:tcW w:type="dxa" w:w="831"/>
          </w:tcPr>
          <w:p>
            <w:pPr>
              <w:pStyle w:val="null3"/>
            </w:pPr>
            <w:r>
              <w:rPr/>
              <w:t>6</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投标函 商务偏离表 投标文件封面 报价表及分项报价表</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合同签订后一个月内到货</w:t>
            </w:r>
          </w:p>
        </w:tc>
        <w:tc>
          <w:tcPr>
            <w:tcW w:type="dxa" w:w="1661"/>
          </w:tcPr>
          <w:p>
            <w:pPr>
              <w:pStyle w:val="null3"/>
            </w:pPr>
            <w:r>
              <w:rPr/>
              <w:t>商务偏离表 报价表及分项报价表</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免费安装、调试、培训正常运行并验收合格之日起：免费保修12 个月，终身提供维护服务，12小时内响应。</w:t>
            </w:r>
          </w:p>
        </w:tc>
        <w:tc>
          <w:tcPr>
            <w:tcW w:type="dxa" w:w="1661"/>
          </w:tcPr>
          <w:p>
            <w:pPr>
              <w:pStyle w:val="null3"/>
            </w:pPr>
            <w:r>
              <w:rPr/>
              <w:t>商务偏离表 报价表及分项报价表</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所有货物全部运到甲方指定地方，安装完毕经终验合格并交付最终用户正常使用后，无质量问题、索赔、争议及其它纠纷的情况下，乙方提交付款申请、《验收合格单》原件和全额正式增值税发票 ，达到付款条件起 30 日内，支付合同总金额的 100.00%</w:t>
            </w:r>
          </w:p>
        </w:tc>
        <w:tc>
          <w:tcPr>
            <w:tcW w:type="dxa" w:w="1661"/>
          </w:tcPr>
          <w:p>
            <w:pPr>
              <w:pStyle w:val="null3"/>
            </w:pPr>
            <w:r>
              <w:rPr/>
              <w:t>商务偏离表 报价表及分项报价表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 商务偏离表</w:t>
            </w:r>
          </w:p>
        </w:tc>
      </w:tr>
      <w:tr>
        <w:tc>
          <w:tcPr>
            <w:tcW w:type="dxa" w:w="831"/>
          </w:tcPr>
          <w:p>
            <w:pPr>
              <w:pStyle w:val="null3"/>
            </w:pPr>
            <w:r>
              <w:rPr/>
              <w:t>6</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投标函 商务偏离表 投标文件封面 报价表及分项报价表</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合同签订后一个月内到货</w:t>
            </w:r>
          </w:p>
        </w:tc>
        <w:tc>
          <w:tcPr>
            <w:tcW w:type="dxa" w:w="1661"/>
          </w:tcPr>
          <w:p>
            <w:pPr>
              <w:pStyle w:val="null3"/>
            </w:pPr>
            <w:r>
              <w:rPr/>
              <w:t>商务偏离表 报价表及分项报价表</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免费安装、调试、培训正常运行并验收合格之日起：免费保修12 个月，终身提供维护服务，12小时内响应。</w:t>
            </w:r>
          </w:p>
        </w:tc>
        <w:tc>
          <w:tcPr>
            <w:tcW w:type="dxa" w:w="1661"/>
          </w:tcPr>
          <w:p>
            <w:pPr>
              <w:pStyle w:val="null3"/>
            </w:pPr>
            <w:r>
              <w:rPr/>
              <w:t>商务偏离表 报价表及分项报价表</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所有货物全部运到甲方指定地方，安装完毕经终验合格并交付最终用户正常使用后，无质量问题、索赔、争议及其它纠纷的情况下，乙方提交付款申请、《验收合格单》原件和全额正式增值税发票 ，达到付款条件起 30 日内，支付合同总金额的 100.00%</w:t>
            </w:r>
          </w:p>
        </w:tc>
        <w:tc>
          <w:tcPr>
            <w:tcW w:type="dxa" w:w="1661"/>
          </w:tcPr>
          <w:p>
            <w:pPr>
              <w:pStyle w:val="null3"/>
            </w:pPr>
            <w:r>
              <w:rPr/>
              <w:t>商务偏离表 报价表及分项报价表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 商务偏离表</w:t>
            </w:r>
          </w:p>
        </w:tc>
      </w:tr>
      <w:tr>
        <w:tc>
          <w:tcPr>
            <w:tcW w:type="dxa" w:w="831"/>
          </w:tcPr>
          <w:p>
            <w:pPr>
              <w:pStyle w:val="null3"/>
            </w:pPr>
            <w:r>
              <w:rPr/>
              <w:t>6</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投标函 商务偏离表 投标文件封面 报价表及分项报价表</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交货期</w:t>
            </w:r>
          </w:p>
        </w:tc>
        <w:tc>
          <w:tcPr>
            <w:tcW w:type="dxa" w:w="3322"/>
          </w:tcPr>
          <w:p>
            <w:pPr>
              <w:pStyle w:val="null3"/>
            </w:pPr>
            <w:r>
              <w:rPr/>
              <w:t>合同签订后一个月内到货</w:t>
            </w:r>
          </w:p>
        </w:tc>
        <w:tc>
          <w:tcPr>
            <w:tcW w:type="dxa" w:w="1661"/>
          </w:tcPr>
          <w:p>
            <w:pPr>
              <w:pStyle w:val="null3"/>
            </w:pPr>
            <w:r>
              <w:rPr/>
              <w:t>商务偏离表 报价表及分项报价表</w:t>
            </w:r>
          </w:p>
        </w:tc>
      </w:tr>
      <w:tr>
        <w:tc>
          <w:tcPr>
            <w:tcW w:type="dxa" w:w="831"/>
          </w:tcPr>
          <w:p>
            <w:pPr>
              <w:pStyle w:val="null3"/>
            </w:pPr>
            <w:r>
              <w:rPr/>
              <w:t>3</w:t>
            </w:r>
          </w:p>
        </w:tc>
        <w:tc>
          <w:tcPr>
            <w:tcW w:type="dxa" w:w="2492"/>
          </w:tcPr>
          <w:p>
            <w:pPr>
              <w:pStyle w:val="null3"/>
            </w:pPr>
            <w:r>
              <w:rPr/>
              <w:t>质保期</w:t>
            </w:r>
          </w:p>
        </w:tc>
        <w:tc>
          <w:tcPr>
            <w:tcW w:type="dxa" w:w="3322"/>
          </w:tcPr>
          <w:p>
            <w:pPr>
              <w:pStyle w:val="null3"/>
            </w:pPr>
            <w:r>
              <w:rPr/>
              <w:t>免费安装、调试、培训正常运行并验收合格之日起：免费保修期至少三年，终身提供维护服务，12小时内响应。</w:t>
            </w:r>
          </w:p>
        </w:tc>
        <w:tc>
          <w:tcPr>
            <w:tcW w:type="dxa" w:w="1661"/>
          </w:tcPr>
          <w:p>
            <w:pPr>
              <w:pStyle w:val="null3"/>
            </w:pPr>
            <w:r>
              <w:rPr/>
              <w:t>商务偏离表 报价表及分项报价表</w:t>
            </w:r>
          </w:p>
        </w:tc>
      </w:tr>
      <w:tr>
        <w:tc>
          <w:tcPr>
            <w:tcW w:type="dxa" w:w="831"/>
          </w:tcPr>
          <w:p>
            <w:pPr>
              <w:pStyle w:val="null3"/>
            </w:pPr>
            <w:r>
              <w:rPr/>
              <w:t>4</w:t>
            </w:r>
          </w:p>
        </w:tc>
        <w:tc>
          <w:tcPr>
            <w:tcW w:type="dxa" w:w="2492"/>
          </w:tcPr>
          <w:p>
            <w:pPr>
              <w:pStyle w:val="null3"/>
            </w:pPr>
            <w:r>
              <w:rPr/>
              <w:t>付款方式</w:t>
            </w:r>
          </w:p>
        </w:tc>
        <w:tc>
          <w:tcPr>
            <w:tcW w:type="dxa" w:w="3322"/>
          </w:tcPr>
          <w:p>
            <w:pPr>
              <w:pStyle w:val="null3"/>
            </w:pPr>
            <w:r>
              <w:rPr/>
              <w:t>所有货物全部运到甲方指定地方，安装完毕经终验合格并交付最终用户正常使用后，无质量问题、索赔、争议及其它纠纷的情况下，乙方提交付款申请、《验收合格单》原件和全额正式增值税发票 ，达到付款条件起 30 日内，支付合同总金额的 100.00%</w:t>
            </w:r>
          </w:p>
        </w:tc>
        <w:tc>
          <w:tcPr>
            <w:tcW w:type="dxa" w:w="1661"/>
          </w:tcPr>
          <w:p>
            <w:pPr>
              <w:pStyle w:val="null3"/>
            </w:pPr>
            <w:r>
              <w:rPr/>
              <w:t>商务偏离表 报价表及分项报价表</w:t>
            </w:r>
          </w:p>
        </w:tc>
      </w:tr>
      <w:tr>
        <w:tc>
          <w:tcPr>
            <w:tcW w:type="dxa" w:w="831"/>
          </w:tcPr>
          <w:p>
            <w:pPr>
              <w:pStyle w:val="null3"/>
            </w:pPr>
            <w:r>
              <w:rPr/>
              <w:t>5</w:t>
            </w:r>
          </w:p>
        </w:tc>
        <w:tc>
          <w:tcPr>
            <w:tcW w:type="dxa" w:w="2492"/>
          </w:tcPr>
          <w:p>
            <w:pPr>
              <w:pStyle w:val="null3"/>
            </w:pPr>
            <w:r>
              <w:rPr/>
              <w:t>投标有效期</w:t>
            </w:r>
          </w:p>
        </w:tc>
        <w:tc>
          <w:tcPr>
            <w:tcW w:type="dxa" w:w="3322"/>
          </w:tcPr>
          <w:p>
            <w:pPr>
              <w:pStyle w:val="null3"/>
            </w:pPr>
            <w:r>
              <w:rPr/>
              <w:t>90天</w:t>
            </w:r>
          </w:p>
        </w:tc>
        <w:tc>
          <w:tcPr>
            <w:tcW w:type="dxa" w:w="1661"/>
          </w:tcPr>
          <w:p>
            <w:pPr>
              <w:pStyle w:val="null3"/>
            </w:pPr>
            <w:r>
              <w:rPr/>
              <w:t>投标函 商务偏离表</w:t>
            </w:r>
          </w:p>
        </w:tc>
      </w:tr>
      <w:tr>
        <w:tc>
          <w:tcPr>
            <w:tcW w:type="dxa" w:w="831"/>
          </w:tcPr>
          <w:p>
            <w:pPr>
              <w:pStyle w:val="null3"/>
            </w:pPr>
            <w:r>
              <w:rPr/>
              <w:t>6</w:t>
            </w:r>
          </w:p>
        </w:tc>
        <w:tc>
          <w:tcPr>
            <w:tcW w:type="dxa" w:w="2492"/>
          </w:tcPr>
          <w:p>
            <w:pPr>
              <w:pStyle w:val="null3"/>
            </w:pPr>
            <w:r>
              <w:rPr/>
              <w:t>供应商有法律、规章、规范性文件和招标文件规定的其他无效情形，按无效响应处理。</w:t>
            </w:r>
          </w:p>
        </w:tc>
        <w:tc>
          <w:tcPr>
            <w:tcW w:type="dxa" w:w="3322"/>
          </w:tcPr>
          <w:p>
            <w:pPr>
              <w:pStyle w:val="null3"/>
            </w:pPr>
            <w:r>
              <w:rPr/>
              <w:t>供应商有法律、规章、规范性文件和招标文件规定的其他无效情形，按无效响应处理。</w:t>
            </w:r>
          </w:p>
        </w:tc>
        <w:tc>
          <w:tcPr>
            <w:tcW w:type="dxa" w:w="1661"/>
          </w:tcPr>
          <w:p>
            <w:pPr>
              <w:pStyle w:val="null3"/>
            </w:pPr>
            <w:r>
              <w:rPr/>
              <w:t>投标函 商务偏离表 投标文件封面 报价表及分项报价表</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采购包2：</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采购包3：</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t>采购包4：</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投标产品的技术指标评审</w:t>
            </w:r>
          </w:p>
        </w:tc>
        <w:tc>
          <w:tcPr>
            <w:tcW w:type="dxa" w:w="2492"/>
          </w:tcPr>
          <w:p>
            <w:pPr>
              <w:pStyle w:val="null3"/>
            </w:pPr>
            <w:r>
              <w:rPr/>
              <w:t>投标产品的技术指标评审：技术参数规格明确，满足采购人应用的需求，对每个设备都进行明确响应，满足招标文件要求得20分。▲号项参数指标有一项负偏离扣2分，非▲号项参数指标有一项负偏离扣1分，扣完为止，不计负分。加注“▲”号的主要参数须提供技术支持资料，技术支持资料指制造商公开发布的印刷资料（技术白皮书、图片等技术标准资料）或检测机构出具的检测报告或技术说明书等，未提供有效支持依据的可按负偏离处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规格、技术参数偏离表</w:t>
            </w:r>
          </w:p>
        </w:tc>
      </w:tr>
      <w:tr>
        <w:tc>
          <w:tcPr>
            <w:tcW w:type="dxa" w:w="831"/>
            <w:vMerge/>
          </w:tcPr>
          <w:p/>
        </w:tc>
        <w:tc>
          <w:tcPr>
            <w:tcW w:type="dxa" w:w="1661"/>
          </w:tcPr>
          <w:p>
            <w:pPr>
              <w:pStyle w:val="null3"/>
            </w:pPr>
            <w:r>
              <w:rPr/>
              <w:t>投标产品技术响应的规范性</w:t>
            </w:r>
          </w:p>
        </w:tc>
        <w:tc>
          <w:tcPr>
            <w:tcW w:type="dxa" w:w="2492"/>
          </w:tcPr>
          <w:p>
            <w:pPr>
              <w:pStyle w:val="null3"/>
            </w:pPr>
            <w:r>
              <w:rPr/>
              <w:t>所投产品的响应的规范性： （1）技术参规范、可行度数逐条明确响应，完整详细、科学高的得7分； （2）技术响应完整、规范、基本可行的得5分； （3）技术响应内容有3处以上缺陷或完全拷贝参数要求未进行细化响应的得2分； （4）未响应不得分。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规格、技术参数偏离表</w:t>
            </w:r>
          </w:p>
          <w:p>
            <w:pPr>
              <w:pStyle w:val="null3"/>
            </w:pPr>
            <w:r>
              <w:rPr/>
              <w:t>实施方案及质量保证</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包括但不限于1、供货组织安排、安装、检测、调试措施；2、实施步骤、进度计划和保证措施；3、安全控制方案及质量措施；4、组织机构人员配置、协调能力；5、验收方案等。方案各项内容全面详细、阐述条理清晰详尽、符合本项目采购需求、平台技术先进，功能配置合理，能有效保障本项目实施的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质量保证</w:t>
            </w:r>
          </w:p>
        </w:tc>
        <w:tc>
          <w:tcPr>
            <w:tcW w:type="dxa" w:w="2492"/>
          </w:tcPr>
          <w:p>
            <w:pPr>
              <w:pStyle w:val="null3"/>
            </w:pPr>
            <w:r>
              <w:rPr/>
              <w:t>根据所投产品技术先进性、性能稳定性、质量可靠性等方面进行评审： 包括但不限于：1、投标产品精度、性能能满足相应使用的要求；为市场较新或最新产品；2、投标产品的操作便利，符合人体工程学，使用适宜度高，经培训后易上手；3、投标产品备品备件储备齐全，维修及更换频次较低；4、投标产品操纵和控制系统功能完整，界面布局简洁，清楚，逻辑明确；5、设备的安全防护措施完善，安全可靠性高。 以上各项内容全面明确、阐述条理清晰得10分，每有一个缺项扣2分，每有一处内容存在缺陷，扣0.5分，扣完为止。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质量控制措施</w:t>
            </w:r>
          </w:p>
        </w:tc>
        <w:tc>
          <w:tcPr>
            <w:tcW w:type="dxa" w:w="2492"/>
          </w:tcPr>
          <w:p>
            <w:pPr>
              <w:pStyle w:val="null3"/>
            </w:pPr>
            <w:r>
              <w:rPr/>
              <w:t>供应商提供质量控制措施及产品来源渠道证明资料。 1、质量控制方法和措施、流程，控制重点思路清晰明确，产品来源渠道证明材料齐全得4分； 2、质量控制方法和措施、流程，控制重点存在优化空间，产品来源渠道证明材料齐全得3分； 3、质量控制措施内容无针对性，有缺陷，产品来源渠道证明材料不齐的得2分； 4、质量控制措施内容无针对性，有缺陷得1分； 5、未提供不得分。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售后服务1</w:t>
            </w:r>
          </w:p>
        </w:tc>
        <w:tc>
          <w:tcPr>
            <w:tcW w:type="dxa" w:w="2492"/>
          </w:tcPr>
          <w:p>
            <w:pPr>
              <w:pStyle w:val="null3"/>
            </w:pPr>
            <w:r>
              <w:rPr/>
              <w:t>具有相应的物力、人力保障，能够保证日常的现场走访，给予检查维护，提供详细的维护计划及承诺，得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售后服务2</w:t>
            </w:r>
          </w:p>
        </w:tc>
        <w:tc>
          <w:tcPr>
            <w:tcW w:type="dxa" w:w="2492"/>
          </w:tcPr>
          <w:p>
            <w:pPr>
              <w:pStyle w:val="null3"/>
            </w:pPr>
            <w:r>
              <w:rPr/>
              <w:t>具有详细的在设备发生不同类型故障后的到达现场时间、解决故障时间、补救措施等方案，同时具有明确的承诺且符合实际需求，得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培训方案</w:t>
            </w:r>
          </w:p>
        </w:tc>
        <w:tc>
          <w:tcPr>
            <w:tcW w:type="dxa" w:w="2492"/>
          </w:tcPr>
          <w:p>
            <w:pPr>
              <w:pStyle w:val="null3"/>
            </w:pPr>
            <w:r>
              <w:rPr/>
              <w:t>针对本项目具有详细可行的技术培训方案，培训采购人指定的技术人员和管理人员，制定培训课程计划表，培训内容应包括仪器原理，仪器操作，保养维修等技术。方案详细、科学完善计 3 分；方案简单但基本可行计 2 分；方案有缺项、可实施性较差计 1 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业绩</w:t>
            </w:r>
          </w:p>
        </w:tc>
        <w:tc>
          <w:tcPr>
            <w:tcW w:type="dxa" w:w="2492"/>
          </w:tcPr>
          <w:p>
            <w:pPr>
              <w:pStyle w:val="null3"/>
            </w:pPr>
            <w:r>
              <w:rPr/>
              <w:t>供应商自2021年1月1日以来所投任一产品业绩，每提供1个得2分，共10分。（以合同签订时间为准）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投标产品的技术指标评审</w:t>
            </w:r>
          </w:p>
        </w:tc>
        <w:tc>
          <w:tcPr>
            <w:tcW w:type="dxa" w:w="2492"/>
          </w:tcPr>
          <w:p>
            <w:pPr>
              <w:pStyle w:val="null3"/>
            </w:pPr>
            <w:r>
              <w:rPr/>
              <w:t>投标产品的技术指标评审：技术参数规格明确，满足采购人应用的需求，对每个设备都进行明确响应，满足招标文件要求得20分。参数指标有一项负偏离扣1分，扣完为止，不计负分。根据供应商填写的“规格、技术参数偏离表”进行评审。</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规格、技术参数偏离表</w:t>
            </w:r>
          </w:p>
        </w:tc>
      </w:tr>
      <w:tr>
        <w:tc>
          <w:tcPr>
            <w:tcW w:type="dxa" w:w="831"/>
            <w:vMerge/>
          </w:tcPr>
          <w:p/>
        </w:tc>
        <w:tc>
          <w:tcPr>
            <w:tcW w:type="dxa" w:w="1661"/>
          </w:tcPr>
          <w:p>
            <w:pPr>
              <w:pStyle w:val="null3"/>
            </w:pPr>
            <w:r>
              <w:rPr/>
              <w:t>投标产品技术响应的规范性</w:t>
            </w:r>
          </w:p>
        </w:tc>
        <w:tc>
          <w:tcPr>
            <w:tcW w:type="dxa" w:w="2492"/>
          </w:tcPr>
          <w:p>
            <w:pPr>
              <w:pStyle w:val="null3"/>
            </w:pPr>
            <w:r>
              <w:rPr/>
              <w:t>所投产品的响应的规范性： （1）技术参数逐条明确响应，完整详细、科学规范、可行度高的得7分； （2）技术响应完整、规范、基本可行的得5分； （3）技术响应内容有3处以上缺陷或完全拷贝参数要求未进行细化响应的得2分； （4）未响应不得分。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规格、技术参数偏离表</w:t>
            </w:r>
          </w:p>
          <w:p>
            <w:pPr>
              <w:pStyle w:val="null3"/>
            </w:pPr>
            <w:r>
              <w:rPr/>
              <w:t>实施方案及质量保证</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包括但不限于1、供货组织安排、安装、检测、调试措施；2、实施步骤、进度计划和保证措施；3、安全控制方案及质量措施；4、组织机构人员配置、协调能力；5、验收方案等。方案各项内容全面详细、阐述条理清晰详尽、符合本项目采购需求、平台技术先进，功能配置合理，能有效保障本项目实施的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质量保证</w:t>
            </w:r>
          </w:p>
        </w:tc>
        <w:tc>
          <w:tcPr>
            <w:tcW w:type="dxa" w:w="2492"/>
          </w:tcPr>
          <w:p>
            <w:pPr>
              <w:pStyle w:val="null3"/>
            </w:pPr>
            <w:r>
              <w:rPr/>
              <w:t>根据所投产品技术先进性、性能稳定性、质量可靠性等方面进行评审： 包括但不限于：1、投标产品精度、性能能满足相应使用的要求；为市场较新或最新产品；2、投标产品的操作便利，符合人体工程学，使用适宜度高，经培训后易上手；3、投标产品备品备件储备齐全，维修及更换频次较低；4、投标产品操纵和控制系统功能完整，界面布局简洁，清楚，逻辑明确；5、设备的安全防护措施完善，安全可靠性高。 以上各项内容全面明确、阐述条理清晰得10分，每有一个缺项扣2分，每有一处内容存在缺陷，扣0.5分，扣完为止。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质量控制措施</w:t>
            </w:r>
          </w:p>
        </w:tc>
        <w:tc>
          <w:tcPr>
            <w:tcW w:type="dxa" w:w="2492"/>
          </w:tcPr>
          <w:p>
            <w:pPr>
              <w:pStyle w:val="null3"/>
            </w:pPr>
            <w:r>
              <w:rPr/>
              <w:t>供应商提供质量控制措施及产品来源渠道证明资料。 1、质量控制方法和措施、流程，控制重点思路清晰明确，产品来源渠道证明材料齐全得4分； 2、质量控制方法和措施、流程，控制重点存在优化空间，产品来源渠道证明材料齐全得3分； 3、质量控制措施内容无针对性，有缺陷，产品来源渠道证明材料不齐的得2分； 4、质量控制措施内容无针对性，有缺陷得1分； 5、未提供不得分。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售后服务1</w:t>
            </w:r>
          </w:p>
        </w:tc>
        <w:tc>
          <w:tcPr>
            <w:tcW w:type="dxa" w:w="2492"/>
          </w:tcPr>
          <w:p>
            <w:pPr>
              <w:pStyle w:val="null3"/>
            </w:pPr>
            <w:r>
              <w:rPr/>
              <w:t>具有相应的物力、人力保障，能够保证日常的现场走访，给予检查维护，提供详细的维护计划及承诺，得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售后服务2</w:t>
            </w:r>
          </w:p>
        </w:tc>
        <w:tc>
          <w:tcPr>
            <w:tcW w:type="dxa" w:w="2492"/>
          </w:tcPr>
          <w:p>
            <w:pPr>
              <w:pStyle w:val="null3"/>
            </w:pPr>
            <w:r>
              <w:rPr/>
              <w:t>具有详细的在设备发生不同类型故障后的到达现场时间、解决故障时间、补救措施等方案，同时具有明确的承诺且符合实际需求，得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培训方案</w:t>
            </w:r>
          </w:p>
        </w:tc>
        <w:tc>
          <w:tcPr>
            <w:tcW w:type="dxa" w:w="2492"/>
          </w:tcPr>
          <w:p>
            <w:pPr>
              <w:pStyle w:val="null3"/>
            </w:pPr>
            <w:r>
              <w:rPr/>
              <w:t>针对本项目具有详细可行的技术培训方案，培训采购人指定的技术人员和管理人员，制定培训课程计划表，培训内容应包括仪器原理，仪器操作，保养维修等技术。方案详细、科学完善计 3 分；方案简单但基本可行计 2 分；方案有缺项、可实施性较差计 1 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业绩</w:t>
            </w:r>
          </w:p>
        </w:tc>
        <w:tc>
          <w:tcPr>
            <w:tcW w:type="dxa" w:w="2492"/>
          </w:tcPr>
          <w:p>
            <w:pPr>
              <w:pStyle w:val="null3"/>
            </w:pPr>
            <w:r>
              <w:rPr/>
              <w:t>供应商自2021年1月1日以来所投任一产品业绩，每提供1个得2分，共10分。（以合同签订时间为准）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投标产品的技术指标评审</w:t>
            </w:r>
          </w:p>
        </w:tc>
        <w:tc>
          <w:tcPr>
            <w:tcW w:type="dxa" w:w="2492"/>
          </w:tcPr>
          <w:p>
            <w:pPr>
              <w:pStyle w:val="null3"/>
            </w:pPr>
            <w:r>
              <w:rPr/>
              <w:t>投标产品的技术指标评审：技术参数规格明确，满足采购人应用的需求，对每个设备都进行明确响应，满足招标文件要求得20分。参数指标有一项负偏离扣2分，扣完为止，不计负分。根据供应商填写的“规格、技术参数偏离表”进行评审。</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规格、技术参数偏离表</w:t>
            </w:r>
          </w:p>
        </w:tc>
      </w:tr>
      <w:tr>
        <w:tc>
          <w:tcPr>
            <w:tcW w:type="dxa" w:w="831"/>
            <w:vMerge/>
          </w:tcPr>
          <w:p/>
        </w:tc>
        <w:tc>
          <w:tcPr>
            <w:tcW w:type="dxa" w:w="1661"/>
          </w:tcPr>
          <w:p>
            <w:pPr>
              <w:pStyle w:val="null3"/>
            </w:pPr>
            <w:r>
              <w:rPr/>
              <w:t>投标产品技术响应的规范性</w:t>
            </w:r>
          </w:p>
        </w:tc>
        <w:tc>
          <w:tcPr>
            <w:tcW w:type="dxa" w:w="2492"/>
          </w:tcPr>
          <w:p>
            <w:pPr>
              <w:pStyle w:val="null3"/>
            </w:pPr>
            <w:r>
              <w:rPr/>
              <w:t>所投产品的响应的规范性： （1）技术参数逐条明确响应，完整详细、科学规范、可行度高的得7分； （2）技术响应完整、规范、基本可行的得5分； （3）技术响应内容有3处以上缺陷或完全拷贝参数要求未进行细化响应的得2分； （4）未响应不得分。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规格、技术参数偏离表</w:t>
            </w:r>
          </w:p>
          <w:p>
            <w:pPr>
              <w:pStyle w:val="null3"/>
            </w:pPr>
            <w:r>
              <w:rPr/>
              <w:t>实施方案及质量保证</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包括但不限于1、供货组织安排、安装、检测、调试措施；2、实施步骤、进度计划和保证措施；3、安全控制方案及质量措施；4、组织机构人员配置、协调能力；5、验收方案等。方案各项内容全面详细、阐述条理清晰详尽、符合本项目采购需求、平台技术先进，功能配置合理，能有效保障本项目实施的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质量保证</w:t>
            </w:r>
          </w:p>
        </w:tc>
        <w:tc>
          <w:tcPr>
            <w:tcW w:type="dxa" w:w="2492"/>
          </w:tcPr>
          <w:p>
            <w:pPr>
              <w:pStyle w:val="null3"/>
            </w:pPr>
            <w:r>
              <w:rPr/>
              <w:t>根据所投产品技术先进性、性能稳定性、质量可靠性等方面进行评审： 包括但不限于：1、投标产品精度、性能能满足相应使用的要求；为市场较新或最新产品；2、投标产品的操作便利，符合人体工程学，使用适宜度高，经培训后易上手；3、投标产品备品备件储备齐全，维修及更换频次较低；4、投标产品操纵和控制系统功能完整，界面布局简洁，清楚，逻辑明确；5、设备的安全防护措施完善，安全可靠性高。 以上各项内容全面明确、阐述条理清晰得10分，每有一个缺项扣2分，每有一处内容存在缺陷，扣0.5分，扣完为止。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质量控制措施</w:t>
            </w:r>
          </w:p>
        </w:tc>
        <w:tc>
          <w:tcPr>
            <w:tcW w:type="dxa" w:w="2492"/>
          </w:tcPr>
          <w:p>
            <w:pPr>
              <w:pStyle w:val="null3"/>
            </w:pPr>
            <w:r>
              <w:rPr/>
              <w:t>供应商提供质量控制措施及产品来源渠道证明资料。 1、质量控制方法和措施、流程，控制重点思路清晰明确，产品来源渠道证明材料齐全得4分； 2、质量控制方法和措施、流程，控制重点存在优化空间，产品来源渠道证明材料齐全得3分； 3、质量控制措施内容无针对性，有缺陷，产品来源渠道证明材料不齐的得2分； 4、质量控制措施内容无针对性，有缺陷得1分； 5、未提供不得分。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售后服务1</w:t>
            </w:r>
          </w:p>
        </w:tc>
        <w:tc>
          <w:tcPr>
            <w:tcW w:type="dxa" w:w="2492"/>
          </w:tcPr>
          <w:p>
            <w:pPr>
              <w:pStyle w:val="null3"/>
            </w:pPr>
            <w:r>
              <w:rPr/>
              <w:t>具有相应的物力、人力保障，能够保证日常的现场走访，给予检查维护，提供详细的维护计划及承诺，得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售后服务2</w:t>
            </w:r>
          </w:p>
        </w:tc>
        <w:tc>
          <w:tcPr>
            <w:tcW w:type="dxa" w:w="2492"/>
          </w:tcPr>
          <w:p>
            <w:pPr>
              <w:pStyle w:val="null3"/>
            </w:pPr>
            <w:r>
              <w:rPr/>
              <w:t>具有详细的在设备发生不同类型故障后的到达现场时间、解决故障时间、补救措施等方案，同时具有明确的承诺且符合实际需求，得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培训方案</w:t>
            </w:r>
          </w:p>
        </w:tc>
        <w:tc>
          <w:tcPr>
            <w:tcW w:type="dxa" w:w="2492"/>
          </w:tcPr>
          <w:p>
            <w:pPr>
              <w:pStyle w:val="null3"/>
            </w:pPr>
            <w:r>
              <w:rPr/>
              <w:t>针对本项目具有详细可行的技术培训方案，培训采购人指定的技术人员和管理人员，制定培训课程计划表，培训内容应包括仪器原理，仪器操作，保养维修等技术。方案详细、科学完善计 3 分；方案简单但基本可行计 2 分；方案有缺项、可实施性较差计 1 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业绩</w:t>
            </w:r>
          </w:p>
        </w:tc>
        <w:tc>
          <w:tcPr>
            <w:tcW w:type="dxa" w:w="2492"/>
          </w:tcPr>
          <w:p>
            <w:pPr>
              <w:pStyle w:val="null3"/>
            </w:pPr>
            <w:r>
              <w:rPr/>
              <w:t>供应商自2021年1月1日以来所投产品业绩，每提供1个得2分，共10分。（以合同签订时间为准）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pPr>
      <w:r>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投标产品的技术指标评审</w:t>
            </w:r>
          </w:p>
        </w:tc>
        <w:tc>
          <w:tcPr>
            <w:tcW w:type="dxa" w:w="2492"/>
          </w:tcPr>
          <w:p>
            <w:pPr>
              <w:pStyle w:val="null3"/>
            </w:pPr>
            <w:r>
              <w:rPr/>
              <w:t>投标产品的技术指标评审：技术参数规格明确，满足采购人应用的需求，对每个设备都进行明确响应，满足招标文件要求得20分。参数指标有一项负偏离扣2分，扣完为止，不计负分。根据供应商填写的“规格、技术参数偏离表”进行评审。</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规格、技术参数偏离表</w:t>
            </w:r>
          </w:p>
        </w:tc>
      </w:tr>
      <w:tr>
        <w:tc>
          <w:tcPr>
            <w:tcW w:type="dxa" w:w="831"/>
            <w:vMerge/>
          </w:tcPr>
          <w:p/>
        </w:tc>
        <w:tc>
          <w:tcPr>
            <w:tcW w:type="dxa" w:w="1661"/>
          </w:tcPr>
          <w:p>
            <w:pPr>
              <w:pStyle w:val="null3"/>
            </w:pPr>
            <w:r>
              <w:rPr/>
              <w:t>投标产品技术响应的规范性</w:t>
            </w:r>
          </w:p>
        </w:tc>
        <w:tc>
          <w:tcPr>
            <w:tcW w:type="dxa" w:w="2492"/>
          </w:tcPr>
          <w:p>
            <w:pPr>
              <w:pStyle w:val="null3"/>
            </w:pPr>
            <w:r>
              <w:rPr/>
              <w:t>所投产品的响应的规范性： （1）技术参数逐条明确响应，完整详细、科学规范、可行度高的得7分； （2）技术响应完整、规范、基本可行的得5分； （3）技术响应内容有3处以上缺陷或完全拷贝参数要求未进行细化响应的得2分； （4）未响应不得分。</w:t>
            </w:r>
          </w:p>
        </w:tc>
        <w:tc>
          <w:tcPr>
            <w:tcW w:type="dxa" w:w="831"/>
          </w:tcPr>
          <w:p>
            <w:pPr>
              <w:pStyle w:val="null3"/>
              <w:jc w:val="right"/>
            </w:pPr>
            <w:r>
              <w:rPr/>
              <w:t>7.0000</w:t>
            </w:r>
          </w:p>
        </w:tc>
        <w:tc>
          <w:tcPr>
            <w:tcW w:type="dxa" w:w="831"/>
          </w:tcPr>
          <w:p>
            <w:pPr>
              <w:pStyle w:val="null3"/>
            </w:pPr>
            <w:r>
              <w:rPr/>
              <w:t>主观</w:t>
            </w:r>
          </w:p>
        </w:tc>
        <w:tc>
          <w:tcPr>
            <w:tcW w:type="dxa" w:w="1661"/>
          </w:tcPr>
          <w:p>
            <w:pPr>
              <w:pStyle w:val="null3"/>
            </w:pPr>
            <w:r>
              <w:rPr/>
              <w:t>实施方案及质量保证</w:t>
            </w:r>
          </w:p>
          <w:p>
            <w:pPr>
              <w:pStyle w:val="null3"/>
            </w:pPr>
            <w:r>
              <w:rPr/>
              <w:t>规格、技术参数偏离表</w:t>
            </w:r>
          </w:p>
        </w:tc>
      </w:tr>
      <w:tr>
        <w:tc>
          <w:tcPr>
            <w:tcW w:type="dxa" w:w="831"/>
            <w:vMerge/>
          </w:tcPr>
          <w:p/>
        </w:tc>
        <w:tc>
          <w:tcPr>
            <w:tcW w:type="dxa" w:w="1661"/>
          </w:tcPr>
          <w:p>
            <w:pPr>
              <w:pStyle w:val="null3"/>
            </w:pPr>
            <w:r>
              <w:rPr/>
              <w:t>实施方案</w:t>
            </w:r>
          </w:p>
        </w:tc>
        <w:tc>
          <w:tcPr>
            <w:tcW w:type="dxa" w:w="2492"/>
          </w:tcPr>
          <w:p>
            <w:pPr>
              <w:pStyle w:val="null3"/>
            </w:pPr>
            <w:r>
              <w:rPr/>
              <w:t>投标人提供针对本项目的实施方案，包括但不限于1、供货组织安排、安装、检测、调试措施；2、实施步骤、进度计划和保证措施；3、安全控制方案及质量措施；4、组织机构人员配置、协调能力；5、验收方案等。方案各项内容全面详细、阐述条理清晰详尽、符合本项目采购需求、平台技术先进，功能配置合理，能有效保障本项目实施的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质量保证</w:t>
            </w:r>
          </w:p>
        </w:tc>
        <w:tc>
          <w:tcPr>
            <w:tcW w:type="dxa" w:w="2492"/>
          </w:tcPr>
          <w:p>
            <w:pPr>
              <w:pStyle w:val="null3"/>
            </w:pPr>
            <w:r>
              <w:rPr/>
              <w:t>根据所投产品技术先进性、性能稳定性、质量可靠性等方面进行评审： 包括但不限于：（1）投标产品精度、性能能满足相应使用的要求；为市场较新或最新产品；（2）投标产品的操作便利，符合人体工程学，使用适宜度高，经培训后易上手；（3）投标产品备品备件储备齐全，维修及更换频次较低；（4）投标产品操纵和控制系统功能完整，界面布局简洁，清楚，逻辑明确；（5）设备的安全防护措施完善，安全可靠性高。 以上各项内容全面明确、阐述条理清晰得10分，每有一个缺项扣2分，每有一处内容存在缺陷，扣0.5分，扣完为止。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质量控制措施</w:t>
            </w:r>
          </w:p>
        </w:tc>
        <w:tc>
          <w:tcPr>
            <w:tcW w:type="dxa" w:w="2492"/>
          </w:tcPr>
          <w:p>
            <w:pPr>
              <w:pStyle w:val="null3"/>
            </w:pPr>
            <w:r>
              <w:rPr/>
              <w:t>供应商提供质量控制措施及产品来源渠道证明资料。 1、质量控制方法和措施、流程，控制重点思路清晰明确，产品来源渠道证明材料齐全得4分； 2、质量控制方法和措施、流程，控制重点存在优化空间，产品来源渠道证明材料齐全得3分； 3、质量控制措施内容无针对性，有缺陷，产品来源渠道证明材料不齐的得2分； 4、质量控制措施内容无针对性，有缺陷得1分； 5、未提供不得分。</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实施方案及质量保证</w:t>
            </w:r>
          </w:p>
        </w:tc>
      </w:tr>
      <w:tr>
        <w:tc>
          <w:tcPr>
            <w:tcW w:type="dxa" w:w="831"/>
            <w:vMerge/>
          </w:tcPr>
          <w:p/>
        </w:tc>
        <w:tc>
          <w:tcPr>
            <w:tcW w:type="dxa" w:w="1661"/>
          </w:tcPr>
          <w:p>
            <w:pPr>
              <w:pStyle w:val="null3"/>
            </w:pPr>
            <w:r>
              <w:rPr/>
              <w:t>售后服务1</w:t>
            </w:r>
          </w:p>
        </w:tc>
        <w:tc>
          <w:tcPr>
            <w:tcW w:type="dxa" w:w="2492"/>
          </w:tcPr>
          <w:p>
            <w:pPr>
              <w:pStyle w:val="null3"/>
            </w:pPr>
            <w:r>
              <w:rPr/>
              <w:t>具有相应的物力、人力保障，能够保证日常的现场走访，给予检查维护，提供详细的维护计划及承诺，得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售后服务2</w:t>
            </w:r>
          </w:p>
        </w:tc>
        <w:tc>
          <w:tcPr>
            <w:tcW w:type="dxa" w:w="2492"/>
          </w:tcPr>
          <w:p>
            <w:pPr>
              <w:pStyle w:val="null3"/>
            </w:pPr>
            <w:r>
              <w:rPr/>
              <w:t>具有详细的在设备发生不同类型故障后的到达现场时间、解决故障时间、补救措施等方案，同时具有明确的承诺且符合实际需求，得 3 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培训方案</w:t>
            </w:r>
          </w:p>
        </w:tc>
        <w:tc>
          <w:tcPr>
            <w:tcW w:type="dxa" w:w="2492"/>
          </w:tcPr>
          <w:p>
            <w:pPr>
              <w:pStyle w:val="null3"/>
            </w:pPr>
            <w:r>
              <w:rPr/>
              <w:t>针对本项目具有详细可行的技术培训方案，培训采购人指定的技术人员和管理人员，制定培训课程计划表，培训内容应包括仪器原理，仪器操作，保养维修等技术。方案详细、科学完善计 3 分；方案简单但基本可行计 2 分；方案有缺项、可实施性较差计 1 分，未提供不得分。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售后服务及培训方案</w:t>
            </w:r>
          </w:p>
        </w:tc>
      </w:tr>
      <w:tr>
        <w:tc>
          <w:tcPr>
            <w:tcW w:type="dxa" w:w="831"/>
            <w:vMerge/>
          </w:tcPr>
          <w:p/>
        </w:tc>
        <w:tc>
          <w:tcPr>
            <w:tcW w:type="dxa" w:w="1661"/>
          </w:tcPr>
          <w:p>
            <w:pPr>
              <w:pStyle w:val="null3"/>
            </w:pPr>
            <w:r>
              <w:rPr/>
              <w:t>业绩</w:t>
            </w:r>
          </w:p>
        </w:tc>
        <w:tc>
          <w:tcPr>
            <w:tcW w:type="dxa" w:w="2492"/>
          </w:tcPr>
          <w:p>
            <w:pPr>
              <w:pStyle w:val="null3"/>
            </w:pPr>
            <w:r>
              <w:rPr/>
              <w:t>供应商自2021年1月1日以来所投产品业绩，每提供1个得2分，共10分。（以合同签订时间为准）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业绩一览表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详见附件：商务偏离表</w:t>
      </w:r>
    </w:p>
    <w:p>
      <w:pPr>
        <w:pStyle w:val="null3"/>
        <w:ind w:firstLine="960"/>
      </w:pPr>
      <w:r>
        <w:rPr/>
        <w:t>详见附件：规格、技术参数偏离表</w:t>
      </w:r>
    </w:p>
    <w:p>
      <w:pPr>
        <w:pStyle w:val="null3"/>
        <w:ind w:firstLine="960"/>
      </w:pPr>
      <w:r>
        <w:rPr/>
        <w:t>详见附件：实施方案及质量保证</w:t>
      </w:r>
    </w:p>
    <w:p>
      <w:pPr>
        <w:pStyle w:val="null3"/>
        <w:ind w:firstLine="960"/>
      </w:pPr>
      <w:r>
        <w:rPr/>
        <w:t>详见附件：售后服务及培训方案</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采购包2：</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详见附件：商务偏离表</w:t>
      </w:r>
    </w:p>
    <w:p>
      <w:pPr>
        <w:pStyle w:val="null3"/>
        <w:ind w:firstLine="960"/>
      </w:pPr>
      <w:r>
        <w:rPr/>
        <w:t>详见附件：规格、技术参数偏离表</w:t>
      </w:r>
    </w:p>
    <w:p>
      <w:pPr>
        <w:pStyle w:val="null3"/>
        <w:ind w:firstLine="960"/>
      </w:pPr>
      <w:r>
        <w:rPr/>
        <w:t>详见附件：实施方案及质量保证</w:t>
      </w:r>
    </w:p>
    <w:p>
      <w:pPr>
        <w:pStyle w:val="null3"/>
        <w:ind w:firstLine="960"/>
      </w:pPr>
      <w:r>
        <w:rPr/>
        <w:t>详见附件：售后服务及培训方案</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采购包3：</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详见附件：商务偏离表</w:t>
      </w:r>
    </w:p>
    <w:p>
      <w:pPr>
        <w:pStyle w:val="null3"/>
        <w:ind w:firstLine="960"/>
      </w:pPr>
      <w:r>
        <w:rPr/>
        <w:t>详见附件：规格、技术参数偏离表</w:t>
      </w:r>
    </w:p>
    <w:p>
      <w:pPr>
        <w:pStyle w:val="null3"/>
        <w:ind w:firstLine="960"/>
      </w:pPr>
      <w:r>
        <w:rPr/>
        <w:t>详见附件：实施方案及质量保证</w:t>
      </w:r>
    </w:p>
    <w:p>
      <w:pPr>
        <w:pStyle w:val="null3"/>
        <w:ind w:firstLine="960"/>
      </w:pPr>
      <w:r>
        <w:rPr/>
        <w:t>详见附件：售后服务及培训方案</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采购包4：</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详见附件：商务偏离表</w:t>
      </w:r>
    </w:p>
    <w:p>
      <w:pPr>
        <w:pStyle w:val="null3"/>
        <w:ind w:firstLine="960"/>
      </w:pPr>
      <w:r>
        <w:rPr/>
        <w:t>详见附件：规格、技术参数偏离表</w:t>
      </w:r>
    </w:p>
    <w:p>
      <w:pPr>
        <w:pStyle w:val="null3"/>
        <w:ind w:firstLine="960"/>
      </w:pPr>
      <w:r>
        <w:rPr/>
        <w:t>详见附件：实施方案及质量保证</w:t>
      </w:r>
    </w:p>
    <w:p>
      <w:pPr>
        <w:pStyle w:val="null3"/>
        <w:ind w:firstLine="960"/>
      </w:pPr>
      <w:r>
        <w:rPr/>
        <w:t>详见附件：售后服务及培训方案</w:t>
      </w:r>
    </w:p>
    <w:p>
      <w:pPr>
        <w:pStyle w:val="null3"/>
        <w:ind w:firstLine="960"/>
      </w:pPr>
      <w:r>
        <w:rPr/>
        <w:t>详见附件：业绩一览表</w:t>
      </w:r>
    </w:p>
    <w:p>
      <w:pPr>
        <w:pStyle w:val="null3"/>
        <w:ind w:firstLine="960"/>
      </w:pPr>
      <w:r>
        <w:rPr/>
        <w:t>详见附件：资格响应表</w:t>
      </w:r>
    </w:p>
    <w:p>
      <w:pPr>
        <w:pStyle w:val="null3"/>
        <w:ind w:firstLine="960"/>
      </w:pPr>
      <w:r>
        <w:rPr/>
        <w:t>详见附件：报价表及分项报价表</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详见附件：合同（参考）.docx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