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2、出具医疗器械经营许可证或医疗器械经营备案证；</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4、所投产品属于医疗器械的出具所投产品医疗器械注册证或医疗器械备案凭证；</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pStyle w:val="5"/>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24657"/>
      <w:bookmarkStart w:id="2" w:name="_Toc24599"/>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171"/>
      <w:bookmarkStart w:id="5" w:name="_Toc332805616"/>
    </w:p>
    <w:p>
      <w:pPr>
        <w:pStyle w:val="11"/>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7"/>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7"/>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8"/>
        <w:rPr>
          <w:rFonts w:hint="eastAsia" w:ascii="仿宋" w:hAnsi="仿宋" w:eastAsia="仿宋" w:cs="仿宋"/>
          <w:spacing w:val="4"/>
          <w:sz w:val="24"/>
          <w:highlight w:val="none"/>
        </w:rPr>
      </w:pPr>
    </w:p>
    <w:p>
      <w:pPr>
        <w:rPr>
          <w:rFonts w:hint="eastAsia" w:ascii="仿宋" w:hAnsi="仿宋" w:eastAsia="仿宋" w:cs="仿宋"/>
          <w:highlight w:val="none"/>
        </w:rPr>
      </w:pPr>
    </w:p>
    <w:p>
      <w:pPr>
        <w:pStyle w:val="3"/>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1918"/>
        <w:gridCol w:w="2542"/>
        <w:gridCol w:w="984"/>
        <w:gridCol w:w="7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78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191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b/>
                <w:bCs/>
                <w:i w:val="0"/>
                <w:iCs w:val="0"/>
                <w:color w:val="000000"/>
                <w:kern w:val="0"/>
                <w:sz w:val="24"/>
                <w:szCs w:val="24"/>
                <w:highlight w:val="none"/>
                <w:u w:val="none"/>
                <w:lang w:val="en-US" w:eastAsia="zh-CN" w:bidi="ar"/>
              </w:rPr>
              <w:t>系统配置</w:t>
            </w:r>
          </w:p>
        </w:tc>
        <w:tc>
          <w:tcPr>
            <w:tcW w:w="25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4K超高清白光内窥镜摄像系统</w:t>
            </w:r>
          </w:p>
        </w:tc>
        <w:tc>
          <w:tcPr>
            <w:tcW w:w="1918"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4K内窥镜摄像系统主机</w:t>
            </w: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医疗器械经营许可证或医疗器械经营备案证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生产厂家的医疗器械生产许可证或医疗器械生产备案证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所投产品属于医疗器械的出具所投产品医疗器械注册证或医疗器械备案凭证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vMerge w:val="restart"/>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4K摄像头</w:t>
            </w: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医疗器械经营许可证或医疗器械经营备案证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生产厂家的医疗器械生产许可证或医疗器械生产备案证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所投产品属于医疗器械的出具所投产品医疗器械注册证或医疗器械备案凭证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rPr>
            </w:pPr>
          </w:p>
        </w:tc>
        <w:tc>
          <w:tcPr>
            <w:tcW w:w="1918" w:type="dxa"/>
            <w:tcBorders>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2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lang w:val="en-US" w:eastAsia="zh-CN"/>
              </w:rPr>
              <w:t>...</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kern w:val="0"/>
                <w:sz w:val="24"/>
                <w:szCs w:val="24"/>
                <w:highlight w:val="none"/>
                <w:u w:val="none"/>
                <w:lang w:val="en-US" w:eastAsia="zh-CN" w:bidi="ar"/>
              </w:rPr>
              <w:t>2</w:t>
            </w:r>
          </w:p>
        </w:tc>
        <w:tc>
          <w:tcPr>
            <w:tcW w:w="1456" w:type="dxa"/>
            <w:vMerge w:val="restart"/>
            <w:tcBorders>
              <w:top w:val="single" w:color="000000" w:sz="4" w:space="0"/>
              <w:left w:val="single" w:color="000000"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4K超高清荧光内窥镜摄像系统</w:t>
            </w:r>
          </w:p>
        </w:tc>
        <w:tc>
          <w:tcPr>
            <w:tcW w:w="191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4K荧光内窥镜摄像系统主机</w:t>
            </w: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医疗器械经营许可证或医疗器械经营备案证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生产厂家的医疗器械生产许可证或医疗器械生产备案证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所投产品属于医疗器械的出具所投产品医疗器械注册证或医疗器械备案凭证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vMerge w:val="restart"/>
            <w:tcBorders>
              <w:top w:val="single" w:color="auto" w:sz="4" w:space="0"/>
              <w:left w:val="single" w:color="auto" w:sz="4" w:space="0"/>
              <w:bottom w:val="single" w:color="auto" w:sz="4" w:space="0"/>
              <w:right w:val="single" w:color="auto" w:sz="4" w:space="0"/>
            </w:tcBorders>
            <w:noWrap w:val="0"/>
            <w:vAlign w:val="center"/>
          </w:tcPr>
          <w:p>
            <w:pPr>
              <w:tabs>
                <w:tab w:val="left" w:pos="604"/>
              </w:tabs>
              <w:bidi w:val="0"/>
              <w:jc w:val="center"/>
              <w:rPr>
                <w:rFonts w:hint="eastAsia" w:ascii="仿宋" w:hAnsi="仿宋" w:eastAsia="仿宋" w:cs="仿宋"/>
                <w:kern w:val="2"/>
                <w:sz w:val="21"/>
                <w:szCs w:val="24"/>
                <w:lang w:val="en-US" w:eastAsia="zh-CN" w:bidi="ar-SA"/>
              </w:rPr>
            </w:pPr>
            <w:r>
              <w:rPr>
                <w:rFonts w:hint="eastAsia" w:ascii="仿宋" w:hAnsi="仿宋" w:eastAsia="仿宋" w:cs="仿宋"/>
                <w:i w:val="0"/>
                <w:iCs w:val="0"/>
                <w:color w:val="000000"/>
                <w:sz w:val="24"/>
                <w:szCs w:val="24"/>
                <w:highlight w:val="none"/>
                <w:u w:val="none"/>
                <w:lang w:val="en-US" w:eastAsia="zh-CN"/>
              </w:rPr>
              <w:t>4K摄像头</w:t>
            </w: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sz w:val="24"/>
                <w:szCs w:val="24"/>
                <w:highlight w:val="none"/>
                <w:lang w:eastAsia="zh-CN"/>
              </w:rPr>
            </w:pPr>
            <w:r>
              <w:rPr>
                <w:rFonts w:hint="eastAsia" w:ascii="仿宋" w:hAnsi="仿宋" w:eastAsia="仿宋" w:cs="仿宋"/>
                <w:i w:val="0"/>
                <w:iCs w:val="0"/>
                <w:color w:val="000000"/>
                <w:kern w:val="0"/>
                <w:sz w:val="24"/>
                <w:szCs w:val="24"/>
                <w:highlight w:val="none"/>
                <w:u w:val="none"/>
                <w:lang w:val="en-US" w:eastAsia="zh-CN" w:bidi="ar"/>
              </w:rPr>
              <w:t>医疗器械经营许可证或医疗器械经营备案证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sz w:val="24"/>
                <w:szCs w:val="24"/>
                <w:highlight w:val="none"/>
                <w:lang w:eastAsia="zh-CN"/>
              </w:rPr>
            </w:pPr>
            <w:r>
              <w:rPr>
                <w:rFonts w:hint="eastAsia" w:ascii="仿宋" w:hAnsi="仿宋" w:eastAsia="仿宋" w:cs="仿宋"/>
                <w:i w:val="0"/>
                <w:iCs w:val="0"/>
                <w:color w:val="000000"/>
                <w:kern w:val="0"/>
                <w:sz w:val="24"/>
                <w:szCs w:val="24"/>
                <w:highlight w:val="none"/>
                <w:u w:val="none"/>
                <w:lang w:val="en-US" w:eastAsia="zh-CN" w:bidi="ar"/>
              </w:rPr>
              <w:t>生产厂家的医疗器械生产许可证或医疗器械生产备案证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所投产品属于医疗器械的出具所投产品医疗器械注册证或医疗器械备案凭证</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456" w:type="dxa"/>
            <w:vMerge w:val="continue"/>
            <w:tcBorders>
              <w:left w:val="single" w:color="000000" w:sz="4" w:space="0"/>
              <w:bottom w:val="single" w:color="000000"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p>
        </w:tc>
        <w:tc>
          <w:tcPr>
            <w:tcW w:w="191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2542"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sz w:val="24"/>
                <w:szCs w:val="24"/>
                <w:highlight w:val="none"/>
                <w:lang w:eastAsia="zh-CN"/>
              </w:rPr>
            </w:pPr>
            <w:r>
              <w:rPr>
                <w:rFonts w:hint="eastAsia" w:ascii="仿宋" w:hAnsi="仿宋" w:eastAsia="仿宋" w:cs="仿宋"/>
                <w:i w:val="0"/>
                <w:iCs w:val="0"/>
                <w:color w:val="000000"/>
                <w:sz w:val="24"/>
                <w:szCs w:val="24"/>
                <w:highlight w:val="none"/>
                <w:u w:val="none"/>
                <w:lang w:val="en-US" w:eastAsia="zh-CN"/>
              </w:rPr>
              <w:t>...</w:t>
            </w:r>
          </w:p>
        </w:tc>
        <w:tc>
          <w:tcPr>
            <w:tcW w:w="984"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highlight w:val="none"/>
                <w:u w:val="none"/>
              </w:rPr>
            </w:pPr>
          </w:p>
        </w:tc>
        <w:tc>
          <w:tcPr>
            <w:tcW w:w="742"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仿宋" w:hAnsi="仿宋" w:eastAsia="仿宋" w:cs="仿宋"/>
                <w:i w:val="0"/>
                <w:iCs w:val="0"/>
                <w:color w:val="000000"/>
                <w:sz w:val="22"/>
                <w:szCs w:val="22"/>
                <w:highlight w:val="none"/>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val="0"/>
          <w:sz w:val="24"/>
          <w:szCs w:val="24"/>
          <w:highlight w:val="none"/>
          <w:shd w:val="clear" w:color="auto" w:fill="FFFFFF"/>
        </w:rPr>
      </w:pPr>
      <w:r>
        <w:rPr>
          <w:rFonts w:hint="eastAsia" w:ascii="仿宋" w:hAnsi="仿宋" w:eastAsia="仿宋" w:cs="仿宋"/>
          <w:b/>
          <w:bCs/>
          <w:caps w:val="0"/>
          <w:smallCaps w:val="0"/>
          <w:color w:val="auto"/>
          <w:spacing w:val="0"/>
          <w:sz w:val="24"/>
          <w:szCs w:val="24"/>
          <w:highlight w:val="none"/>
          <w:lang w:val="en-US" w:eastAsia="zh-CN"/>
        </w:rPr>
        <w:t>注：需在上表中列明资料所在准确页码范围，并按后附格式要求对所投产品逐项进行响应。</w:t>
      </w:r>
    </w:p>
    <w:p>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bookmarkStart w:id="12" w:name="_Toc28068"/>
      <w:bookmarkStart w:id="13" w:name="_Toc32302"/>
      <w:bookmarkStart w:id="14" w:name="_Toc28950"/>
      <w:bookmarkStart w:id="15" w:name="_Toc53"/>
      <w:r>
        <w:rPr>
          <w:rFonts w:hint="eastAsia" w:ascii="仿宋" w:hAnsi="仿宋" w:eastAsia="仿宋" w:cs="仿宋"/>
          <w:highlight w:val="none"/>
        </w:rPr>
        <w:br w:type="page"/>
      </w:r>
      <w:bookmarkEnd w:id="12"/>
      <w:bookmarkEnd w:id="13"/>
      <w:bookmarkEnd w:id="14"/>
      <w:bookmarkEnd w:id="15"/>
    </w:p>
    <w:p>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w:t>
      </w:r>
      <w:r>
        <w:rPr>
          <w:rFonts w:hint="eastAsia" w:ascii="仿宋" w:hAnsi="仿宋" w:eastAsia="仿宋" w:cs="仿宋"/>
          <w:b/>
          <w:bCs/>
          <w:caps w:val="0"/>
          <w:smallCaps w:val="0"/>
          <w:color w:val="auto"/>
          <w:spacing w:val="0"/>
          <w:sz w:val="24"/>
          <w:szCs w:val="24"/>
          <w:highlight w:val="none"/>
        </w:rPr>
        <w:t>；</w:t>
      </w:r>
    </w:p>
    <w:p>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、所投产品属于医疗器械的出具所投产品医疗器械注册证或医疗器械备案凭证</w:t>
      </w:r>
      <w:bookmarkStart w:id="16" w:name="_GoBack"/>
      <w:bookmarkEnd w:id="16"/>
      <w:r>
        <w:rPr>
          <w:rFonts w:hint="eastAsia" w:ascii="仿宋" w:hAnsi="仿宋" w:eastAsia="仿宋" w:cs="仿宋"/>
          <w:b/>
          <w:bCs/>
          <w:caps w:val="0"/>
          <w:smallCaps w:val="0"/>
          <w:color w:val="auto"/>
          <w:spacing w:val="0"/>
          <w:sz w:val="24"/>
          <w:szCs w:val="24"/>
          <w:highlight w:val="none"/>
          <w:lang w:eastAsia="zh-CN"/>
        </w:rPr>
        <w:t>；</w:t>
      </w:r>
    </w:p>
    <w:p>
      <w:pPr>
        <w:rPr>
          <w:rFonts w:hint="eastAsia" w:ascii="仿宋" w:hAnsi="仿宋" w:eastAsia="仿宋" w:cs="仿宋"/>
          <w:lang w:val="en-US" w:eastAsia="zh-CN"/>
        </w:rPr>
      </w:pPr>
    </w:p>
    <w:p>
      <w:pPr>
        <w:rPr>
          <w:rFonts w:hint="eastAsia" w:ascii="仿宋" w:hAnsi="仿宋" w:eastAsia="仿宋" w:cs="仿宋"/>
          <w:lang w:val="en-US" w:eastAsia="zh-CN"/>
        </w:rPr>
      </w:pPr>
    </w:p>
    <w:p>
      <w:pPr>
        <w:pStyle w:val="7"/>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pPr>
        <w:pStyle w:val="7"/>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如提供的为相同生产厂家产品，第1、2、3项证书仅附一次即可，后面的产品无需重复提供第1、2、3项证书，但需</w:t>
      </w:r>
      <w:r>
        <w:rPr>
          <w:rFonts w:hint="eastAsia" w:ascii="仿宋" w:hAnsi="仿宋" w:eastAsia="仿宋" w:cs="仿宋"/>
          <w:b/>
          <w:bCs/>
          <w:i w:val="0"/>
          <w:iCs w:val="0"/>
          <w:color w:val="000000"/>
          <w:sz w:val="30"/>
          <w:szCs w:val="30"/>
          <w:highlight w:val="yellow"/>
          <w:u w:val="thick"/>
          <w:lang w:val="en-US" w:eastAsia="zh-CN"/>
        </w:rPr>
        <w:t>列明</w:t>
      </w:r>
      <w:r>
        <w:rPr>
          <w:rFonts w:hint="eastAsia" w:ascii="仿宋" w:hAnsi="仿宋" w:eastAsia="仿宋" w:cs="仿宋"/>
          <w:b/>
          <w:bCs/>
          <w:i w:val="0"/>
          <w:iCs w:val="0"/>
          <w:color w:val="000000"/>
          <w:sz w:val="28"/>
          <w:szCs w:val="28"/>
          <w:highlight w:val="yellow"/>
          <w:u w:val="none"/>
          <w:lang w:val="en-US" w:eastAsia="zh-CN"/>
        </w:rPr>
        <w:t>所附资料在投标文件中的</w:t>
      </w:r>
      <w:r>
        <w:rPr>
          <w:rFonts w:hint="eastAsia" w:ascii="仿宋" w:hAnsi="仿宋" w:eastAsia="仿宋" w:cs="仿宋"/>
          <w:b/>
          <w:bCs/>
          <w:i w:val="0"/>
          <w:iCs w:val="0"/>
          <w:color w:val="000000"/>
          <w:sz w:val="30"/>
          <w:szCs w:val="30"/>
          <w:highlight w:val="yellow"/>
          <w:u w:val="thick"/>
          <w:lang w:val="en-US" w:eastAsia="zh-CN"/>
        </w:rPr>
        <w:t>页码</w:t>
      </w:r>
      <w:r>
        <w:rPr>
          <w:rFonts w:hint="eastAsia" w:ascii="仿宋" w:hAnsi="仿宋" w:eastAsia="仿宋" w:cs="仿宋"/>
          <w:b/>
          <w:bCs/>
          <w:i w:val="0"/>
          <w:iCs w:val="0"/>
          <w:color w:val="000000"/>
          <w:sz w:val="28"/>
          <w:szCs w:val="28"/>
          <w:highlight w:val="yellow"/>
          <w:u w:val="none"/>
          <w:lang w:val="en-US" w:eastAsia="zh-CN"/>
        </w:rPr>
        <w:t>。</w:t>
      </w:r>
    </w:p>
    <w:p>
      <w:pPr>
        <w:pStyle w:val="7"/>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pPr>
        <w:pStyle w:val="7"/>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pPr>
        <w:pStyle w:val="7"/>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如不属于医疗器械产品的，在上表“备注”中标明即可。</w:t>
      </w:r>
    </w:p>
    <w:p>
      <w:pPr>
        <w:pStyle w:val="7"/>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0521F57"/>
    <w:rsid w:val="030E53C9"/>
    <w:rsid w:val="06052E78"/>
    <w:rsid w:val="062907E9"/>
    <w:rsid w:val="08A234FA"/>
    <w:rsid w:val="0EBE719F"/>
    <w:rsid w:val="14C91E0F"/>
    <w:rsid w:val="17077125"/>
    <w:rsid w:val="1E404D81"/>
    <w:rsid w:val="1E6A133F"/>
    <w:rsid w:val="273B6B9C"/>
    <w:rsid w:val="2996630C"/>
    <w:rsid w:val="3571692F"/>
    <w:rsid w:val="3739797E"/>
    <w:rsid w:val="382F0057"/>
    <w:rsid w:val="3FCF4CA1"/>
    <w:rsid w:val="419F12F7"/>
    <w:rsid w:val="442A5B77"/>
    <w:rsid w:val="449E3A70"/>
    <w:rsid w:val="4B9C55AC"/>
    <w:rsid w:val="4D0312E7"/>
    <w:rsid w:val="4F8B40AC"/>
    <w:rsid w:val="51902814"/>
    <w:rsid w:val="5B1F6BCA"/>
    <w:rsid w:val="5EDB2F17"/>
    <w:rsid w:val="60DB22E9"/>
    <w:rsid w:val="642F7468"/>
    <w:rsid w:val="6480281C"/>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autoRedefine/>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2685</Words>
  <Characters>2711</Characters>
  <Lines>0</Lines>
  <Paragraphs>0</Paragraphs>
  <TotalTime>1</TotalTime>
  <ScaleCrop>false</ScaleCrop>
  <LinksUpToDate>false</LinksUpToDate>
  <CharactersWithSpaces>3136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dcterms:modified xsi:type="dcterms:W3CDTF">2024-07-29T12:07:22Z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2D068453B788494EBBD5019032CE0E52_12</vt:lpwstr>
  </property>
</Properties>
</file>