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2024年度西咸信创云升级改造服务采购项目</w:t>
      </w:r>
    </w:p>
    <w:p>
      <w:pPr>
        <w:pStyle w:val="null3"/>
        <w:jc w:val="center"/>
        <w:outlineLvl w:val="2"/>
      </w:pPr>
      <w:r>
        <w:rPr>
          <w:sz w:val="28"/>
          <w:b/>
        </w:rPr>
        <w:t>采购项目编号：</w:t>
      </w:r>
      <w:r>
        <w:rPr>
          <w:sz w:val="28"/>
          <w:b/>
        </w:rPr>
        <w:t>SZT2024-SN-SC-ZC-FW-0806</w:t>
      </w:r>
      <w:r>
        <w:br/>
      </w:r>
      <w:r>
        <w:br/>
      </w:r>
      <w:r>
        <w:br/>
      </w:r>
    </w:p>
    <w:p>
      <w:pPr>
        <w:pStyle w:val="null3"/>
        <w:jc w:val="center"/>
        <w:outlineLvl w:val="2"/>
      </w:pPr>
      <w:r>
        <w:rPr>
          <w:sz w:val="28"/>
          <w:b/>
        </w:rPr>
        <w:t>陕西省政务大数据服务中心</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2024年08月08日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陕西省政务大数据服务中心</w:t>
      </w:r>
      <w:r>
        <w:rPr/>
        <w:t>委托，拟对</w:t>
      </w:r>
      <w:r>
        <w:rPr/>
        <w:t>2024年度西咸信创云升级改造服务采购项目</w:t>
      </w:r>
      <w:r>
        <w:rPr/>
        <w:t>进行国内公开招标，兹邀请符合本次招标要求的供应商参加投标。</w:t>
      </w:r>
    </w:p>
    <w:p>
      <w:pPr>
        <w:pStyle w:val="null3"/>
        <w:outlineLvl w:val="2"/>
      </w:pPr>
      <w:r>
        <w:rPr>
          <w:sz w:val="28"/>
          <w:b/>
        </w:rPr>
        <w:t>一、采购项目编号：</w:t>
      </w:r>
      <w:r>
        <w:rPr>
          <w:sz w:val="28"/>
          <w:b/>
        </w:rPr>
        <w:t>SZT2024-SN-SC-ZC-FW-0806</w:t>
      </w:r>
    </w:p>
    <w:p>
      <w:pPr>
        <w:pStyle w:val="null3"/>
        <w:outlineLvl w:val="2"/>
      </w:pPr>
      <w:r>
        <w:rPr>
          <w:sz w:val="28"/>
          <w:b/>
        </w:rPr>
        <w:t>二、采购项目名称：</w:t>
      </w:r>
      <w:r>
        <w:rPr>
          <w:sz w:val="28"/>
          <w:b/>
        </w:rPr>
        <w:t>2024年度西咸信创云升级改造服务采购项目</w:t>
      </w:r>
    </w:p>
    <w:p>
      <w:pPr>
        <w:pStyle w:val="null3"/>
        <w:outlineLvl w:val="2"/>
      </w:pPr>
      <w:r>
        <w:rPr>
          <w:sz w:val="28"/>
          <w:b/>
        </w:rPr>
        <w:t>三、招标项目简介</w:t>
      </w:r>
    </w:p>
    <w:p>
      <w:pPr>
        <w:pStyle w:val="null3"/>
        <w:ind w:firstLine="480"/>
      </w:pPr>
      <w:r>
        <w:rPr/>
        <w:t>西咸信创云支撑各省级单位及其直属单位机关政务业务系统部署和运行。随着业务的持续发展，业务系统对信创云平台的要求也随之提高，为了提供更加稳定和安全的服务，对西咸信创云进行全面的技术升级和服务提升。</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1、投标供应商为具有独立承担民事责任能力的法人或其他组织：企业法人应提供合法有效的标识有统一社会信用代码的营业执照；事业法人应提供事业单位法人证书；其他组织应提供合法登记证明文件；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t>2、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3、财务状况：提供具有财务审计资质单位出具的完整2023年度的财务报告（成立时间至投标文件递交截止时间不足一年的可提供成立后任意时段的资产负债表）或投标文件递交截止时间前六个月内其开户银行出具的资信证明；</w:t>
      </w:r>
    </w:p>
    <w:p>
      <w:pPr>
        <w:pStyle w:val="null3"/>
      </w:pPr>
      <w:r>
        <w:rPr/>
        <w:t>4、社会保障资金缴纳证明：供应商提供2023年至今至少一个月的社会保障资金缴存单据或社保机构开具的社会保险参保缴费情况证明，依法不需要缴纳社会保障资金的供应商应提供相关文件证明；</w:t>
      </w:r>
    </w:p>
    <w:p>
      <w:pPr>
        <w:pStyle w:val="null3"/>
      </w:pPr>
      <w:r>
        <w:rPr/>
        <w:t>5、税收缴纳证明：供应商提供2023年度至今至少一个月的纳税证明或完税证明（时间以税款所属日期为准、税种须包含增值税或企业所得税），纳税证明或完税证明上应有代收机构或税务机关的公章，依法免税的供应商应提供相关文件证明；</w:t>
      </w:r>
    </w:p>
    <w:p>
      <w:pPr>
        <w:pStyle w:val="null3"/>
      </w:pPr>
      <w:r>
        <w:rPr/>
        <w:t>6、供应商应具备良好的商业信誉：提供参加政府采购活动前3年内在经营活动中没有重大违法记录的书面声明；</w:t>
      </w:r>
    </w:p>
    <w:p>
      <w:pPr>
        <w:pStyle w:val="null3"/>
      </w:pPr>
      <w:r>
        <w:rPr/>
        <w:t>7、信用查询：供应商应在投标截止日前，以“信用中国”网站（www.creditchina.gov.cn）和中国政府采购网（www.ccgp.gov.cn）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期限届满的除外）和政府采购严重违法失信行为记录；</w:t>
      </w:r>
    </w:p>
    <w:p>
      <w:pPr>
        <w:pStyle w:val="null3"/>
      </w:pPr>
      <w:r>
        <w:rPr/>
        <w:t>8、不接受联合体投标：本项目不接受联合体投标，（投标主体为单一供应商，无需提供声明函）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陕西省政务大数据服务中心</w:t>
      </w:r>
    </w:p>
    <w:p>
      <w:pPr>
        <w:pStyle w:val="null3"/>
      </w:pPr>
      <w:r>
        <w:rPr/>
        <w:t xml:space="preserve"> 地址： </w:t>
      </w:r>
      <w:r>
        <w:rPr/>
        <w:t>西安市新城区新城大院</w:t>
      </w:r>
    </w:p>
    <w:p>
      <w:pPr>
        <w:pStyle w:val="null3"/>
      </w:pPr>
      <w:r>
        <w:rPr/>
        <w:t xml:space="preserve"> 邮编： </w:t>
      </w:r>
      <w:r>
        <w:rPr/>
        <w:t>710000</w:t>
      </w:r>
    </w:p>
    <w:p>
      <w:pPr>
        <w:pStyle w:val="null3"/>
      </w:pPr>
      <w:r>
        <w:rPr/>
        <w:t xml:space="preserve"> 联系人： </w:t>
      </w:r>
      <w:r>
        <w:rPr/>
        <w:t>薛老师</w:t>
      </w:r>
    </w:p>
    <w:p>
      <w:pPr>
        <w:pStyle w:val="null3"/>
      </w:pPr>
      <w:r>
        <w:rPr/>
        <w:t xml:space="preserve"> 联系电话： </w:t>
      </w:r>
      <w:r>
        <w:rPr/>
        <w:t>029-63912513</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采购包1：9,698,900.00元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采购包1保证金金额：70,000.00元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采购代理服务费的收取参照原国家计委颁布的《招标代理服务费收费管理暂行办法》（计价格[2002]1980号）中服务的收费标准，按照中标金额差额定率累进法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采购包1：组织现场踏勘：是</w:t>
            </w:r>
          </w:p>
          <w:p>
            <w:pPr>
              <w:pStyle w:val="null3"/>
              <w:ind w:firstLine="975"/>
            </w:pPr>
            <w:r>
              <w:rPr/>
              <w:t>踏勘时间：2024-08-16 09:30:00</w:t>
            </w:r>
          </w:p>
          <w:p>
            <w:pPr>
              <w:pStyle w:val="null3"/>
              <w:ind w:firstLine="975"/>
            </w:pPr>
            <w:r>
              <w:rPr/>
              <w:t>踏勘地点：陕西省数据和政务服务中心（新城大院11号楼）</w:t>
            </w:r>
          </w:p>
          <w:p>
            <w:pPr>
              <w:pStyle w:val="null3"/>
              <w:ind w:firstLine="975"/>
            </w:pPr>
            <w:r>
              <w:rPr/>
              <w:t>联系人：薛勇</w:t>
            </w:r>
          </w:p>
          <w:p>
            <w:pPr>
              <w:pStyle w:val="null3"/>
              <w:ind w:firstLine="975"/>
            </w:pPr>
            <w:r>
              <w:rPr/>
              <w:t>联系电话号码：029-63912513（18691829556）</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陕西省政务大数据服务中心</w:t>
      </w:r>
      <w:r>
        <w:rPr/>
        <w:t>和</w:t>
      </w:r>
      <w:r>
        <w:rPr/>
        <w:t>陕西中技招标有限公司</w:t>
      </w:r>
      <w:r>
        <w:rPr/>
        <w:t>享有。对招标文件中供应商参加本次政府采购活动应当具备的条件，招标项目技术、服务、商务及其他要求，评标细则及标准由</w:t>
      </w:r>
      <w:r>
        <w:rPr/>
        <w:t>陕西省政务大数据服务中心</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陕西省政务大数据服务中心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⑴本合同及附件文本所约定的验收标准； ⑵招标文件、投标文件、澄清表（函）； ⑶国家相应的标准、规范。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咸信创云支撑各省级单位及其直属单位机关政务业务系统部署和运行。随着业务的持续发展，业务系统对信创云平台的要求也随之提高，为了提供更加稳定和安全的服务，对西咸信创云进行全面的技术升级和服务提升。</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9,698,900.00</w:t>
      </w:r>
    </w:p>
    <w:p>
      <w:pPr>
        <w:pStyle w:val="null3"/>
      </w:pPr>
      <w:r>
        <w:rPr/>
        <w:t>采购包最高限价（元）: 9,698,900.00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运营服务</w:t>
            </w:r>
          </w:p>
        </w:tc>
        <w:tc>
          <w:tcPr>
            <w:tcW w:type="dxa" w:w="831"/>
          </w:tcPr>
          <w:p>
            <w:pPr>
              <w:pStyle w:val="null3"/>
              <w:jc w:val="right"/>
            </w:pPr>
            <w:r>
              <w:rPr/>
              <w:t>1.00</w:t>
            </w:r>
          </w:p>
        </w:tc>
        <w:tc>
          <w:tcPr>
            <w:tcW w:type="dxa" w:w="831"/>
          </w:tcPr>
          <w:p>
            <w:pPr>
              <w:pStyle w:val="null3"/>
              <w:jc w:val="right"/>
            </w:pPr>
            <w:r>
              <w:rPr/>
              <w:t>9,698,900.00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36"/>
                <w:b/>
              </w:rPr>
              <w:t>采购</w:t>
            </w:r>
            <w:r>
              <w:rPr>
                <w:rFonts w:ascii="宋体" w:hAnsi="宋体" w:cs="宋体" w:eastAsia="宋体"/>
                <w:sz w:val="36"/>
                <w:b/>
              </w:rPr>
              <w:t>内容及</w:t>
            </w:r>
            <w:r>
              <w:rPr>
                <w:rFonts w:ascii="宋体" w:hAnsi="宋体" w:cs="宋体" w:eastAsia="宋体"/>
                <w:sz w:val="36"/>
                <w:b/>
              </w:rPr>
              <w:t>要求</w:t>
            </w:r>
          </w:p>
          <w:p>
            <w:pPr>
              <w:pStyle w:val="null3"/>
              <w:ind w:firstLine="482"/>
            </w:pP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采购</w:t>
            </w:r>
            <w:r>
              <w:rPr>
                <w:rFonts w:ascii="仿宋_gb2312" w:hAnsi="仿宋_gb2312" w:cs="仿宋_gb2312" w:eastAsia="仿宋_gb2312"/>
                <w:sz w:val="24"/>
                <w:b/>
              </w:rPr>
              <w:t>项目名称</w:t>
            </w:r>
          </w:p>
          <w:p>
            <w:pPr>
              <w:pStyle w:val="null3"/>
              <w:ind w:firstLine="480"/>
            </w:pPr>
            <w:r>
              <w:rPr>
                <w:rFonts w:ascii="&quot;times new roman&quot;" w:hAnsi="&quot;times new roman&quot;" w:cs="&quot;times new roman&quot;" w:eastAsia="&quot;times new roman&quot;"/>
                <w:sz w:val="24"/>
              </w:rPr>
              <w:t>2024</w:t>
            </w:r>
            <w:r>
              <w:rPr>
                <w:rFonts w:ascii="宋体" w:hAnsi="宋体" w:cs="宋体" w:eastAsia="宋体"/>
                <w:sz w:val="24"/>
              </w:rPr>
              <w:t>年度西咸信创云升级改造服务采购项目</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采购项目概况</w:t>
            </w:r>
          </w:p>
          <w:p>
            <w:pPr>
              <w:pStyle w:val="null3"/>
              <w:outlineLvl w:val="1"/>
            </w:pPr>
            <w:r>
              <w:rPr>
                <w:rFonts w:ascii="仿宋_gb2312" w:hAnsi="仿宋_gb2312" w:cs="仿宋_gb2312" w:eastAsia="仿宋_gb2312"/>
                <w:sz w:val="24"/>
                <w:b/>
              </w:rPr>
              <w:t>2</w:t>
            </w:r>
            <w:r>
              <w:rPr>
                <w:rFonts w:ascii="仿宋_gb2312" w:hAnsi="仿宋_gb2312" w:cs="仿宋_gb2312" w:eastAsia="仿宋_gb2312"/>
                <w:sz w:val="24"/>
                <w:b/>
              </w:rPr>
              <w:t>.1</w:t>
            </w:r>
            <w:r>
              <w:rPr>
                <w:rFonts w:ascii="仿宋_gb2312" w:hAnsi="仿宋_gb2312" w:cs="仿宋_gb2312" w:eastAsia="仿宋_gb2312"/>
                <w:sz w:val="24"/>
                <w:b/>
              </w:rPr>
              <w:t>项目背景</w:t>
            </w:r>
          </w:p>
          <w:p>
            <w:pPr>
              <w:pStyle w:val="null3"/>
              <w:ind w:firstLine="480"/>
            </w:pPr>
            <w:r>
              <w:rPr>
                <w:rFonts w:ascii="宋体" w:hAnsi="宋体" w:cs="宋体" w:eastAsia="宋体"/>
                <w:sz w:val="24"/>
              </w:rPr>
              <w:t>西咸信创云</w:t>
            </w:r>
            <w:r>
              <w:rPr>
                <w:rFonts w:ascii="宋体" w:hAnsi="宋体" w:cs="宋体" w:eastAsia="宋体"/>
                <w:sz w:val="24"/>
              </w:rPr>
              <w:t>支撑各</w:t>
            </w:r>
            <w:r>
              <w:rPr>
                <w:rFonts w:ascii="宋体" w:hAnsi="宋体" w:cs="宋体" w:eastAsia="宋体"/>
                <w:sz w:val="24"/>
              </w:rPr>
              <w:t>省级单位及其直属单位机关</w:t>
            </w:r>
            <w:r>
              <w:rPr>
                <w:rFonts w:ascii="宋体" w:hAnsi="宋体" w:cs="宋体" w:eastAsia="宋体"/>
                <w:sz w:val="24"/>
              </w:rPr>
              <w:t>政务业务系统</w:t>
            </w:r>
            <w:r>
              <w:rPr>
                <w:rFonts w:ascii="宋体" w:hAnsi="宋体" w:cs="宋体" w:eastAsia="宋体"/>
                <w:sz w:val="24"/>
              </w:rPr>
              <w:t>部署和运行</w:t>
            </w:r>
            <w:r>
              <w:rPr>
                <w:rFonts w:ascii="宋体" w:hAnsi="宋体" w:cs="宋体" w:eastAsia="宋体"/>
                <w:sz w:val="24"/>
              </w:rPr>
              <w:t>。随着业务的持续发展，业务系统对信创云平台的要求也随之提高，</w:t>
            </w:r>
            <w:r>
              <w:rPr>
                <w:rFonts w:ascii="宋体" w:hAnsi="宋体" w:cs="宋体" w:eastAsia="宋体"/>
                <w:sz w:val="24"/>
              </w:rPr>
              <w:t>为了提供</w:t>
            </w:r>
            <w:r>
              <w:rPr>
                <w:rFonts w:ascii="宋体" w:hAnsi="宋体" w:cs="宋体" w:eastAsia="宋体"/>
                <w:sz w:val="24"/>
              </w:rPr>
              <w:t>更加稳定和安全的服务，对西咸信创云进行全面的技术升级和服务提升。</w:t>
            </w:r>
          </w:p>
          <w:p>
            <w:pPr>
              <w:pStyle w:val="null3"/>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服务目标</w:t>
            </w:r>
          </w:p>
          <w:p>
            <w:pPr>
              <w:pStyle w:val="null3"/>
              <w:ind w:firstLine="480"/>
            </w:pPr>
            <w:r>
              <w:rPr>
                <w:rFonts w:ascii="宋体" w:hAnsi="宋体" w:cs="宋体" w:eastAsia="宋体"/>
                <w:sz w:val="24"/>
              </w:rPr>
              <w:t>根据西咸信创云的建设与运行现状，通过服务化采购方式实现以下目标：一是持续分配</w:t>
            </w:r>
            <w:r>
              <w:rPr>
                <w:rFonts w:ascii="&quot;times new roman&quot;" w:hAnsi="&quot;times new roman&quot;" w:cs="&quot;times new roman&quot;" w:eastAsia="&quot;times new roman&quot;"/>
                <w:sz w:val="24"/>
              </w:rPr>
              <w:t>IaaS</w:t>
            </w:r>
            <w:r>
              <w:rPr>
                <w:rFonts w:ascii="宋体" w:hAnsi="宋体" w:cs="宋体" w:eastAsia="宋体"/>
                <w:sz w:val="24"/>
              </w:rPr>
              <w:t>层和</w:t>
            </w:r>
            <w:r>
              <w:rPr>
                <w:rFonts w:ascii="times new roman, times, serif" w:hAnsi="times new roman, times, serif" w:cs="times new roman, times, serif" w:eastAsia="times new roman, times, serif"/>
                <w:sz w:val="24"/>
              </w:rPr>
              <w:t>PaaS</w:t>
            </w:r>
            <w:r>
              <w:rPr>
                <w:rFonts w:ascii="宋体" w:hAnsi="宋体" w:cs="宋体" w:eastAsia="宋体"/>
                <w:sz w:val="24"/>
              </w:rPr>
              <w:t>层的基础资源，确保各单位业务系统顺利迁移至云端；二是设立专门的测试区域，明确测试区的基本服务内容，以保障上云业务单位的资源使用效率达标并满足信创兼容性要求。同时，对现有云平台接口进行优化，实现统一监管的目标。</w:t>
            </w:r>
          </w:p>
          <w:p>
            <w:pPr>
              <w:pStyle w:val="null3"/>
              <w:outlineLvl w:val="1"/>
            </w:pPr>
            <w:r>
              <w:rPr>
                <w:rFonts w:ascii="仿宋_gb2312" w:hAnsi="仿宋_gb2312" w:cs="仿宋_gb2312" w:eastAsia="仿宋_gb2312"/>
                <w:sz w:val="24"/>
                <w:b/>
              </w:rPr>
              <w:t>2.3</w:t>
            </w:r>
            <w:r>
              <w:rPr>
                <w:rFonts w:ascii="仿宋_gb2312" w:hAnsi="仿宋_gb2312" w:cs="仿宋_gb2312" w:eastAsia="仿宋_gb2312"/>
                <w:sz w:val="24"/>
                <w:b/>
              </w:rPr>
              <w:t>服务范围</w:t>
            </w:r>
          </w:p>
          <w:p>
            <w:pPr>
              <w:pStyle w:val="null3"/>
              <w:ind w:firstLine="480"/>
              <w:jc w:val="left"/>
            </w:pPr>
            <w:r>
              <w:rPr>
                <w:rFonts w:ascii="宋体" w:hAnsi="宋体" w:cs="宋体" w:eastAsia="宋体"/>
                <w:sz w:val="24"/>
              </w:rPr>
              <w:t>服务部门涵盖：陕西省数据和政务服务局以及省级其他部门。</w:t>
            </w:r>
          </w:p>
          <w:p>
            <w:pPr>
              <w:pStyle w:val="null3"/>
              <w:ind w:firstLine="480"/>
              <w:jc w:val="left"/>
            </w:pPr>
            <w:r>
              <w:rPr>
                <w:rFonts w:ascii="宋体" w:hAnsi="宋体" w:cs="宋体" w:eastAsia="宋体"/>
                <w:sz w:val="24"/>
              </w:rPr>
              <w:t>服务对象包括：西咸信创云平台。</w:t>
            </w:r>
          </w:p>
          <w:p>
            <w:pPr>
              <w:pStyle w:val="null3"/>
            </w:pPr>
            <w:r>
              <w:rPr>
                <w:rFonts w:ascii="仿宋_gb2312" w:hAnsi="仿宋_gb2312" w:cs="仿宋_gb2312" w:eastAsia="仿宋_gb2312"/>
                <w:sz w:val="24"/>
                <w:b/>
              </w:rPr>
              <w:t>三</w:t>
            </w:r>
            <w:r>
              <w:rPr>
                <w:rFonts w:ascii="仿宋_gb2312" w:hAnsi="仿宋_gb2312" w:cs="仿宋_gb2312" w:eastAsia="仿宋_gb2312"/>
                <w:sz w:val="24"/>
                <w:b/>
              </w:rPr>
              <w:t>、服务内容及要求</w:t>
            </w:r>
          </w:p>
          <w:p>
            <w:pPr>
              <w:pStyle w:val="null3"/>
              <w:outlineLvl w:val="1"/>
            </w:pPr>
            <w:r>
              <w:rPr>
                <w:rFonts w:ascii="仿宋_gb2312" w:hAnsi="仿宋_gb2312" w:cs="仿宋_gb2312" w:eastAsia="仿宋_gb2312"/>
                <w:sz w:val="24"/>
                <w:b/>
              </w:rPr>
              <w:t xml:space="preserve">3.1 </w:t>
            </w:r>
            <w:r>
              <w:rPr>
                <w:rFonts w:ascii="仿宋_gb2312" w:hAnsi="仿宋_gb2312" w:cs="仿宋_gb2312" w:eastAsia="仿宋_gb2312"/>
                <w:sz w:val="24"/>
                <w:b/>
              </w:rPr>
              <w:t>总体要求</w:t>
            </w:r>
          </w:p>
          <w:p>
            <w:pPr>
              <w:pStyle w:val="null3"/>
              <w:ind w:firstLine="480"/>
            </w:pPr>
            <w:r>
              <w:rPr>
                <w:rFonts w:ascii="宋体" w:hAnsi="宋体" w:cs="宋体" w:eastAsia="宋体"/>
                <w:sz w:val="24"/>
              </w:rPr>
              <w:t>服务商需明确西咸信创云升级改造服务中存在的重难点问题，采取相应的服务体系和服务策略，提出相应的服务设计思路，明确服务目标，制定服务流程。</w:t>
            </w:r>
          </w:p>
          <w:p>
            <w:pPr>
              <w:pStyle w:val="null3"/>
              <w:ind w:firstLine="480"/>
            </w:pPr>
            <w:r>
              <w:rPr>
                <w:rFonts w:ascii="宋体" w:hAnsi="宋体" w:cs="宋体" w:eastAsia="宋体"/>
                <w:sz w:val="24"/>
              </w:rPr>
              <w:t>针对服务内容明确主要交付成果或文档、服务时间、服务频率及服务实现方式等。</w:t>
            </w:r>
          </w:p>
          <w:p>
            <w:pPr>
              <w:pStyle w:val="null3"/>
              <w:ind w:firstLine="480"/>
            </w:pPr>
            <w:r>
              <w:rPr>
                <w:rFonts w:ascii="宋体" w:hAnsi="宋体" w:cs="宋体" w:eastAsia="宋体"/>
                <w:sz w:val="24"/>
              </w:rPr>
              <w:t>服务商需提供整体服务的实施计划，包含：服务进度计划、服务团队沟通计划、服务资料交付计划。</w:t>
            </w:r>
          </w:p>
          <w:p>
            <w:pPr>
              <w:pStyle w:val="null3"/>
              <w:ind w:firstLine="480"/>
            </w:pPr>
            <w:r>
              <w:rPr>
                <w:rFonts w:ascii="宋体" w:hAnsi="宋体" w:cs="宋体" w:eastAsia="宋体"/>
                <w:sz w:val="24"/>
              </w:rPr>
              <w:t>服务商需针对提供应急方案，包含应急预案的制定、措施安排、应急响应、应急准备、监测与预警、应急处置、总结改进等。</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服务</w:t>
            </w:r>
            <w:r>
              <w:rPr>
                <w:rFonts w:ascii="仿宋_gb2312" w:hAnsi="仿宋_gb2312" w:cs="仿宋_gb2312" w:eastAsia="仿宋_gb2312"/>
                <w:sz w:val="24"/>
                <w:b/>
              </w:rPr>
              <w:t>内容</w:t>
            </w:r>
          </w:p>
          <w:p>
            <w:pPr>
              <w:pStyle w:val="null3"/>
              <w:ind w:firstLine="480"/>
              <w:jc w:val="both"/>
            </w:pPr>
            <w:r>
              <w:rPr>
                <w:rFonts w:ascii="&quot;times new roman&quot;" w:hAnsi="&quot;times new roman&quot;" w:cs="&quot;times new roman&quot;" w:eastAsia="&quot;times new roman&quot;"/>
                <w:sz w:val="24"/>
              </w:rPr>
              <w:t xml:space="preserve">1. </w:t>
            </w:r>
            <w:r>
              <w:rPr>
                <w:rFonts w:ascii="宋体" w:hAnsi="宋体" w:cs="宋体" w:eastAsia="宋体"/>
                <w:sz w:val="24"/>
              </w:rPr>
              <w:t>内存扩容服务：计划通过购买服务方式为电子政务外网区增添</w:t>
            </w:r>
            <w:r>
              <w:rPr>
                <w:rFonts w:ascii="times new roman, times, serif" w:hAnsi="times new roman, times, serif" w:cs="times new roman, times, serif" w:eastAsia="times new roman, times, serif"/>
                <w:sz w:val="24"/>
              </w:rPr>
              <w:t>144384 G</w:t>
            </w:r>
            <w:r>
              <w:rPr>
                <w:rFonts w:ascii="宋体" w:hAnsi="宋体" w:cs="宋体" w:eastAsia="宋体"/>
                <w:sz w:val="24"/>
              </w:rPr>
              <w:t>内存，</w:t>
            </w:r>
            <w:r>
              <w:rPr>
                <w:rFonts w:ascii="宋体" w:hAnsi="宋体" w:cs="宋体" w:eastAsia="宋体"/>
                <w:sz w:val="24"/>
              </w:rPr>
              <w:t>其中</w:t>
            </w:r>
            <w:r>
              <w:rPr>
                <w:rFonts w:ascii="&quot;times new roman&quot;" w:hAnsi="&quot;times new roman&quot;" w:cs="&quot;times new roman&quot;" w:eastAsia="&quot;times new roman&quot;"/>
                <w:sz w:val="24"/>
              </w:rPr>
              <w:t>C86</w:t>
            </w:r>
            <w:r>
              <w:rPr>
                <w:rFonts w:ascii="宋体" w:hAnsi="宋体" w:cs="宋体" w:eastAsia="宋体"/>
                <w:sz w:val="24"/>
              </w:rPr>
              <w:t>区扩容内存</w:t>
            </w:r>
            <w:r>
              <w:rPr>
                <w:rFonts w:ascii="times new roman, times, serif" w:hAnsi="times new roman, times, serif" w:cs="times new roman, times, serif" w:eastAsia="times new roman, times, serif"/>
                <w:sz w:val="24"/>
              </w:rPr>
              <w:t>36864GB</w:t>
            </w:r>
            <w:r>
              <w:rPr>
                <w:rFonts w:ascii="宋体" w:hAnsi="宋体" w:cs="宋体" w:eastAsia="宋体"/>
                <w:sz w:val="24"/>
              </w:rPr>
              <w:t>，</w:t>
            </w:r>
            <w:r>
              <w:rPr>
                <w:rFonts w:ascii="times new roman, times, serif" w:hAnsi="times new roman, times, serif" w:cs="times new roman, times, serif" w:eastAsia="times new roman, times, serif"/>
                <w:sz w:val="24"/>
              </w:rPr>
              <w:t>ARM</w:t>
            </w:r>
            <w:r>
              <w:rPr>
                <w:rFonts w:ascii="宋体" w:hAnsi="宋体" w:cs="宋体" w:eastAsia="宋体"/>
                <w:sz w:val="24"/>
              </w:rPr>
              <w:t xml:space="preserve">区扩容内存 </w:t>
            </w:r>
            <w:r>
              <w:rPr>
                <w:rFonts w:ascii="times new roman, times, serif" w:hAnsi="times new roman, times, serif" w:cs="times new roman, times, serif" w:eastAsia="times new roman, times, serif"/>
                <w:sz w:val="24"/>
              </w:rPr>
              <w:t>107520GB</w:t>
            </w:r>
            <w:r>
              <w:rPr>
                <w:rFonts w:ascii="宋体" w:hAnsi="宋体" w:cs="宋体" w:eastAsia="宋体"/>
                <w:sz w:val="24"/>
              </w:rPr>
              <w:t>，</w:t>
            </w:r>
            <w:r>
              <w:rPr>
                <w:rFonts w:ascii="宋体" w:hAnsi="宋体" w:cs="宋体" w:eastAsia="宋体"/>
                <w:sz w:val="24"/>
              </w:rPr>
              <w:t>使</w:t>
            </w:r>
            <w:r>
              <w:rPr>
                <w:rFonts w:ascii="&quot;times new roman&quot;" w:hAnsi="&quot;times new roman&quot;" w:cs="&quot;times new roman&quot;" w:eastAsia="&quot;times new roman&quot;"/>
                <w:sz w:val="24"/>
              </w:rPr>
              <w:t>vCPU</w:t>
            </w:r>
            <w:r>
              <w:rPr>
                <w:rFonts w:ascii="宋体" w:hAnsi="宋体" w:cs="宋体" w:eastAsia="宋体"/>
                <w:sz w:val="24"/>
              </w:rPr>
              <w:t>与内存比达到</w:t>
            </w:r>
            <w:r>
              <w:rPr>
                <w:rFonts w:ascii="times new roman, times, serif" w:hAnsi="times new roman, times, serif" w:cs="times new roman, times, serif" w:eastAsia="times new roman, times, serif"/>
                <w:sz w:val="24"/>
              </w:rPr>
              <w:t>1:2</w:t>
            </w:r>
            <w:r>
              <w:rPr>
                <w:rFonts w:ascii="宋体" w:hAnsi="宋体" w:cs="宋体" w:eastAsia="宋体"/>
                <w:sz w:val="24"/>
              </w:rPr>
              <w:t>，解决物理服务器资源不足问题，提升政务云资源利用率。</w:t>
            </w:r>
            <w:r>
              <w:rPr>
                <w:rFonts w:ascii="宋体" w:hAnsi="宋体" w:cs="宋体" w:eastAsia="宋体"/>
                <w:sz w:val="24"/>
              </w:rPr>
              <w:t>（</w:t>
            </w:r>
            <w:r>
              <w:rPr>
                <w:rFonts w:ascii="宋体" w:hAnsi="宋体" w:cs="宋体" w:eastAsia="宋体"/>
                <w:sz w:val="24"/>
              </w:rPr>
              <w:t>供应商须承诺所配内存为原厂内存，并出具承诺函</w:t>
            </w:r>
            <w:r>
              <w:rPr>
                <w:rFonts w:ascii="宋体" w:hAnsi="宋体" w:cs="宋体" w:eastAsia="宋体"/>
                <w:sz w:val="24"/>
              </w:rPr>
              <w:t>）</w:t>
            </w:r>
          </w:p>
          <w:p>
            <w:pPr>
              <w:pStyle w:val="null3"/>
              <w:ind w:firstLine="480"/>
              <w:jc w:val="both"/>
            </w:pPr>
            <w:r>
              <w:rPr>
                <w:rFonts w:ascii="&quot;times new roman&quot;" w:hAnsi="&quot;times new roman&quot;" w:cs="&quot;times new roman&quot;" w:eastAsia="&quot;times new roman&quot;"/>
                <w:sz w:val="24"/>
              </w:rPr>
              <w:t xml:space="preserve">2. </w:t>
            </w:r>
            <w:r>
              <w:rPr>
                <w:rFonts w:ascii="宋体" w:hAnsi="宋体" w:cs="宋体" w:eastAsia="宋体"/>
                <w:sz w:val="24"/>
              </w:rPr>
              <w:t>基础软件能力提升服务：采购至少</w:t>
            </w:r>
            <w:r>
              <w:rPr>
                <w:rFonts w:ascii="times new roman, times, serif" w:hAnsi="times new roman, times, serif" w:cs="times new roman, times, serif" w:eastAsia="times new roman, times, serif"/>
                <w:sz w:val="24"/>
              </w:rPr>
              <w:t>350</w:t>
            </w:r>
            <w:r>
              <w:rPr>
                <w:rFonts w:ascii="宋体" w:hAnsi="宋体" w:cs="宋体" w:eastAsia="宋体"/>
                <w:sz w:val="24"/>
              </w:rPr>
              <w:t>个数据库实例和</w:t>
            </w:r>
            <w:r>
              <w:rPr>
                <w:rFonts w:ascii="times new roman, times, serif" w:hAnsi="times new roman, times, serif" w:cs="times new roman, times, serif" w:eastAsia="times new roman, times, serif"/>
                <w:sz w:val="24"/>
              </w:rPr>
              <w:t>264</w:t>
            </w:r>
            <w:r>
              <w:rPr>
                <w:rFonts w:ascii="宋体" w:hAnsi="宋体" w:cs="宋体" w:eastAsia="宋体"/>
                <w:sz w:val="24"/>
              </w:rPr>
              <w:t>个中间件实例，支撑业务系统测试需求和新审批系统的资源需求。这些基于云的数据库和中间件将采用共享实例方式部署在西咸信创云上，提高资源利用，实现即时可用、稳定可靠、弹性伸缩和便捷管理。同时，通过监管多厂商中间件和数据库，提供应用系统运行状况的全面监控分析数据，及时告警，帮助运维人员快速定位和解决系统故障。</w:t>
            </w:r>
          </w:p>
          <w:p>
            <w:pPr>
              <w:pStyle w:val="null3"/>
              <w:ind w:firstLine="480"/>
              <w:jc w:val="both"/>
            </w:pPr>
            <w:r>
              <w:rPr>
                <w:rFonts w:ascii="&quot;times new roman&quot;" w:hAnsi="&quot;times new roman&quot;" w:cs="&quot;times new roman&quot;" w:eastAsia="&quot;times new roman&quot;"/>
                <w:sz w:val="24"/>
              </w:rPr>
              <w:t xml:space="preserve">3. </w:t>
            </w:r>
            <w:r>
              <w:rPr>
                <w:rFonts w:ascii="宋体" w:hAnsi="宋体" w:cs="宋体" w:eastAsia="宋体"/>
                <w:sz w:val="24"/>
              </w:rPr>
              <w:t>资源分配与使用效率提升服务：制定评估标准，按照这些标准对上云业务系统进行性能评估，优化资源分配，指导新系统资源分配，确保高效利用。</w:t>
            </w:r>
          </w:p>
          <w:p>
            <w:pPr>
              <w:pStyle w:val="null3"/>
              <w:ind w:firstLine="480"/>
              <w:jc w:val="both"/>
            </w:pPr>
            <w:r>
              <w:rPr>
                <w:rFonts w:ascii="&quot;times new roman&quot;" w:hAnsi="&quot;times new roman&quot;" w:cs="&quot;times new roman&quot;" w:eastAsia="&quot;times new roman&quot;"/>
                <w:sz w:val="24"/>
              </w:rPr>
              <w:t xml:space="preserve">4. </w:t>
            </w:r>
            <w:r>
              <w:rPr>
                <w:rFonts w:ascii="宋体" w:hAnsi="宋体" w:cs="宋体" w:eastAsia="宋体"/>
                <w:sz w:val="24"/>
              </w:rPr>
              <w:t>动态测试区服务：设立动态测试区，让新业务系统在此完成软件适配、兼容性和性能测试。根据测试结果，调整资源配比，并将测试区资源和业务系统转化为生产环境，加速业务系统上线。</w:t>
            </w:r>
          </w:p>
          <w:p>
            <w:pPr>
              <w:pStyle w:val="null3"/>
              <w:ind w:firstLine="480"/>
              <w:jc w:val="both"/>
            </w:pPr>
            <w:r>
              <w:rPr>
                <w:rFonts w:ascii="&quot;times new roman&quot;" w:hAnsi="&quot;times new roman&quot;" w:cs="&quot;times new roman&quot;" w:eastAsia="&quot;times new roman&quot;"/>
                <w:sz w:val="24"/>
              </w:rPr>
              <w:t xml:space="preserve">5. </w:t>
            </w:r>
            <w:r>
              <w:rPr>
                <w:rFonts w:ascii="宋体" w:hAnsi="宋体" w:cs="宋体" w:eastAsia="宋体"/>
                <w:sz w:val="24"/>
              </w:rPr>
              <w:t>一体化资源监管与管理平台对接：优化现有安全防护能力，整合云管平台北向接口与一体化资源监管与管理平台，满足统一监管需求。</w:t>
            </w:r>
          </w:p>
          <w:p>
            <w:pPr>
              <w:pStyle w:val="null3"/>
              <w:ind w:firstLine="480"/>
              <w:jc w:val="center"/>
            </w:pPr>
            <w:r>
              <w:rPr>
                <w:rFonts w:ascii="宋体" w:hAnsi="宋体" w:cs="宋体" w:eastAsia="宋体"/>
                <w:sz w:val="24"/>
              </w:rPr>
              <w:t>服务清单</w:t>
            </w:r>
          </w:p>
          <w:tbl>
            <w:tblPr>
              <w:tblInd w:type="dxa" w:w="120"/>
              <w:tblBorders>
                <w:top w:val="none" w:color="000000" w:sz="4"/>
                <w:left w:val="none" w:color="000000" w:sz="4"/>
                <w:bottom w:val="none" w:color="000000" w:sz="4"/>
                <w:right w:val="none" w:color="000000" w:sz="4"/>
                <w:insideH w:val="none"/>
                <w:insideV w:val="none"/>
              </w:tblBorders>
            </w:tblPr>
            <w:tblGrid>
              <w:gridCol w:w="232"/>
              <w:gridCol w:w="321"/>
              <w:gridCol w:w="1063"/>
              <w:gridCol w:w="212"/>
              <w:gridCol w:w="326"/>
              <w:gridCol w:w="380"/>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服务内容</w:t>
                  </w:r>
                </w:p>
              </w:tc>
              <w:tc>
                <w:tcPr>
                  <w:tcW w:type="dxa" w:w="10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单位</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备注</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内存扩容服务</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内存扩容服务：计划通过购买服务方式为电子政务外网区增添</w:t>
                  </w:r>
                  <w:r>
                    <w:rPr>
                      <w:rFonts w:ascii="&quot;times new roman&quot;" w:hAnsi="&quot;times new roman&quot;" w:cs="&quot;times new roman&quot;" w:eastAsia="&quot;times new roman&quot;"/>
                      <w:sz w:val="24"/>
                    </w:rPr>
                    <w:t>144384 G</w:t>
                  </w:r>
                  <w:r>
                    <w:rPr>
                      <w:rFonts w:ascii="宋体" w:hAnsi="宋体" w:cs="宋体" w:eastAsia="宋体"/>
                      <w:sz w:val="24"/>
                    </w:rPr>
                    <w:t>内存，</w:t>
                  </w:r>
                  <w:r>
                    <w:rPr>
                      <w:rFonts w:ascii="宋体" w:hAnsi="宋体" w:cs="宋体" w:eastAsia="宋体"/>
                      <w:sz w:val="24"/>
                    </w:rPr>
                    <w:t>其中</w:t>
                  </w:r>
                  <w:r>
                    <w:rPr>
                      <w:rFonts w:ascii="&quot;times new roman&quot;" w:hAnsi="&quot;times new roman&quot;" w:cs="&quot;times new roman&quot;" w:eastAsia="&quot;times new roman&quot;"/>
                      <w:sz w:val="24"/>
                    </w:rPr>
                    <w:t>C86</w:t>
                  </w:r>
                  <w:r>
                    <w:rPr>
                      <w:rFonts w:ascii="宋体" w:hAnsi="宋体" w:cs="宋体" w:eastAsia="宋体"/>
                      <w:sz w:val="24"/>
                    </w:rPr>
                    <w:t>区扩容内存</w:t>
                  </w:r>
                  <w:r>
                    <w:rPr>
                      <w:rFonts w:ascii="times new roman, times, serif" w:hAnsi="times new roman, times, serif" w:cs="times new roman, times, serif" w:eastAsia="times new roman, times, serif"/>
                      <w:sz w:val="24"/>
                    </w:rPr>
                    <w:t>36864 GB</w:t>
                  </w:r>
                  <w:r>
                    <w:rPr>
                      <w:rFonts w:ascii="宋体" w:hAnsi="宋体" w:cs="宋体" w:eastAsia="宋体"/>
                      <w:sz w:val="24"/>
                    </w:rPr>
                    <w:t>，</w:t>
                  </w:r>
                  <w:r>
                    <w:rPr>
                      <w:rFonts w:ascii="times new roman, times, serif" w:hAnsi="times new roman, times, serif" w:cs="times new roman, times, serif" w:eastAsia="times new roman, times, serif"/>
                      <w:sz w:val="24"/>
                    </w:rPr>
                    <w:t>ARM</w:t>
                  </w:r>
                  <w:r>
                    <w:rPr>
                      <w:rFonts w:ascii="宋体" w:hAnsi="宋体" w:cs="宋体" w:eastAsia="宋体"/>
                      <w:sz w:val="24"/>
                    </w:rPr>
                    <w:t xml:space="preserve">区扩容内存 </w:t>
                  </w:r>
                  <w:r>
                    <w:rPr>
                      <w:rFonts w:ascii="times new roman, times, serif" w:hAnsi="times new roman, times, serif" w:cs="times new roman, times, serif" w:eastAsia="times new roman, times, serif"/>
                      <w:sz w:val="24"/>
                    </w:rPr>
                    <w:t>107520GB</w:t>
                  </w:r>
                  <w:r>
                    <w:rPr>
                      <w:rFonts w:ascii="宋体" w:hAnsi="宋体" w:cs="宋体" w:eastAsia="宋体"/>
                      <w:sz w:val="24"/>
                    </w:rPr>
                    <w:t>，</w:t>
                  </w:r>
                  <w:r>
                    <w:rPr>
                      <w:rFonts w:ascii="宋体" w:hAnsi="宋体" w:cs="宋体" w:eastAsia="宋体"/>
                      <w:sz w:val="24"/>
                    </w:rPr>
                    <w:t>使</w:t>
                  </w:r>
                  <w:r>
                    <w:rPr>
                      <w:rFonts w:ascii="&quot;times new roman&quot;" w:hAnsi="&quot;times new roman&quot;" w:cs="&quot;times new roman&quot;" w:eastAsia="&quot;times new roman&quot;"/>
                      <w:sz w:val="24"/>
                    </w:rPr>
                    <w:t>vCPU</w:t>
                  </w:r>
                  <w:r>
                    <w:rPr>
                      <w:rFonts w:ascii="宋体" w:hAnsi="宋体" w:cs="宋体" w:eastAsia="宋体"/>
                      <w:sz w:val="24"/>
                    </w:rPr>
                    <w:t>与内存比达到</w:t>
                  </w:r>
                  <w:r>
                    <w:rPr>
                      <w:rFonts w:ascii="times new roman, times, serif" w:hAnsi="times new roman, times, serif" w:cs="times new roman, times, serif" w:eastAsia="times new roman, times, serif"/>
                      <w:sz w:val="24"/>
                    </w:rPr>
                    <w:t>1:2</w:t>
                  </w:r>
                  <w:r>
                    <w:rPr>
                      <w:rFonts w:ascii="宋体" w:hAnsi="宋体" w:cs="宋体" w:eastAsia="宋体"/>
                      <w:sz w:val="24"/>
                    </w:rPr>
                    <w:t>，解决物理服务器资源不足问题，提升政务云资源利用率。</w:t>
                  </w:r>
                  <w:r>
                    <w:rPr>
                      <w:rFonts w:ascii="宋体" w:hAnsi="宋体" w:cs="宋体" w:eastAsia="宋体"/>
                      <w:sz w:val="24"/>
                    </w:rPr>
                    <w:t>（</w:t>
                  </w:r>
                  <w:r>
                    <w:rPr>
                      <w:rFonts w:ascii="宋体" w:hAnsi="宋体" w:cs="宋体" w:eastAsia="宋体"/>
                      <w:sz w:val="24"/>
                    </w:rPr>
                    <w:t>供应商须承诺所配内存为原厂内存，并出具承诺函</w:t>
                  </w:r>
                  <w:r>
                    <w:rPr>
                      <w:rFonts w:ascii="宋体" w:hAnsi="宋体" w:cs="宋体" w:eastAsia="宋体"/>
                      <w:sz w:val="24"/>
                    </w:rPr>
                    <w:t>）</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G</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144384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基础软件能力提升服务</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提供符合国产化要求的应用服务器（中间件）</w:t>
                  </w:r>
                </w:p>
                <w:p>
                  <w:pPr>
                    <w:pStyle w:val="null3"/>
                    <w:jc w:val="left"/>
                  </w:pPr>
                  <w:r>
                    <w:rPr>
                      <w:rFonts w:ascii="宋体" w:hAnsi="宋体" w:cs="宋体" w:eastAsia="宋体"/>
                      <w:sz w:val="24"/>
                    </w:rPr>
                    <w:t>服务要求：</w:t>
                  </w:r>
                </w:p>
                <w:p>
                  <w:pPr>
                    <w:pStyle w:val="null3"/>
                    <w:jc w:val="left"/>
                  </w:pPr>
                  <w:r>
                    <w:rPr>
                      <w:rFonts w:ascii="宋体" w:hAnsi="宋体" w:cs="宋体" w:eastAsia="宋体"/>
                      <w:sz w:val="24"/>
                    </w:rPr>
                    <w:t>通过提供中间件平台实现对中间件统一管理服务，支持对国产化中间件的开通创建、管理、配置和运维，确保安全可靠。</w:t>
                  </w:r>
                  <w:r>
                    <w:br/>
                  </w:r>
                  <w:r>
                    <w:rPr>
                      <w:rFonts w:ascii="宋体" w:hAnsi="宋体" w:cs="宋体" w:eastAsia="宋体"/>
                      <w:sz w:val="24"/>
                    </w:rPr>
                    <w:t>提供</w:t>
                  </w:r>
                  <w:r>
                    <w:rPr>
                      <w:rFonts w:ascii="宋体" w:hAnsi="宋体" w:cs="宋体" w:eastAsia="宋体"/>
                      <w:sz w:val="24"/>
                    </w:rPr>
                    <w:t>东方通、金蝶等</w:t>
                  </w:r>
                  <w:r>
                    <w:rPr>
                      <w:rFonts w:ascii="宋体" w:hAnsi="宋体" w:cs="宋体" w:eastAsia="宋体"/>
                      <w:sz w:val="24"/>
                    </w:rPr>
                    <w:t>中间件的监控、日志和告警系统等运维服务，并与</w:t>
                  </w:r>
                  <w:r>
                    <w:rPr>
                      <w:rFonts w:ascii="宋体" w:hAnsi="宋体" w:cs="宋体" w:eastAsia="宋体"/>
                      <w:sz w:val="24"/>
                    </w:rPr>
                    <w:t>IaaS云平台的统一运维平台实现业务协同，统一告警事件和对接工单系统。</w:t>
                  </w:r>
                  <w:r>
                    <w:br/>
                  </w:r>
                  <w:r>
                    <w:rPr>
                      <w:rFonts w:ascii="宋体" w:hAnsi="宋体" w:cs="宋体" w:eastAsia="宋体"/>
                      <w:sz w:val="24"/>
                    </w:rPr>
                    <w:t>对</w:t>
                  </w:r>
                  <w:r>
                    <w:rPr>
                      <w:rFonts w:ascii="宋体" w:hAnsi="宋体" w:cs="宋体" w:eastAsia="宋体"/>
                      <w:sz w:val="24"/>
                    </w:rPr>
                    <w:t>云内</w:t>
                  </w:r>
                  <w:r>
                    <w:rPr>
                      <w:rFonts w:ascii="宋体" w:hAnsi="宋体" w:cs="宋体" w:eastAsia="宋体"/>
                      <w:sz w:val="24"/>
                    </w:rPr>
                    <w:t>的数据库及中间件产品，可通过</w:t>
                  </w:r>
                  <w:r>
                    <w:rPr>
                      <w:rFonts w:ascii="宋体" w:hAnsi="宋体" w:cs="宋体" w:eastAsia="宋体"/>
                      <w:sz w:val="24"/>
                    </w:rPr>
                    <w:t>API接口或其他方式进行使用状态监控。</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实例</w:t>
                  </w:r>
                  <w:r>
                    <w:rPr>
                      <w:rFonts w:ascii="宋体" w:hAnsi="宋体" w:cs="宋体" w:eastAsia="宋体"/>
                      <w:sz w:val="24"/>
                    </w:rPr>
                    <w:t>/年</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提供集中式和分布式数据库服务，供应商出具数据库满足国产化相关政策和标准要求的承诺函。</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实例</w:t>
                  </w:r>
                  <w:r>
                    <w:rPr>
                      <w:rFonts w:ascii="宋体" w:hAnsi="宋体" w:cs="宋体" w:eastAsia="宋体"/>
                      <w:sz w:val="24"/>
                    </w:rPr>
                    <w:t>/年</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资源分配与使用效率提升服务</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提供专职团队对西咸信创云现有业务系统和虚拟机使用情况进行定期评估，并基于评估结果，对未充分利用的资源进行释放或适当增容，以提升整体云资源的使用效率，并确保资源分配与实际需求相匹配。针对单个业务系统及其使用的虚拟机，制定详尽的性能提升方案。按月</w:t>
                  </w:r>
                  <w:r>
                    <w:rPr>
                      <w:rFonts w:ascii="宋体" w:hAnsi="宋体" w:cs="宋体" w:eastAsia="宋体"/>
                      <w:sz w:val="24"/>
                    </w:rPr>
                    <w:t>/季度/年向采购人提供云资源使用报告，并配合采购人业务虚机资源进行调整。</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年</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动态测试区服务</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基于信创政务云现有的云资源，构建一个专门的信创政务云测试区。测试区与现有的生产环境进行逻辑隔离，以确保测试活动不会影响到实际生产环境的运行。配合业务系统完成测试区资源开通、测试区操作系统、数据库、中间件软件部署、上线前的安全检查、性能与资源测试、测试区资源转生产区资源等工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年</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一体化资源监管与管理平台对接服务</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供应商需要对现有云平台北向接口进行优化，满足一体化资源监管与管理平台对接要求，实现采购人统一监管的目标。</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年</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outlineLvl w:val="1"/>
            </w:pPr>
            <w:r>
              <w:rPr>
                <w:rFonts w:ascii="仿宋_gb2312" w:hAnsi="仿宋_gb2312" w:cs="仿宋_gb2312" w:eastAsia="仿宋_gb2312"/>
                <w:sz w:val="24"/>
                <w:b/>
              </w:rPr>
              <w:t>3</w:t>
            </w:r>
            <w:r>
              <w:rPr>
                <w:rFonts w:ascii="仿宋_gb2312" w:hAnsi="仿宋_gb2312" w:cs="仿宋_gb2312" w:eastAsia="仿宋_gb2312"/>
                <w:sz w:val="24"/>
                <w:b/>
              </w:rPr>
              <w:t>.3</w:t>
            </w:r>
            <w:r>
              <w:rPr>
                <w:rFonts w:ascii="仿宋_gb2312" w:hAnsi="仿宋_gb2312" w:cs="仿宋_gb2312" w:eastAsia="仿宋_gb2312"/>
                <w:sz w:val="24"/>
                <w:b/>
              </w:rPr>
              <w:t>服务</w:t>
            </w:r>
            <w:r>
              <w:rPr>
                <w:rFonts w:ascii="仿宋_gb2312" w:hAnsi="仿宋_gb2312" w:cs="仿宋_gb2312" w:eastAsia="仿宋_gb2312"/>
                <w:sz w:val="24"/>
                <w:b/>
              </w:rPr>
              <w:t>要求</w:t>
            </w:r>
          </w:p>
          <w:p>
            <w:pPr>
              <w:pStyle w:val="null3"/>
              <w:outlineLvl w:val="2"/>
            </w:pPr>
            <w:r>
              <w:rPr>
                <w:rFonts w:ascii="仿宋_gb2312" w:hAnsi="仿宋_gb2312" w:cs="仿宋_gb2312" w:eastAsia="仿宋_gb2312"/>
                <w:sz w:val="24"/>
                <w:b/>
              </w:rPr>
              <w:t>3.</w:t>
            </w:r>
            <w:r>
              <w:rPr>
                <w:rFonts w:ascii="仿宋_gb2312" w:hAnsi="仿宋_gb2312" w:cs="仿宋_gb2312" w:eastAsia="仿宋_gb2312"/>
                <w:sz w:val="24"/>
                <w:b/>
              </w:rPr>
              <w:t>3.</w:t>
            </w:r>
            <w:r>
              <w:rPr>
                <w:rFonts w:ascii="仿宋_gb2312" w:hAnsi="仿宋_gb2312" w:cs="仿宋_gb2312" w:eastAsia="仿宋_gb2312"/>
                <w:sz w:val="24"/>
                <w:b/>
              </w:rPr>
              <w:t>1 内存扩容</w:t>
            </w:r>
            <w:r>
              <w:rPr>
                <w:rFonts w:ascii="仿宋_gb2312" w:hAnsi="仿宋_gb2312" w:cs="仿宋_gb2312" w:eastAsia="仿宋_gb2312"/>
                <w:sz w:val="24"/>
                <w:b/>
              </w:rPr>
              <w:t>服务要求</w:t>
            </w:r>
          </w:p>
          <w:p>
            <w:pPr>
              <w:pStyle w:val="null3"/>
              <w:ind w:firstLine="480"/>
            </w:pPr>
            <w:r>
              <w:rPr>
                <w:rFonts w:ascii="宋体" w:hAnsi="宋体" w:cs="宋体" w:eastAsia="宋体"/>
                <w:sz w:val="24"/>
              </w:rPr>
              <w:t>内存扩容服务：计划通过购买服务方式</w:t>
            </w:r>
            <w:r>
              <w:rPr>
                <w:rFonts w:ascii="宋体" w:hAnsi="宋体" w:cs="宋体" w:eastAsia="宋体"/>
                <w:sz w:val="24"/>
              </w:rPr>
              <w:t>，</w:t>
            </w:r>
            <w:r>
              <w:rPr>
                <w:rFonts w:ascii="宋体" w:hAnsi="宋体" w:cs="宋体" w:eastAsia="宋体"/>
                <w:sz w:val="24"/>
              </w:rPr>
              <w:t>为</w:t>
            </w:r>
            <w:r>
              <w:rPr>
                <w:rFonts w:ascii="宋体" w:hAnsi="宋体" w:cs="宋体" w:eastAsia="宋体"/>
                <w:sz w:val="24"/>
              </w:rPr>
              <w:t>电子政务外网区增添</w:t>
            </w:r>
            <w:r>
              <w:rPr>
                <w:rFonts w:ascii="&quot;times new roman&quot;" w:hAnsi="&quot;times new roman&quot;" w:cs="&quot;times new roman&quot;" w:eastAsia="&quot;times new roman&quot;"/>
                <w:sz w:val="24"/>
              </w:rPr>
              <w:t>144384 G</w:t>
            </w:r>
            <w:r>
              <w:rPr>
                <w:rFonts w:ascii="宋体" w:hAnsi="宋体" w:cs="宋体" w:eastAsia="宋体"/>
                <w:sz w:val="24"/>
              </w:rPr>
              <w:t>内存，</w:t>
            </w:r>
            <w:r>
              <w:rPr>
                <w:rFonts w:ascii="宋体" w:hAnsi="宋体" w:cs="宋体" w:eastAsia="宋体"/>
                <w:sz w:val="24"/>
              </w:rPr>
              <w:t>其中</w:t>
            </w:r>
            <w:r>
              <w:rPr>
                <w:rFonts w:ascii="&quot;times new roman&quot;" w:hAnsi="&quot;times new roman&quot;" w:cs="&quot;times new roman&quot;" w:eastAsia="&quot;times new roman&quot;"/>
                <w:sz w:val="24"/>
              </w:rPr>
              <w:t>C86</w:t>
            </w:r>
            <w:r>
              <w:rPr>
                <w:rFonts w:ascii="宋体" w:hAnsi="宋体" w:cs="宋体" w:eastAsia="宋体"/>
                <w:sz w:val="24"/>
              </w:rPr>
              <w:t>区扩容内存</w:t>
            </w:r>
            <w:r>
              <w:rPr>
                <w:rFonts w:ascii="times new roman, times, serif" w:hAnsi="times new roman, times, serif" w:cs="times new roman, times, serif" w:eastAsia="times new roman, times, serif"/>
                <w:sz w:val="24"/>
              </w:rPr>
              <w:t>36864 GB</w:t>
            </w:r>
            <w:r>
              <w:rPr>
                <w:rFonts w:ascii="宋体" w:hAnsi="宋体" w:cs="宋体" w:eastAsia="宋体"/>
                <w:sz w:val="24"/>
              </w:rPr>
              <w:t>，</w:t>
            </w:r>
            <w:r>
              <w:rPr>
                <w:rFonts w:ascii="times new roman, times, serif" w:hAnsi="times new roman, times, serif" w:cs="times new roman, times, serif" w:eastAsia="times new roman, times, serif"/>
                <w:sz w:val="24"/>
              </w:rPr>
              <w:t>ARM</w:t>
            </w:r>
            <w:r>
              <w:rPr>
                <w:rFonts w:ascii="宋体" w:hAnsi="宋体" w:cs="宋体" w:eastAsia="宋体"/>
                <w:sz w:val="24"/>
              </w:rPr>
              <w:t xml:space="preserve">区扩容内存 </w:t>
            </w:r>
            <w:r>
              <w:rPr>
                <w:rFonts w:ascii="times new roman, times, serif" w:hAnsi="times new roman, times, serif" w:cs="times new roman, times, serif" w:eastAsia="times new roman, times, serif"/>
                <w:sz w:val="24"/>
              </w:rPr>
              <w:t>107520GB</w:t>
            </w:r>
            <w:r>
              <w:rPr>
                <w:rFonts w:ascii="宋体" w:hAnsi="宋体" w:cs="宋体" w:eastAsia="宋体"/>
                <w:sz w:val="24"/>
              </w:rPr>
              <w:t>，</w:t>
            </w:r>
            <w:r>
              <w:rPr>
                <w:rFonts w:ascii="宋体" w:hAnsi="宋体" w:cs="宋体" w:eastAsia="宋体"/>
                <w:sz w:val="24"/>
              </w:rPr>
              <w:t>使</w:t>
            </w:r>
            <w:r>
              <w:rPr>
                <w:rFonts w:ascii="&quot;times new roman&quot;" w:hAnsi="&quot;times new roman&quot;" w:cs="&quot;times new roman&quot;" w:eastAsia="&quot;times new roman&quot;"/>
                <w:sz w:val="24"/>
              </w:rPr>
              <w:t>vCPU</w:t>
            </w:r>
            <w:r>
              <w:rPr>
                <w:rFonts w:ascii="宋体" w:hAnsi="宋体" w:cs="宋体" w:eastAsia="宋体"/>
                <w:sz w:val="24"/>
              </w:rPr>
              <w:t>与内存比达到</w:t>
            </w:r>
            <w:r>
              <w:rPr>
                <w:rFonts w:ascii="times new roman, times, serif" w:hAnsi="times new roman, times, serif" w:cs="times new roman, times, serif" w:eastAsia="times new roman, times, serif"/>
                <w:sz w:val="24"/>
              </w:rPr>
              <w:t>1:2</w:t>
            </w:r>
            <w:r>
              <w:rPr>
                <w:rFonts w:ascii="宋体" w:hAnsi="宋体" w:cs="宋体" w:eastAsia="宋体"/>
                <w:sz w:val="24"/>
              </w:rPr>
              <w:t>，解决物理服务器资源不足问题，提升政务云资源利用率。</w:t>
            </w:r>
            <w:r>
              <w:rPr>
                <w:rFonts w:ascii="宋体" w:hAnsi="宋体" w:cs="宋体" w:eastAsia="宋体"/>
                <w:sz w:val="24"/>
              </w:rPr>
              <w:t>（</w:t>
            </w:r>
            <w:r>
              <w:rPr>
                <w:rFonts w:ascii="宋体" w:hAnsi="宋体" w:cs="宋体" w:eastAsia="宋体"/>
                <w:sz w:val="24"/>
              </w:rPr>
              <w:t>供应商须承诺所配内存为原厂内存，并出具承诺函</w:t>
            </w:r>
            <w:r>
              <w:rPr>
                <w:rFonts w:ascii="宋体" w:hAnsi="宋体" w:cs="宋体" w:eastAsia="宋体"/>
                <w:sz w:val="24"/>
              </w:rPr>
              <w:t>）</w:t>
            </w:r>
          </w:p>
          <w:p>
            <w:pPr>
              <w:pStyle w:val="null3"/>
              <w:ind w:firstLine="480"/>
            </w:pPr>
            <w:r>
              <w:rPr>
                <w:rFonts w:ascii="宋体" w:hAnsi="宋体" w:cs="宋体" w:eastAsia="宋体"/>
                <w:sz w:val="24"/>
              </w:rPr>
              <w:t>服务要求：</w:t>
            </w:r>
          </w:p>
          <w:p>
            <w:pPr>
              <w:pStyle w:val="null3"/>
              <w:ind w:firstLine="480"/>
            </w:pPr>
            <w:r>
              <w:rPr>
                <w:rFonts w:ascii="times new roman, times, serif" w:hAnsi="times new roman, times, serif" w:cs="times new roman, times, serif" w:eastAsia="times new roman, times, serif"/>
                <w:sz w:val="24"/>
              </w:rPr>
              <w:t>1.</w:t>
            </w:r>
            <w:r>
              <w:rPr>
                <w:rFonts w:ascii="宋体" w:hAnsi="宋体" w:cs="宋体" w:eastAsia="宋体"/>
                <w:sz w:val="24"/>
              </w:rPr>
              <w:t>为降低因物理机内存扩容对云平台现有业务造成影响，服务商需对物理机内存扩容实施方案进行详细描述，明确扩容时间、扩容方案等；</w:t>
            </w:r>
          </w:p>
          <w:p>
            <w:pPr>
              <w:pStyle w:val="null3"/>
              <w:ind w:firstLine="480"/>
            </w:pPr>
            <w:r>
              <w:rPr>
                <w:rFonts w:ascii="times new roman, times, serif" w:hAnsi="times new roman, times, serif" w:cs="times new roman, times, serif" w:eastAsia="times new roman, times, serif"/>
                <w:sz w:val="24"/>
              </w:rPr>
              <w:t>2</w:t>
            </w:r>
            <w:r>
              <w:rPr>
                <w:rFonts w:ascii="times new roman, times, serif" w:hAnsi="times new roman, times, serif" w:cs="times new roman, times, serif" w:eastAsia="times new roman, times, serif"/>
                <w:sz w:val="24"/>
              </w:rPr>
              <w:t>.</w:t>
            </w:r>
            <w:r>
              <w:rPr>
                <w:rFonts w:ascii="宋体" w:hAnsi="宋体" w:cs="宋体" w:eastAsia="宋体"/>
                <w:sz w:val="24"/>
              </w:rPr>
              <w:t>供应商在服务方案中需提供合理的内存扩容方案，并针对内存扩容风险及应急预案有详细处置措施；</w:t>
            </w:r>
          </w:p>
          <w:p>
            <w:pPr>
              <w:pStyle w:val="null3"/>
              <w:ind w:firstLine="480"/>
            </w:pPr>
            <w:r>
              <w:rPr>
                <w:rFonts w:ascii="times new roman, times, serif" w:hAnsi="times new roman, times, serif" w:cs="times new roman, times, serif" w:eastAsia="times new roman, times, serif"/>
                <w:sz w:val="24"/>
              </w:rPr>
              <w:t>3</w:t>
            </w:r>
            <w:r>
              <w:rPr>
                <w:rFonts w:ascii="times new roman, times, serif" w:hAnsi="times new roman, times, serif" w:cs="times new roman, times, serif" w:eastAsia="times new roman, times, serif"/>
                <w:sz w:val="24"/>
              </w:rPr>
              <w:t>.</w:t>
            </w:r>
            <w:r>
              <w:rPr>
                <w:rFonts w:ascii="宋体" w:hAnsi="宋体" w:cs="宋体" w:eastAsia="宋体"/>
                <w:sz w:val="24"/>
              </w:rPr>
              <w:t>物理机内存扩容整体工期在</w:t>
            </w:r>
            <w:r>
              <w:rPr>
                <w:rFonts w:ascii="times new roman, times, serif" w:hAnsi="times new roman, times, serif" w:cs="times new roman, times, serif" w:eastAsia="times new roman, times, serif"/>
                <w:sz w:val="24"/>
              </w:rPr>
              <w:t>2024</w:t>
            </w:r>
            <w:r>
              <w:rPr>
                <w:rFonts w:ascii="宋体" w:hAnsi="宋体" w:cs="宋体" w:eastAsia="宋体"/>
                <w:sz w:val="24"/>
              </w:rPr>
              <w:t>年</w:t>
            </w:r>
            <w:r>
              <w:rPr>
                <w:rFonts w:ascii="times new roman, times, serif" w:hAnsi="times new roman, times, serif" w:cs="times new roman, times, serif" w:eastAsia="times new roman, times, serif"/>
                <w:sz w:val="24"/>
              </w:rPr>
              <w:t>10</w:t>
            </w:r>
            <w:r>
              <w:rPr>
                <w:rFonts w:ascii="宋体" w:hAnsi="宋体" w:cs="宋体" w:eastAsia="宋体"/>
                <w:sz w:val="24"/>
              </w:rPr>
              <w:t>月</w:t>
            </w:r>
            <w:r>
              <w:rPr>
                <w:rFonts w:ascii="times new roman, times, serif" w:hAnsi="times new roman, times, serif" w:cs="times new roman, times, serif" w:eastAsia="times new roman, times, serif"/>
                <w:sz w:val="24"/>
              </w:rPr>
              <w:t>1</w:t>
            </w:r>
            <w:r>
              <w:rPr>
                <w:rFonts w:ascii="宋体" w:hAnsi="宋体" w:cs="宋体" w:eastAsia="宋体"/>
                <w:sz w:val="24"/>
              </w:rPr>
              <w:t>日前</w:t>
            </w:r>
            <w:r>
              <w:rPr>
                <w:rFonts w:ascii="宋体" w:hAnsi="宋体" w:cs="宋体" w:eastAsia="宋体"/>
                <w:sz w:val="24"/>
              </w:rPr>
              <w:t>完成，供应商需对此进行承诺。</w:t>
            </w:r>
          </w:p>
          <w:p>
            <w:pPr>
              <w:pStyle w:val="null3"/>
              <w:outlineLvl w:val="2"/>
            </w:pPr>
            <w:r>
              <w:rPr>
                <w:rFonts w:ascii="仿宋_gb2312" w:hAnsi="仿宋_gb2312" w:cs="仿宋_gb2312" w:eastAsia="仿宋_gb2312"/>
                <w:sz w:val="24"/>
                <w:b/>
              </w:rPr>
              <w:t>3.</w:t>
            </w:r>
            <w:r>
              <w:rPr>
                <w:rFonts w:ascii="仿宋_gb2312" w:hAnsi="仿宋_gb2312" w:cs="仿宋_gb2312" w:eastAsia="仿宋_gb2312"/>
                <w:sz w:val="24"/>
                <w:b/>
              </w:rPr>
              <w:t>3.</w:t>
            </w:r>
            <w:r>
              <w:rPr>
                <w:rFonts w:ascii="仿宋_gb2312" w:hAnsi="仿宋_gb2312" w:cs="仿宋_gb2312" w:eastAsia="仿宋_gb2312"/>
                <w:sz w:val="24"/>
                <w:b/>
              </w:rPr>
              <w:t>2 基础软件能力提升</w:t>
            </w:r>
            <w:r>
              <w:rPr>
                <w:rFonts w:ascii="仿宋_gb2312" w:hAnsi="仿宋_gb2312" w:cs="仿宋_gb2312" w:eastAsia="仿宋_gb2312"/>
                <w:sz w:val="24"/>
                <w:b/>
              </w:rPr>
              <w:t>要求</w:t>
            </w:r>
          </w:p>
          <w:p>
            <w:pPr>
              <w:pStyle w:val="null3"/>
              <w:ind w:firstLine="480"/>
            </w:pPr>
            <w:r>
              <w:rPr>
                <w:rFonts w:ascii="宋体" w:hAnsi="宋体" w:cs="宋体" w:eastAsia="宋体"/>
                <w:sz w:val="24"/>
              </w:rPr>
              <w:t>通过购买服务方式</w:t>
            </w:r>
            <w:r>
              <w:rPr>
                <w:rFonts w:ascii="宋体" w:hAnsi="宋体" w:cs="宋体" w:eastAsia="宋体"/>
                <w:sz w:val="24"/>
              </w:rPr>
              <w:t>增加</w:t>
            </w:r>
            <w:r>
              <w:rPr>
                <w:rFonts w:ascii="宋体" w:hAnsi="宋体" w:cs="宋体" w:eastAsia="宋体"/>
                <w:sz w:val="24"/>
              </w:rPr>
              <w:t>业务系统所需要使用的数据库，中间件，更好地满足长期需求。</w:t>
            </w:r>
          </w:p>
          <w:p>
            <w:pPr>
              <w:pStyle w:val="null3"/>
              <w:outlineLvl w:val="3"/>
            </w:pPr>
            <w:r>
              <w:rPr>
                <w:rFonts w:ascii="仿宋_gb2312" w:hAnsi="仿宋_gb2312" w:cs="仿宋_gb2312" w:eastAsia="仿宋_gb2312"/>
                <w:sz w:val="24"/>
                <w:b/>
              </w:rPr>
              <w:t>3.</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1 PaaS组件及中间件能力提升</w:t>
            </w:r>
          </w:p>
          <w:p>
            <w:pPr>
              <w:pStyle w:val="null3"/>
              <w:ind w:firstLine="480"/>
            </w:pPr>
            <w:r>
              <w:rPr>
                <w:rFonts w:ascii="宋体" w:hAnsi="宋体" w:cs="宋体" w:eastAsia="宋体"/>
                <w:sz w:val="24"/>
              </w:rPr>
              <w:t>供应商</w:t>
            </w:r>
            <w:r>
              <w:rPr>
                <w:rFonts w:ascii="宋体" w:hAnsi="宋体" w:cs="宋体" w:eastAsia="宋体"/>
                <w:sz w:val="24"/>
              </w:rPr>
              <w:t>提供中间件平台实现对中间件统一管理服务，支持对国产化中间件的开通创建、管理、配置和运维，确保安全可靠。</w:t>
            </w:r>
            <w:r>
              <w:br/>
            </w:r>
            <w:r>
              <w:rPr>
                <w:rFonts w:ascii="宋体" w:hAnsi="宋体" w:cs="宋体" w:eastAsia="宋体"/>
                <w:sz w:val="22"/>
              </w:rPr>
              <w:t xml:space="preserve">     </w:t>
            </w:r>
            <w:r>
              <w:rPr>
                <w:rFonts w:ascii="宋体" w:hAnsi="宋体" w:cs="宋体" w:eastAsia="宋体"/>
                <w:sz w:val="24"/>
              </w:rPr>
              <w:t>提供</w:t>
            </w:r>
            <w:r>
              <w:rPr>
                <w:rFonts w:ascii="宋体" w:hAnsi="宋体" w:cs="宋体" w:eastAsia="宋体"/>
                <w:sz w:val="24"/>
              </w:rPr>
              <w:t>东方通、金蝶等</w:t>
            </w:r>
            <w:r>
              <w:rPr>
                <w:rFonts w:ascii="宋体" w:hAnsi="宋体" w:cs="宋体" w:eastAsia="宋体"/>
                <w:sz w:val="24"/>
              </w:rPr>
              <w:t>中间件的监控、日志和告警系统等运维服务，并与</w:t>
            </w:r>
            <w:r>
              <w:rPr>
                <w:rFonts w:ascii="宋体" w:hAnsi="宋体" w:cs="宋体" w:eastAsia="宋体"/>
                <w:sz w:val="24"/>
              </w:rPr>
              <w:t>IaaS云平台的统一运维平台实现业务协同，统一告警事件和对接工单系统。</w:t>
            </w:r>
            <w:r>
              <w:br/>
            </w:r>
            <w:r>
              <w:rPr>
                <w:rFonts w:ascii="宋体" w:hAnsi="宋体" w:cs="宋体" w:eastAsia="宋体"/>
                <w:sz w:val="24"/>
              </w:rPr>
              <w:t>对</w:t>
            </w:r>
            <w:r>
              <w:rPr>
                <w:rFonts w:ascii="宋体" w:hAnsi="宋体" w:cs="宋体" w:eastAsia="宋体"/>
                <w:sz w:val="24"/>
              </w:rPr>
              <w:t>云内</w:t>
            </w:r>
            <w:r>
              <w:rPr>
                <w:rFonts w:ascii="宋体" w:hAnsi="宋体" w:cs="宋体" w:eastAsia="宋体"/>
                <w:sz w:val="24"/>
              </w:rPr>
              <w:t>的数据库及中间件产品，可通过</w:t>
            </w:r>
            <w:r>
              <w:rPr>
                <w:rFonts w:ascii="宋体" w:hAnsi="宋体" w:cs="宋体" w:eastAsia="宋体"/>
                <w:sz w:val="24"/>
              </w:rPr>
              <w:t>API接口或其他方式进行使用状态监控。</w:t>
            </w:r>
          </w:p>
          <w:p>
            <w:pPr>
              <w:pStyle w:val="null3"/>
              <w:ind w:firstLine="480"/>
            </w:pPr>
            <w:r>
              <w:rPr>
                <w:rFonts w:ascii="宋体" w:hAnsi="宋体" w:cs="宋体" w:eastAsia="宋体"/>
                <w:sz w:val="24"/>
              </w:rPr>
              <w:t>主要包括：</w:t>
            </w:r>
          </w:p>
          <w:p>
            <w:pPr>
              <w:pStyle w:val="null3"/>
              <w:ind w:firstLine="480"/>
            </w:pPr>
            <w:r>
              <w:rPr>
                <w:rFonts w:ascii="&quot;times new roman&quot;" w:hAnsi="&quot;times new roman&quot;" w:cs="&quot;times new roman&quot;" w:eastAsia="&quot;times new roman&quot;"/>
                <w:sz w:val="24"/>
              </w:rPr>
              <w:t xml:space="preserve">1. </w:t>
            </w:r>
            <w:r>
              <w:rPr>
                <w:rFonts w:ascii="宋体" w:hAnsi="宋体" w:cs="宋体" w:eastAsia="宋体"/>
                <w:sz w:val="24"/>
              </w:rPr>
              <w:t>中间件云管</w:t>
            </w:r>
            <w:r>
              <w:rPr>
                <w:rFonts w:ascii="times new roman, times, serif" w:hAnsi="times new roman, times, serif" w:cs="times new roman, times, serif" w:eastAsia="times new roman, times, serif"/>
                <w:sz w:val="24"/>
              </w:rPr>
              <w:t>Portal</w:t>
            </w:r>
            <w:r>
              <w:rPr>
                <w:rFonts w:ascii="宋体" w:hAnsi="宋体" w:cs="宋体" w:eastAsia="宋体"/>
                <w:sz w:val="24"/>
              </w:rPr>
              <w:t>门户，与现有的</w:t>
            </w:r>
            <w:r>
              <w:rPr>
                <w:rFonts w:ascii="times new roman, times, serif" w:hAnsi="times new roman, times, serif" w:cs="times new roman, times, serif" w:eastAsia="times new roman, times, serif"/>
                <w:sz w:val="24"/>
              </w:rPr>
              <w:t>IaaS</w:t>
            </w:r>
            <w:r>
              <w:rPr>
                <w:rFonts w:ascii="宋体" w:hAnsi="宋体" w:cs="宋体" w:eastAsia="宋体"/>
                <w:sz w:val="24"/>
              </w:rPr>
              <w:t>云管平台集成，实现统一的工单系统、运营系统和运维系统。</w:t>
            </w:r>
          </w:p>
          <w:p>
            <w:pPr>
              <w:pStyle w:val="null3"/>
              <w:ind w:firstLine="480"/>
            </w:pPr>
            <w:r>
              <w:rPr>
                <w:rFonts w:ascii="&quot;times new roman&quot;" w:hAnsi="&quot;times new roman&quot;" w:cs="&quot;times new roman&quot;" w:eastAsia="&quot;times new roman&quot;"/>
                <w:sz w:val="24"/>
              </w:rPr>
              <w:t xml:space="preserve">2. </w:t>
            </w:r>
            <w:r>
              <w:rPr>
                <w:rFonts w:ascii="宋体" w:hAnsi="宋体" w:cs="宋体" w:eastAsia="宋体"/>
                <w:sz w:val="24"/>
              </w:rPr>
              <w:t>中间件统一管理服务，满足当前业务应用使用的中间件需求，包括国产中间件的创建、管理、配置和运维，确保安全可靠。</w:t>
            </w:r>
          </w:p>
          <w:p>
            <w:pPr>
              <w:pStyle w:val="null3"/>
              <w:ind w:firstLine="480"/>
            </w:pPr>
            <w:r>
              <w:rPr>
                <w:rFonts w:ascii="&quot;times new roman&quot;" w:hAnsi="&quot;times new roman&quot;" w:cs="&quot;times new roman&quot;" w:eastAsia="&quot;times new roman&quot;"/>
                <w:sz w:val="24"/>
              </w:rPr>
              <w:t xml:space="preserve">3. </w:t>
            </w:r>
            <w:r>
              <w:rPr>
                <w:rFonts w:ascii="宋体" w:hAnsi="宋体" w:cs="宋体" w:eastAsia="宋体"/>
                <w:sz w:val="24"/>
              </w:rPr>
              <w:t>在多个容器编排集群上部署和管理容器化的中间件集群实例，支持混合部署管理和标准化部署模式。</w:t>
            </w:r>
          </w:p>
          <w:p>
            <w:pPr>
              <w:pStyle w:val="null3"/>
              <w:ind w:firstLine="480"/>
            </w:pPr>
            <w:r>
              <w:rPr>
                <w:rFonts w:ascii="&quot;times new roman&quot;" w:hAnsi="&quot;times new roman&quot;" w:cs="&quot;times new roman&quot;" w:eastAsia="&quot;times new roman&quot;"/>
                <w:sz w:val="24"/>
              </w:rPr>
              <w:t xml:space="preserve">4. </w:t>
            </w:r>
            <w:r>
              <w:rPr>
                <w:rFonts w:ascii="宋体" w:hAnsi="宋体" w:cs="宋体" w:eastAsia="宋体"/>
                <w:sz w:val="24"/>
              </w:rPr>
              <w:t>开通各类中间件服务，并与</w:t>
            </w:r>
            <w:r>
              <w:rPr>
                <w:rFonts w:ascii="times new roman, times, serif" w:hAnsi="times new roman, times, serif" w:cs="times new roman, times, serif" w:eastAsia="times new roman, times, serif"/>
                <w:sz w:val="24"/>
              </w:rPr>
              <w:t>IaaS</w:t>
            </w:r>
            <w:r>
              <w:rPr>
                <w:rFonts w:ascii="宋体" w:hAnsi="宋体" w:cs="宋体" w:eastAsia="宋体"/>
                <w:sz w:val="24"/>
              </w:rPr>
              <w:t>平台的</w:t>
            </w:r>
            <w:r>
              <w:rPr>
                <w:rFonts w:ascii="times new roman, times, serif" w:hAnsi="times new roman, times, serif" w:cs="times new roman, times, serif" w:eastAsia="times new roman, times, serif"/>
                <w:sz w:val="24"/>
              </w:rPr>
              <w:t>ECS</w:t>
            </w:r>
            <w:r>
              <w:rPr>
                <w:rFonts w:ascii="宋体" w:hAnsi="宋体" w:cs="宋体" w:eastAsia="宋体"/>
                <w:sz w:val="24"/>
              </w:rPr>
              <w:t>、</w:t>
            </w:r>
            <w:r>
              <w:rPr>
                <w:rFonts w:ascii="times new roman, times, serif" w:hAnsi="times new roman, times, serif" w:cs="times new roman, times, serif" w:eastAsia="times new roman, times, serif"/>
                <w:sz w:val="24"/>
              </w:rPr>
              <w:t>VPC</w:t>
            </w:r>
            <w:r>
              <w:rPr>
                <w:rFonts w:ascii="宋体" w:hAnsi="宋体" w:cs="宋体" w:eastAsia="宋体"/>
                <w:sz w:val="24"/>
              </w:rPr>
              <w:t>、存储等无缝集成；支持基于虚拟机的中间件实例动态扩缩容。</w:t>
            </w:r>
          </w:p>
          <w:p>
            <w:pPr>
              <w:pStyle w:val="null3"/>
              <w:ind w:firstLine="480"/>
            </w:pPr>
            <w:r>
              <w:rPr>
                <w:rFonts w:ascii="&quot;times new roman&quot;" w:hAnsi="&quot;times new roman&quot;" w:cs="&quot;times new roman&quot;" w:eastAsia="&quot;times new roman&quot;"/>
                <w:sz w:val="24"/>
              </w:rPr>
              <w:t xml:space="preserve">5. </w:t>
            </w:r>
            <w:r>
              <w:rPr>
                <w:rFonts w:ascii="宋体" w:hAnsi="宋体" w:cs="宋体" w:eastAsia="宋体"/>
                <w:sz w:val="24"/>
              </w:rPr>
              <w:t>构建上述中间件的监控、日志和告警系统等运维服务，并与</w:t>
            </w:r>
            <w:r>
              <w:rPr>
                <w:rFonts w:ascii="times new roman, times, serif" w:hAnsi="times new roman, times, serif" w:cs="times new roman, times, serif" w:eastAsia="times new roman, times, serif"/>
                <w:sz w:val="24"/>
              </w:rPr>
              <w:t>IaaS</w:t>
            </w:r>
            <w:r>
              <w:rPr>
                <w:rFonts w:ascii="宋体" w:hAnsi="宋体" w:cs="宋体" w:eastAsia="宋体"/>
                <w:sz w:val="24"/>
              </w:rPr>
              <w:t>云平台的统一运维平台实现业务协同，统一告警事件和对接工单系统。</w:t>
            </w:r>
          </w:p>
          <w:p>
            <w:pPr>
              <w:pStyle w:val="null3"/>
              <w:ind w:firstLine="480"/>
            </w:pPr>
            <w:r>
              <w:rPr>
                <w:rFonts w:ascii="&quot;times new roman&quot;" w:hAnsi="&quot;times new roman&quot;" w:cs="&quot;times new roman&quot;" w:eastAsia="&quot;times new roman&quot;"/>
                <w:sz w:val="24"/>
              </w:rPr>
              <w:t xml:space="preserve">6. </w:t>
            </w:r>
            <w:r>
              <w:rPr>
                <w:rFonts w:ascii="宋体" w:hAnsi="宋体" w:cs="宋体" w:eastAsia="宋体"/>
                <w:sz w:val="24"/>
              </w:rPr>
              <w:t>提供</w:t>
            </w:r>
            <w:r>
              <w:rPr>
                <w:rFonts w:ascii="times new roman, times, serif" w:hAnsi="times new roman, times, serif" w:cs="times new roman, times, serif" w:eastAsia="times new roman, times, serif"/>
                <w:sz w:val="24"/>
              </w:rPr>
              <w:t>PaaS</w:t>
            </w:r>
            <w:r>
              <w:rPr>
                <w:rFonts w:ascii="宋体" w:hAnsi="宋体" w:cs="宋体" w:eastAsia="宋体"/>
                <w:sz w:val="24"/>
              </w:rPr>
              <w:t>平台的应用使用和接入中间件云服务的规范和标准。</w:t>
            </w:r>
          </w:p>
          <w:p>
            <w:pPr>
              <w:pStyle w:val="null3"/>
              <w:ind w:firstLine="480"/>
            </w:pPr>
            <w:r>
              <w:rPr>
                <w:rFonts w:ascii="&quot;times new roman&quot;" w:hAnsi="&quot;times new roman&quot;" w:cs="&quot;times new roman&quot;" w:eastAsia="&quot;times new roman&quot;"/>
                <w:sz w:val="24"/>
              </w:rPr>
              <w:t xml:space="preserve">7. </w:t>
            </w:r>
            <w:r>
              <w:rPr>
                <w:rFonts w:ascii="宋体" w:hAnsi="宋体" w:cs="宋体" w:eastAsia="宋体"/>
                <w:sz w:val="24"/>
              </w:rPr>
              <w:t>对前期已经分配的数据库及中间件产品，可通过</w:t>
            </w:r>
            <w:r>
              <w:rPr>
                <w:rFonts w:ascii="times new roman, times, serif" w:hAnsi="times new roman, times, serif" w:cs="times new roman, times, serif" w:eastAsia="times new roman, times, serif"/>
                <w:sz w:val="24"/>
              </w:rPr>
              <w:t>API</w:t>
            </w:r>
            <w:r>
              <w:rPr>
                <w:rFonts w:ascii="宋体" w:hAnsi="宋体" w:cs="宋体" w:eastAsia="宋体"/>
                <w:sz w:val="24"/>
              </w:rPr>
              <w:t>接口或其他方式进行使用状态监控。</w:t>
            </w:r>
          </w:p>
          <w:p>
            <w:pPr>
              <w:pStyle w:val="null3"/>
              <w:ind w:firstLine="480"/>
            </w:pPr>
            <w:r>
              <w:rPr>
                <w:rFonts w:ascii="宋体" w:hAnsi="宋体" w:cs="宋体" w:eastAsia="宋体"/>
                <w:sz w:val="24"/>
              </w:rPr>
              <w:t>所提供的中间件产品需要满足国产化要求</w:t>
            </w:r>
            <w:r>
              <w:rPr>
                <w:rFonts w:ascii="宋体" w:hAnsi="宋体" w:cs="宋体" w:eastAsia="宋体"/>
                <w:sz w:val="24"/>
              </w:rPr>
              <w:t>，</w:t>
            </w:r>
            <w:r>
              <w:rPr>
                <w:rFonts w:ascii="宋体" w:hAnsi="宋体" w:cs="宋体" w:eastAsia="宋体"/>
                <w:sz w:val="24"/>
              </w:rPr>
              <w:t>并提供证明材料</w:t>
            </w:r>
            <w:r>
              <w:rPr>
                <w:rFonts w:ascii="宋体" w:hAnsi="宋体" w:cs="宋体" w:eastAsia="宋体"/>
                <w:sz w:val="24"/>
              </w:rPr>
              <w:t>。</w:t>
            </w:r>
          </w:p>
          <w:p>
            <w:pPr>
              <w:pStyle w:val="null3"/>
              <w:outlineLvl w:val="3"/>
            </w:pPr>
            <w:r>
              <w:rPr>
                <w:rFonts w:ascii="仿宋_gb2312" w:hAnsi="仿宋_gb2312" w:cs="仿宋_gb2312" w:eastAsia="仿宋_gb2312"/>
                <w:sz w:val="24"/>
                <w:b/>
              </w:rPr>
              <w:t>3.</w:t>
            </w:r>
            <w:r>
              <w:rPr>
                <w:rFonts w:ascii="仿宋_gb2312" w:hAnsi="仿宋_gb2312" w:cs="仿宋_gb2312" w:eastAsia="仿宋_gb2312"/>
                <w:sz w:val="24"/>
                <w:b/>
              </w:rPr>
              <w:t>3.</w:t>
            </w:r>
            <w:r>
              <w:rPr>
                <w:rFonts w:ascii="仿宋_gb2312" w:hAnsi="仿宋_gb2312" w:cs="仿宋_gb2312" w:eastAsia="仿宋_gb2312"/>
                <w:sz w:val="24"/>
                <w:b/>
              </w:rPr>
              <w:t>2.2 数据库能力提升</w:t>
            </w:r>
          </w:p>
          <w:p>
            <w:pPr>
              <w:pStyle w:val="null3"/>
              <w:ind w:firstLine="480"/>
            </w:pPr>
            <w:r>
              <w:rPr>
                <w:rFonts w:ascii="宋体" w:hAnsi="宋体" w:cs="宋体" w:eastAsia="宋体"/>
                <w:sz w:val="24"/>
              </w:rPr>
              <w:t>西咸信创云目前的基础设施主要依赖传统的关系型数据库，这些数据库采用虚拟化技术进行部署。为了优化这一现状，通过购买服务方式引入云数据库服务，以增强西咸信创云数据库资源的效率、提升云平台整体的安全性、加快业务上云的速度，并降低运维难度。</w:t>
            </w:r>
          </w:p>
          <w:p>
            <w:pPr>
              <w:pStyle w:val="null3"/>
              <w:ind w:firstLine="480"/>
            </w:pPr>
            <w:r>
              <w:rPr>
                <w:rFonts w:ascii="宋体" w:hAnsi="宋体" w:cs="宋体" w:eastAsia="宋体"/>
                <w:sz w:val="24"/>
              </w:rPr>
              <w:t>云数据库性能指标要求</w:t>
            </w:r>
            <w:r>
              <w:rPr>
                <w:rFonts w:ascii="宋体" w:hAnsi="宋体" w:cs="宋体" w:eastAsia="宋体"/>
                <w:sz w:val="24"/>
              </w:rPr>
              <w:t>：</w:t>
            </w:r>
          </w:p>
          <w:p>
            <w:pPr>
              <w:pStyle w:val="null3"/>
              <w:ind w:firstLine="480"/>
            </w:pPr>
            <w:r>
              <w:rPr>
                <w:rFonts w:ascii="宋体" w:hAnsi="宋体" w:cs="宋体" w:eastAsia="宋体"/>
                <w:sz w:val="24"/>
              </w:rPr>
              <w:t>总体要求</w:t>
            </w:r>
            <w:r>
              <w:rPr>
                <w:rFonts w:ascii="宋体" w:hAnsi="宋体" w:cs="宋体" w:eastAsia="宋体"/>
                <w:sz w:val="24"/>
              </w:rPr>
              <w:t>：</w:t>
            </w:r>
            <w:r>
              <w:rPr>
                <w:rFonts w:ascii="宋体" w:hAnsi="宋体" w:cs="宋体" w:eastAsia="宋体"/>
                <w:sz w:val="24"/>
              </w:rPr>
              <w:t>系统能够提供国产安全的数据库管理系统的云化服务能力，内置国产数据库管理系统云服务授权。</w:t>
            </w:r>
          </w:p>
          <w:p>
            <w:pPr>
              <w:pStyle w:val="null3"/>
              <w:ind w:firstLine="480"/>
            </w:pPr>
            <w:r>
              <w:rPr>
                <w:rFonts w:ascii="宋体" w:hAnsi="宋体" w:cs="宋体" w:eastAsia="宋体"/>
                <w:sz w:val="24"/>
              </w:rPr>
              <w:t>兼容性要求</w:t>
            </w:r>
            <w:r>
              <w:rPr>
                <w:rFonts w:ascii="宋体" w:hAnsi="宋体" w:cs="宋体" w:eastAsia="宋体"/>
                <w:sz w:val="24"/>
              </w:rPr>
              <w:t>：</w:t>
            </w:r>
            <w:r>
              <w:rPr>
                <w:rFonts w:ascii="宋体" w:hAnsi="宋体" w:cs="宋体" w:eastAsia="宋体"/>
                <w:sz w:val="24"/>
              </w:rPr>
              <w:t>云数据库需同时支持虚拟机和物理机的部署，全线支持主流的基础设施平台。云数据库兼容国产软硬件环境，至少兼容龙芯、飞腾、鲲鹏、海光等国产</w:t>
            </w:r>
            <w:r>
              <w:rPr>
                <w:rFonts w:ascii="&quot;times new roman&quot;" w:hAnsi="&quot;times new roman&quot;" w:cs="&quot;times new roman&quot;" w:eastAsia="&quot;times new roman&quot;"/>
                <w:sz w:val="24"/>
              </w:rPr>
              <w:t>CPU</w:t>
            </w:r>
            <w:r>
              <w:rPr>
                <w:rFonts w:ascii="宋体" w:hAnsi="宋体" w:cs="宋体" w:eastAsia="宋体"/>
                <w:sz w:val="24"/>
              </w:rPr>
              <w:t>芯片，至少兼容麒麟、统信</w:t>
            </w:r>
            <w:r>
              <w:rPr>
                <w:rFonts w:ascii="times new roman, times, serif" w:hAnsi="times new roman, times, serif" w:cs="times new roman, times, serif" w:eastAsia="times new roman, times, serif"/>
                <w:sz w:val="24"/>
              </w:rPr>
              <w:t>UOS</w:t>
            </w:r>
            <w:r>
              <w:rPr>
                <w:rFonts w:ascii="宋体" w:hAnsi="宋体" w:cs="宋体" w:eastAsia="宋体"/>
                <w:sz w:val="24"/>
              </w:rPr>
              <w:t>等国产操作系统。</w:t>
            </w:r>
          </w:p>
          <w:p>
            <w:pPr>
              <w:pStyle w:val="null3"/>
              <w:ind w:firstLine="480"/>
            </w:pPr>
            <w:r>
              <w:rPr>
                <w:rFonts w:ascii="宋体" w:hAnsi="宋体" w:cs="宋体" w:eastAsia="宋体"/>
                <w:sz w:val="24"/>
              </w:rPr>
              <w:t>高可用要求</w:t>
            </w:r>
            <w:r>
              <w:rPr>
                <w:rFonts w:ascii="宋体" w:hAnsi="宋体" w:cs="宋体" w:eastAsia="宋体"/>
                <w:sz w:val="24"/>
              </w:rPr>
              <w:t>：</w:t>
            </w:r>
            <w:r>
              <w:rPr>
                <w:rFonts w:ascii="宋体" w:hAnsi="宋体" w:cs="宋体" w:eastAsia="宋体"/>
                <w:sz w:val="24"/>
              </w:rPr>
              <w:t>数据库服务实例支持弹性伸缩，可随业务和数据变化进行自动调整</w:t>
            </w:r>
          </w:p>
          <w:p>
            <w:pPr>
              <w:pStyle w:val="null3"/>
              <w:ind w:firstLine="480"/>
            </w:pPr>
            <w:r>
              <w:rPr>
                <w:rFonts w:ascii="宋体" w:hAnsi="宋体" w:cs="宋体" w:eastAsia="宋体"/>
                <w:sz w:val="24"/>
              </w:rPr>
              <w:t>数据库能力要求</w:t>
            </w:r>
            <w:r>
              <w:rPr>
                <w:rFonts w:ascii="宋体" w:hAnsi="宋体" w:cs="宋体" w:eastAsia="宋体"/>
                <w:sz w:val="24"/>
              </w:rPr>
              <w:t>：</w:t>
            </w:r>
            <w:r>
              <w:rPr>
                <w:rFonts w:ascii="宋体" w:hAnsi="宋体" w:cs="宋体" w:eastAsia="宋体"/>
                <w:sz w:val="24"/>
              </w:rPr>
              <w:t>云数据库能够提供国产关系型数据库的集群服务，包括并行计算集群、主备集群、读写分离集群服务的发放。内置国产数据库管理系统单表插入</w:t>
            </w:r>
            <w:r>
              <w:rPr>
                <w:rFonts w:ascii="&quot;times new roman&quot;" w:hAnsi="&quot;times new roman&quot;" w:cs="&quot;times new roman&quot;" w:eastAsia="&quot;times new roman&quot;"/>
                <w:sz w:val="24"/>
              </w:rPr>
              <w:t>100</w:t>
            </w:r>
            <w:r>
              <w:rPr>
                <w:rFonts w:ascii="宋体" w:hAnsi="宋体" w:cs="宋体" w:eastAsia="宋体"/>
                <w:sz w:val="24"/>
              </w:rPr>
              <w:t>万数据小于</w:t>
            </w:r>
            <w:r>
              <w:rPr>
                <w:rFonts w:ascii="times new roman, times, serif" w:hAnsi="times new roman, times, serif" w:cs="times new roman, times, serif" w:eastAsia="times new roman, times, serif"/>
                <w:sz w:val="24"/>
              </w:rPr>
              <w:t>1.3</w:t>
            </w:r>
            <w:r>
              <w:rPr>
                <w:rFonts w:ascii="宋体" w:hAnsi="宋体" w:cs="宋体" w:eastAsia="宋体"/>
                <w:sz w:val="24"/>
              </w:rPr>
              <w:t>秒，平均存储性能可达到</w:t>
            </w:r>
            <w:r>
              <w:rPr>
                <w:rFonts w:ascii="times new roman, times, serif" w:hAnsi="times new roman, times, serif" w:cs="times new roman, times, serif" w:eastAsia="times new roman, times, serif"/>
                <w:sz w:val="24"/>
              </w:rPr>
              <w:t>80</w:t>
            </w:r>
            <w:r>
              <w:rPr>
                <w:rFonts w:ascii="宋体" w:hAnsi="宋体" w:cs="宋体" w:eastAsia="宋体"/>
                <w:sz w:val="24"/>
              </w:rPr>
              <w:t>万条</w:t>
            </w:r>
            <w:r>
              <w:rPr>
                <w:rFonts w:ascii="times new roman, times, serif" w:hAnsi="times new roman, times, serif" w:cs="times new roman, times, serif" w:eastAsia="times new roman, times, serif"/>
                <w:sz w:val="24"/>
              </w:rPr>
              <w:t>/</w:t>
            </w:r>
            <w:r>
              <w:rPr>
                <w:rFonts w:ascii="宋体" w:hAnsi="宋体" w:cs="宋体" w:eastAsia="宋体"/>
                <w:sz w:val="24"/>
              </w:rPr>
              <w:t>秒以上；单库单表导入</w:t>
            </w:r>
            <w:r>
              <w:rPr>
                <w:rFonts w:ascii="times new roman, times, serif" w:hAnsi="times new roman, times, serif" w:cs="times new roman, times, serif" w:eastAsia="times new roman, times, serif"/>
                <w:sz w:val="24"/>
              </w:rPr>
              <w:t>200</w:t>
            </w:r>
            <w:r>
              <w:rPr>
                <w:rFonts w:ascii="宋体" w:hAnsi="宋体" w:cs="宋体" w:eastAsia="宋体"/>
                <w:sz w:val="24"/>
              </w:rPr>
              <w:t>万行数据小于</w:t>
            </w:r>
            <w:r>
              <w:rPr>
                <w:rFonts w:ascii="times new roman, times, serif" w:hAnsi="times new roman, times, serif" w:cs="times new roman, times, serif" w:eastAsia="times new roman, times, serif"/>
                <w:sz w:val="24"/>
              </w:rPr>
              <w:t>3</w:t>
            </w:r>
            <w:r>
              <w:rPr>
                <w:rFonts w:ascii="宋体" w:hAnsi="宋体" w:cs="宋体" w:eastAsia="宋体"/>
                <w:sz w:val="24"/>
              </w:rPr>
              <w:t>秒，批量导入性能可达到</w:t>
            </w:r>
            <w:r>
              <w:rPr>
                <w:rFonts w:ascii="times new roman, times, serif" w:hAnsi="times new roman, times, serif" w:cs="times new roman, times, serif" w:eastAsia="times new roman, times, serif"/>
                <w:sz w:val="24"/>
              </w:rPr>
              <w:t>70</w:t>
            </w:r>
            <w:r>
              <w:rPr>
                <w:rFonts w:ascii="宋体" w:hAnsi="宋体" w:cs="宋体" w:eastAsia="宋体"/>
                <w:sz w:val="24"/>
              </w:rPr>
              <w:t>万条</w:t>
            </w:r>
            <w:r>
              <w:rPr>
                <w:rFonts w:ascii="times new roman, times, serif" w:hAnsi="times new roman, times, serif" w:cs="times new roman, times, serif" w:eastAsia="times new roman, times, serif"/>
                <w:sz w:val="24"/>
              </w:rPr>
              <w:t>/</w:t>
            </w:r>
            <w:r>
              <w:rPr>
                <w:rFonts w:ascii="宋体" w:hAnsi="宋体" w:cs="宋体" w:eastAsia="宋体"/>
                <w:sz w:val="24"/>
              </w:rPr>
              <w:t>秒以上。</w:t>
            </w:r>
          </w:p>
          <w:p>
            <w:pPr>
              <w:pStyle w:val="null3"/>
              <w:ind w:firstLine="480"/>
            </w:pPr>
            <w:r>
              <w:rPr>
                <w:rFonts w:ascii="宋体" w:hAnsi="宋体" w:cs="宋体" w:eastAsia="宋体"/>
                <w:sz w:val="24"/>
              </w:rPr>
              <w:t>性能要求</w:t>
            </w:r>
            <w:r>
              <w:rPr>
                <w:rFonts w:ascii="宋体" w:hAnsi="宋体" w:cs="宋体" w:eastAsia="宋体"/>
                <w:sz w:val="24"/>
              </w:rPr>
              <w:t>：</w:t>
            </w:r>
            <w:r>
              <w:rPr>
                <w:rFonts w:ascii="宋体" w:hAnsi="宋体" w:cs="宋体" w:eastAsia="宋体"/>
                <w:sz w:val="24"/>
              </w:rPr>
              <w:t>支持</w:t>
            </w:r>
            <w:r>
              <w:rPr>
                <w:rFonts w:ascii="宋体" w:hAnsi="宋体" w:cs="宋体" w:eastAsia="宋体"/>
                <w:sz w:val="24"/>
              </w:rPr>
              <w:t>多</w:t>
            </w:r>
            <w:r>
              <w:rPr>
                <w:rFonts w:ascii="宋体" w:hAnsi="宋体" w:cs="宋体" w:eastAsia="宋体"/>
                <w:sz w:val="24"/>
              </w:rPr>
              <w:t>节点部署。</w:t>
            </w:r>
            <w:r>
              <w:rPr>
                <w:rFonts w:ascii="&quot;times new roman&quot;" w:hAnsi="&quot;times new roman&quot;" w:cs="&quot;times new roman&quot;" w:eastAsia="&quot;times new roman&quot;"/>
                <w:sz w:val="24"/>
              </w:rPr>
              <w:t>4</w:t>
            </w:r>
            <w:r>
              <w:rPr>
                <w:rFonts w:ascii="宋体" w:hAnsi="宋体" w:cs="宋体" w:eastAsia="宋体"/>
                <w:sz w:val="24"/>
              </w:rPr>
              <w:t>核</w:t>
            </w:r>
            <w:r>
              <w:rPr>
                <w:rFonts w:ascii="times new roman, times, serif" w:hAnsi="times new roman, times, serif" w:cs="times new roman, times, serif" w:eastAsia="times new roman, times, serif"/>
                <w:sz w:val="24"/>
              </w:rPr>
              <w:t>CPU</w:t>
            </w:r>
            <w:r>
              <w:rPr>
                <w:rFonts w:ascii="&quot;times new roman&quot;" w:hAnsi="&quot;times new roman&quot;" w:cs="&quot;times new roman&quot;" w:eastAsia="&quot;times new roman&quot;"/>
                <w:sz w:val="24"/>
              </w:rPr>
              <w:t>+8GB</w:t>
            </w:r>
            <w:r>
              <w:rPr>
                <w:rFonts w:ascii="宋体" w:hAnsi="宋体" w:cs="宋体" w:eastAsia="宋体"/>
                <w:sz w:val="24"/>
              </w:rPr>
              <w:t>内存规格的单数据库实例</w:t>
            </w:r>
            <w:r>
              <w:rPr>
                <w:rFonts w:ascii="times new roman, times, serif" w:hAnsi="times new roman, times, serif" w:cs="times new roman, times, serif" w:eastAsia="times new roman, times, serif"/>
                <w:sz w:val="24"/>
              </w:rPr>
              <w:t>TPS</w:t>
            </w:r>
            <w:r>
              <w:rPr>
                <w:rFonts w:ascii="宋体" w:hAnsi="宋体" w:cs="宋体" w:eastAsia="宋体"/>
                <w:sz w:val="24"/>
              </w:rPr>
              <w:t>值达到</w:t>
            </w:r>
            <w:r>
              <w:rPr>
                <w:rFonts w:ascii="times new roman, times, serif" w:hAnsi="times new roman, times, serif" w:cs="times new roman, times, serif" w:eastAsia="times new roman, times, serif"/>
                <w:sz w:val="24"/>
              </w:rPr>
              <w:t>3000</w:t>
            </w:r>
            <w:r>
              <w:rPr>
                <w:rFonts w:ascii="宋体" w:hAnsi="宋体" w:cs="宋体" w:eastAsia="宋体"/>
                <w:sz w:val="24"/>
              </w:rPr>
              <w:t>以上。</w:t>
            </w:r>
          </w:p>
          <w:p>
            <w:pPr>
              <w:pStyle w:val="null3"/>
              <w:ind w:firstLine="480"/>
            </w:pPr>
            <w:r>
              <w:rPr>
                <w:rFonts w:ascii="宋体" w:hAnsi="宋体" w:cs="宋体" w:eastAsia="宋体"/>
                <w:sz w:val="24"/>
              </w:rPr>
              <w:t>安全性要求</w:t>
            </w:r>
            <w:r>
              <w:rPr>
                <w:rFonts w:ascii="宋体" w:hAnsi="宋体" w:cs="宋体" w:eastAsia="宋体"/>
                <w:sz w:val="24"/>
              </w:rPr>
              <w:t>：</w:t>
            </w:r>
            <w:r>
              <w:rPr>
                <w:rFonts w:ascii="宋体" w:hAnsi="宋体" w:cs="宋体" w:eastAsia="宋体"/>
                <w:sz w:val="24"/>
              </w:rPr>
              <w:t>实行多租户隔离机制，通过资源的隔离保障不同数据库租户间的数据独立和操作独立。能够提供高安全级别的国产数据库服务。支持最小化的网络资源访问，不能暴露操作系统的其他信息和接口。支持数据库访问白名单功能，支持</w:t>
            </w:r>
            <w:r>
              <w:rPr>
                <w:rFonts w:ascii="&quot;times new roman&quot;" w:hAnsi="&quot;times new roman&quot;" w:cs="&quot;times new roman&quot;" w:eastAsia="&quot;times new roman&quot;"/>
                <w:sz w:val="24"/>
              </w:rPr>
              <w:t>SSL</w:t>
            </w:r>
            <w:r>
              <w:rPr>
                <w:rFonts w:ascii="宋体" w:hAnsi="宋体" w:cs="宋体" w:eastAsia="宋体"/>
                <w:sz w:val="24"/>
              </w:rPr>
              <w:t>证书访问。支持告警规则的设置，能够对集群平台、数据库和服务分别设置监控指标。提供标准的短信和邮件接口，可以与市面主流的短信平台、邮件系统进行对接。</w:t>
            </w:r>
          </w:p>
          <w:p>
            <w:pPr>
              <w:pStyle w:val="null3"/>
              <w:ind w:firstLine="480"/>
            </w:pPr>
            <w:r>
              <w:rPr>
                <w:rFonts w:ascii="宋体" w:hAnsi="宋体" w:cs="宋体" w:eastAsia="宋体"/>
                <w:sz w:val="24"/>
              </w:rPr>
              <w:t>为确保达成以上要求，数据库产品须提供原厂测试报告等证明文件</w:t>
            </w:r>
            <w:r>
              <w:rPr>
                <w:rFonts w:ascii="宋体" w:hAnsi="宋体" w:cs="宋体" w:eastAsia="宋体"/>
                <w:sz w:val="24"/>
              </w:rPr>
              <w:t>。</w:t>
            </w:r>
          </w:p>
          <w:p>
            <w:pPr>
              <w:pStyle w:val="null3"/>
              <w:ind w:firstLine="480"/>
            </w:pPr>
            <w:r>
              <w:rPr>
                <w:rFonts w:ascii="宋体" w:hAnsi="宋体" w:cs="宋体" w:eastAsia="宋体"/>
                <w:sz w:val="24"/>
              </w:rPr>
              <w:t>特殊情况下</w:t>
            </w:r>
            <w:r>
              <w:rPr>
                <w:rFonts w:ascii="宋体" w:hAnsi="宋体" w:cs="宋体" w:eastAsia="宋体"/>
                <w:sz w:val="24"/>
              </w:rPr>
              <w:t>如有集中式数据库使用需求，</w:t>
            </w:r>
            <w:r>
              <w:rPr>
                <w:rFonts w:ascii="宋体" w:hAnsi="宋体" w:cs="宋体" w:eastAsia="宋体"/>
                <w:sz w:val="24"/>
              </w:rPr>
              <w:t>供应商</w:t>
            </w:r>
            <w:r>
              <w:rPr>
                <w:rFonts w:ascii="宋体" w:hAnsi="宋体" w:cs="宋体" w:eastAsia="宋体"/>
                <w:sz w:val="24"/>
              </w:rPr>
              <w:t>提供服务所使用的</w:t>
            </w:r>
            <w:r>
              <w:rPr>
                <w:rFonts w:ascii="宋体" w:hAnsi="宋体" w:cs="宋体" w:eastAsia="宋体"/>
                <w:sz w:val="24"/>
              </w:rPr>
              <w:t>集中式</w:t>
            </w:r>
            <w:r>
              <w:rPr>
                <w:rFonts w:ascii="宋体" w:hAnsi="宋体" w:cs="宋体" w:eastAsia="宋体"/>
                <w:sz w:val="24"/>
              </w:rPr>
              <w:t>数据库</w:t>
            </w:r>
            <w:r>
              <w:rPr>
                <w:rFonts w:ascii="宋体" w:hAnsi="宋体" w:cs="宋体" w:eastAsia="宋体"/>
                <w:sz w:val="24"/>
              </w:rPr>
              <w:t>须</w:t>
            </w:r>
            <w:r>
              <w:rPr>
                <w:rFonts w:ascii="宋体" w:hAnsi="宋体" w:cs="宋体" w:eastAsia="宋体"/>
                <w:sz w:val="24"/>
              </w:rPr>
              <w:t>符合国产化要求，</w:t>
            </w:r>
            <w:r>
              <w:rPr>
                <w:rFonts w:ascii="宋体" w:hAnsi="宋体" w:cs="宋体" w:eastAsia="宋体"/>
                <w:sz w:val="24"/>
              </w:rPr>
              <w:t>符合</w:t>
            </w:r>
            <w:r>
              <w:rPr>
                <w:rFonts w:ascii="宋体" w:hAnsi="宋体" w:cs="宋体" w:eastAsia="宋体"/>
                <w:sz w:val="24"/>
              </w:rPr>
              <w:t>《数据库政府采购需求标准（</w:t>
            </w:r>
            <w:r>
              <w:rPr>
                <w:rFonts w:ascii="&quot;times new roman&quot;" w:hAnsi="&quot;times new roman&quot;" w:cs="&quot;times new roman&quot;" w:eastAsia="&quot;times new roman&quot;"/>
                <w:sz w:val="24"/>
              </w:rPr>
              <w:t>2023</w:t>
            </w:r>
            <w:r>
              <w:rPr>
                <w:rFonts w:ascii="宋体" w:hAnsi="宋体" w:cs="宋体" w:eastAsia="宋体"/>
                <w:sz w:val="24"/>
              </w:rPr>
              <w:t>年版）》的通知</w:t>
            </w:r>
            <w:r>
              <w:rPr>
                <w:rFonts w:ascii="宋体" w:hAnsi="宋体" w:cs="宋体" w:eastAsia="宋体"/>
                <w:sz w:val="24"/>
              </w:rPr>
              <w:t>（</w:t>
            </w:r>
            <w:r>
              <w:rPr>
                <w:rFonts w:ascii="宋体" w:hAnsi="宋体" w:cs="宋体" w:eastAsia="宋体"/>
                <w:sz w:val="24"/>
              </w:rPr>
              <w:t>财库〔</w:t>
            </w:r>
            <w:r>
              <w:rPr>
                <w:rFonts w:ascii="&quot;times new roman&quot;" w:hAnsi="&quot;times new roman&quot;" w:cs="&quot;times new roman&quot;" w:eastAsia="&quot;times new roman&quot;"/>
                <w:sz w:val="24"/>
              </w:rPr>
              <w:t>2023</w:t>
            </w:r>
            <w:r>
              <w:rPr>
                <w:rFonts w:ascii="宋体" w:hAnsi="宋体" w:cs="宋体" w:eastAsia="宋体"/>
                <w:sz w:val="24"/>
              </w:rPr>
              <w:t>〕</w:t>
            </w:r>
            <w:r>
              <w:rPr>
                <w:rFonts w:ascii="times new roman, times, serif" w:hAnsi="times new roman, times, serif" w:cs="times new roman, times, serif" w:eastAsia="times new roman, times, serif"/>
                <w:sz w:val="24"/>
              </w:rPr>
              <w:t>35</w:t>
            </w:r>
            <w:r>
              <w:rPr>
                <w:rFonts w:ascii="宋体" w:hAnsi="宋体" w:cs="宋体" w:eastAsia="宋体"/>
                <w:sz w:val="24"/>
              </w:rPr>
              <w:t>号</w:t>
            </w:r>
            <w:r>
              <w:rPr>
                <w:rFonts w:ascii="宋体" w:hAnsi="宋体" w:cs="宋体" w:eastAsia="宋体"/>
                <w:sz w:val="24"/>
              </w:rPr>
              <w:t>）等政策、标准相关要求</w:t>
            </w:r>
            <w:r>
              <w:rPr>
                <w:rFonts w:ascii="宋体" w:hAnsi="宋体" w:cs="宋体" w:eastAsia="宋体"/>
                <w:sz w:val="24"/>
              </w:rPr>
              <w:t>。</w:t>
            </w:r>
          </w:p>
          <w:p>
            <w:pPr>
              <w:pStyle w:val="null3"/>
              <w:outlineLvl w:val="3"/>
            </w:pPr>
            <w:r>
              <w:rPr>
                <w:rFonts w:ascii="仿宋_gb2312" w:hAnsi="仿宋_gb2312" w:cs="仿宋_gb2312" w:eastAsia="仿宋_gb2312"/>
                <w:sz w:val="24"/>
                <w:b/>
              </w:rPr>
              <w:t>3.</w:t>
            </w:r>
            <w:r>
              <w:rPr>
                <w:rFonts w:ascii="仿宋_gb2312" w:hAnsi="仿宋_gb2312" w:cs="仿宋_gb2312" w:eastAsia="仿宋_gb2312"/>
                <w:sz w:val="24"/>
                <w:b/>
              </w:rPr>
              <w:t>3.</w:t>
            </w:r>
            <w:r>
              <w:rPr>
                <w:rFonts w:ascii="仿宋_gb2312" w:hAnsi="仿宋_gb2312" w:cs="仿宋_gb2312" w:eastAsia="仿宋_gb2312"/>
                <w:sz w:val="24"/>
                <w:b/>
              </w:rPr>
              <w:t>2.3数据库、中间件升级服务</w:t>
            </w:r>
          </w:p>
          <w:p>
            <w:pPr>
              <w:pStyle w:val="null3"/>
              <w:ind w:firstLine="480"/>
            </w:pPr>
            <w:r>
              <w:rPr>
                <w:rFonts w:ascii="宋体" w:hAnsi="宋体" w:cs="宋体" w:eastAsia="宋体"/>
                <w:sz w:val="24"/>
              </w:rPr>
              <w:t>供应商需要提供数据库、中间件产品的版本升级，漏洞扫描等服务，并配合相关业务单位完成漏洞修复等工作。</w:t>
            </w:r>
          </w:p>
          <w:p>
            <w:pPr>
              <w:pStyle w:val="null3"/>
              <w:outlineLvl w:val="3"/>
            </w:pPr>
            <w:r>
              <w:rPr>
                <w:rFonts w:ascii="仿宋_gb2312" w:hAnsi="仿宋_gb2312" w:cs="仿宋_gb2312" w:eastAsia="仿宋_gb2312"/>
                <w:sz w:val="24"/>
                <w:b/>
              </w:rPr>
              <w:t>3.</w:t>
            </w:r>
            <w:r>
              <w:rPr>
                <w:rFonts w:ascii="仿宋_gb2312" w:hAnsi="仿宋_gb2312" w:cs="仿宋_gb2312" w:eastAsia="仿宋_gb2312"/>
                <w:sz w:val="24"/>
                <w:b/>
              </w:rPr>
              <w:t>3.</w:t>
            </w:r>
            <w:r>
              <w:rPr>
                <w:rFonts w:ascii="仿宋_gb2312" w:hAnsi="仿宋_gb2312" w:cs="仿宋_gb2312" w:eastAsia="仿宋_gb2312"/>
                <w:sz w:val="24"/>
                <w:b/>
              </w:rPr>
              <w:t>2.4数据库、中间件数量</w:t>
            </w:r>
          </w:p>
          <w:p>
            <w:pPr>
              <w:pStyle w:val="null3"/>
              <w:ind w:firstLine="480"/>
            </w:pPr>
            <w:r>
              <w:rPr>
                <w:rFonts w:ascii="宋体" w:hAnsi="宋体" w:cs="宋体" w:eastAsia="宋体"/>
                <w:sz w:val="24"/>
              </w:rPr>
              <w:t>本次服务项目按照</w:t>
            </w:r>
            <w:r>
              <w:rPr>
                <w:rFonts w:ascii="&quot;times new roman&quot;" w:hAnsi="&quot;times new roman&quot;" w:cs="&quot;times new roman&quot;" w:eastAsia="&quot;times new roman&quot;"/>
                <w:sz w:val="24"/>
              </w:rPr>
              <w:t>2024</w:t>
            </w:r>
            <w:r>
              <w:rPr>
                <w:rFonts w:ascii="宋体" w:hAnsi="宋体" w:cs="宋体" w:eastAsia="宋体"/>
                <w:sz w:val="24"/>
              </w:rPr>
              <w:t>年预估上云业务系统需要的数据库中间件进行核算，数据库</w:t>
            </w:r>
            <w:r>
              <w:rPr>
                <w:rFonts w:ascii="times new roman, times, serif" w:hAnsi="times new roman, times, serif" w:cs="times new roman, times, serif" w:eastAsia="times new roman, times, serif"/>
                <w:sz w:val="24"/>
              </w:rPr>
              <w:t>350</w:t>
            </w:r>
            <w:r>
              <w:rPr>
                <w:rFonts w:ascii="宋体" w:hAnsi="宋体" w:cs="宋体" w:eastAsia="宋体"/>
                <w:sz w:val="24"/>
              </w:rPr>
              <w:t>实例，中间件</w:t>
            </w:r>
            <w:r>
              <w:rPr>
                <w:rFonts w:ascii="times new roman, times, serif" w:hAnsi="times new roman, times, serif" w:cs="times new roman, times, serif" w:eastAsia="times new roman, times, serif"/>
                <w:sz w:val="24"/>
              </w:rPr>
              <w:t>264</w:t>
            </w:r>
            <w:r>
              <w:rPr>
                <w:rFonts w:ascii="宋体" w:hAnsi="宋体" w:cs="宋体" w:eastAsia="宋体"/>
                <w:sz w:val="24"/>
              </w:rPr>
              <w:t>实例。实际结算</w:t>
            </w:r>
            <w:r>
              <w:rPr>
                <w:rFonts w:ascii="宋体" w:hAnsi="宋体" w:cs="宋体" w:eastAsia="宋体"/>
                <w:sz w:val="24"/>
              </w:rPr>
              <w:t>根据</w:t>
            </w:r>
            <w:r>
              <w:rPr>
                <w:rFonts w:ascii="宋体" w:hAnsi="宋体" w:cs="宋体" w:eastAsia="宋体"/>
                <w:sz w:val="24"/>
              </w:rPr>
              <w:t>开通使用的具体数量进行核算。</w:t>
            </w:r>
          </w:p>
          <w:p>
            <w:pPr>
              <w:pStyle w:val="null3"/>
              <w:outlineLvl w:val="2"/>
            </w:pPr>
            <w:r>
              <w:rPr>
                <w:rFonts w:ascii="仿宋_gb2312" w:hAnsi="仿宋_gb2312" w:cs="仿宋_gb2312" w:eastAsia="仿宋_gb2312"/>
                <w:sz w:val="24"/>
                <w:b/>
              </w:rPr>
              <w:t>3.</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3资源分配与使用效率提升服务</w:t>
            </w:r>
            <w:r>
              <w:rPr>
                <w:rFonts w:ascii="仿宋_gb2312" w:hAnsi="仿宋_gb2312" w:cs="仿宋_gb2312" w:eastAsia="仿宋_gb2312"/>
                <w:sz w:val="24"/>
                <w:b/>
              </w:rPr>
              <w:t>要求</w:t>
            </w:r>
          </w:p>
          <w:p>
            <w:pPr>
              <w:pStyle w:val="null3"/>
              <w:ind w:firstLine="480"/>
            </w:pPr>
            <w:r>
              <w:rPr>
                <w:rFonts w:ascii="宋体" w:hAnsi="宋体" w:cs="宋体" w:eastAsia="宋体"/>
                <w:sz w:val="24"/>
              </w:rPr>
              <w:t>为了提高西咸信创云的使用效能并充分利用政务云的性能，</w:t>
            </w:r>
            <w:r>
              <w:rPr>
                <w:rFonts w:ascii="宋体" w:hAnsi="宋体" w:cs="宋体" w:eastAsia="宋体"/>
                <w:sz w:val="24"/>
              </w:rPr>
              <w:t>供应商需要配合开展的服务要求。</w:t>
            </w:r>
            <w:r>
              <w:rPr>
                <w:rFonts w:ascii="宋体" w:hAnsi="宋体" w:cs="宋体" w:eastAsia="宋体"/>
                <w:sz w:val="24"/>
              </w:rPr>
              <w:t>包括对满足特定标准的业务虚拟机进行下线、降配或扩容等操作，以确保每个业务系统都能稳定运行，同时提升整个云资源的使用效率。</w:t>
            </w:r>
          </w:p>
          <w:p>
            <w:pPr>
              <w:pStyle w:val="null3"/>
              <w:ind w:firstLine="480"/>
            </w:pPr>
            <w:r>
              <w:rPr>
                <w:rFonts w:ascii="宋体" w:hAnsi="宋体" w:cs="宋体" w:eastAsia="宋体"/>
                <w:sz w:val="24"/>
              </w:rPr>
              <w:t>在实施这些措施之前，首先判断业务系统的类型。对于那些特殊时期才需使用的系统，在使用期间进行性能监测，然后根据监测结果确定调整策略。对于日常服务型的系统，遵循通用参考标准来执行，后期相关部门出台《政务云资源动态监管管理办法》后，具体标准参照《政务云资源动态监管管理办法》执行。</w:t>
            </w:r>
          </w:p>
          <w:p>
            <w:pPr>
              <w:pStyle w:val="null3"/>
              <w:ind w:firstLine="480"/>
            </w:pPr>
            <w:r>
              <w:rPr>
                <w:rFonts w:ascii="宋体" w:hAnsi="宋体" w:cs="宋体" w:eastAsia="宋体"/>
                <w:sz w:val="24"/>
              </w:rPr>
              <w:t>特殊业务系统缩配、扩容标准</w:t>
            </w:r>
            <w:r>
              <w:rPr>
                <w:rFonts w:ascii="宋体" w:hAnsi="宋体" w:cs="宋体" w:eastAsia="宋体"/>
                <w:sz w:val="24"/>
              </w:rPr>
              <w:t>：</w:t>
            </w:r>
            <w:r>
              <w:rPr>
                <w:rFonts w:ascii="宋体" w:hAnsi="宋体" w:cs="宋体" w:eastAsia="宋体"/>
                <w:sz w:val="24"/>
              </w:rPr>
              <w:t>针对业务系统在特定时间段内访问量激增的情况，提前与</w:t>
            </w:r>
            <w:r>
              <w:rPr>
                <w:rFonts w:ascii="宋体" w:hAnsi="宋体" w:cs="宋体" w:eastAsia="宋体"/>
                <w:sz w:val="24"/>
              </w:rPr>
              <w:t>省级单位及其直属单位机关</w:t>
            </w:r>
            <w:r>
              <w:rPr>
                <w:rFonts w:ascii="宋体" w:hAnsi="宋体" w:cs="宋体" w:eastAsia="宋体"/>
                <w:sz w:val="24"/>
              </w:rPr>
              <w:t>沟通，明确具体的时间段和所需扩容资源。在指定时间点提前进行资源扩容，以确保相关业务系统能够稳定运行。对于业务系统进行充分调研，对于部分业务系统每月</w:t>
            </w:r>
            <w:r>
              <w:rPr>
                <w:rFonts w:ascii="&quot;times new roman&quot;" w:hAnsi="&quot;times new roman&quot;" w:cs="&quot;times new roman&quot;" w:eastAsia="&quot;times new roman&quot;"/>
                <w:sz w:val="24"/>
              </w:rPr>
              <w:t>/</w:t>
            </w:r>
            <w:r>
              <w:rPr>
                <w:rFonts w:ascii="宋体" w:hAnsi="宋体" w:cs="宋体" w:eastAsia="宋体"/>
                <w:sz w:val="24"/>
              </w:rPr>
              <w:t>每季度</w:t>
            </w:r>
            <w:r>
              <w:rPr>
                <w:rFonts w:ascii="times new roman, times, serif" w:hAnsi="times new roman, times, serif" w:cs="times new roman, times, serif" w:eastAsia="times new roman, times, serif"/>
                <w:sz w:val="24"/>
              </w:rPr>
              <w:t>/</w:t>
            </w:r>
            <w:r>
              <w:rPr>
                <w:rFonts w:ascii="宋体" w:hAnsi="宋体" w:cs="宋体" w:eastAsia="宋体"/>
                <w:sz w:val="24"/>
              </w:rPr>
              <w:t>每年使用</w:t>
            </w:r>
            <w:r>
              <w:rPr>
                <w:rFonts w:ascii="times new roman, times, serif" w:hAnsi="times new roman, times, serif" w:cs="times new roman, times, serif" w:eastAsia="times new roman, times, serif"/>
                <w:sz w:val="24"/>
              </w:rPr>
              <w:t>1</w:t>
            </w:r>
            <w:r>
              <w:rPr>
                <w:rFonts w:ascii="宋体" w:hAnsi="宋体" w:cs="宋体" w:eastAsia="宋体"/>
                <w:sz w:val="24"/>
              </w:rPr>
              <w:t>次的情况，进行充分考虑，对确实需要的业务系统虚机进行保留，并进行标注，明确该业务系统所属单位，使用情况及相关说明。</w:t>
            </w:r>
          </w:p>
          <w:p>
            <w:pPr>
              <w:pStyle w:val="null3"/>
              <w:ind w:firstLine="480"/>
            </w:pPr>
            <w:r>
              <w:rPr>
                <w:rFonts w:ascii="宋体" w:hAnsi="宋体" w:cs="宋体" w:eastAsia="宋体"/>
                <w:sz w:val="24"/>
              </w:rPr>
              <w:t>供应商需提供专职团队对西咸信创云现有业务系统和虚拟机使用情况进行定期评估，并基于评估结果，对未充分利用的资源进行释放或适当增容，以提升整体云资源的使用效率，并确保资源分配与实际需求相匹配。</w:t>
            </w:r>
          </w:p>
          <w:p>
            <w:pPr>
              <w:pStyle w:val="null3"/>
              <w:ind w:firstLine="480"/>
            </w:pPr>
            <w:r>
              <w:rPr>
                <w:rFonts w:ascii="宋体" w:hAnsi="宋体" w:cs="宋体" w:eastAsia="宋体"/>
                <w:sz w:val="24"/>
              </w:rPr>
              <w:t>供应商需按月</w:t>
            </w:r>
            <w:r>
              <w:rPr>
                <w:rFonts w:ascii="&quot;times new roman&quot;" w:hAnsi="&quot;times new roman&quot;" w:cs="&quot;times new roman&quot;" w:eastAsia="&quot;times new roman&quot;"/>
                <w:sz w:val="24"/>
              </w:rPr>
              <w:t>/</w:t>
            </w:r>
            <w:r>
              <w:rPr>
                <w:rFonts w:ascii="宋体" w:hAnsi="宋体" w:cs="宋体" w:eastAsia="宋体"/>
                <w:sz w:val="24"/>
              </w:rPr>
              <w:t>季度</w:t>
            </w:r>
            <w:r>
              <w:rPr>
                <w:rFonts w:ascii="times new roman, times, serif" w:hAnsi="times new roman, times, serif" w:cs="times new roman, times, serif" w:eastAsia="times new roman, times, serif"/>
                <w:sz w:val="24"/>
              </w:rPr>
              <w:t>/</w:t>
            </w:r>
            <w:r>
              <w:rPr>
                <w:rFonts w:ascii="宋体" w:hAnsi="宋体" w:cs="宋体" w:eastAsia="宋体"/>
                <w:sz w:val="24"/>
              </w:rPr>
              <w:t>年向采购人提供云资源使用报告，并配合采购人业务虚机资源进行调整。</w:t>
            </w:r>
          </w:p>
          <w:p>
            <w:pPr>
              <w:pStyle w:val="null3"/>
              <w:outlineLvl w:val="2"/>
            </w:pPr>
            <w:r>
              <w:rPr>
                <w:rFonts w:ascii="仿宋_gb2312" w:hAnsi="仿宋_gb2312" w:cs="仿宋_gb2312" w:eastAsia="仿宋_gb2312"/>
                <w:sz w:val="24"/>
                <w:b/>
              </w:rPr>
              <w:t>3.</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4动态测试区服务</w:t>
            </w:r>
            <w:r>
              <w:rPr>
                <w:rFonts w:ascii="仿宋_gb2312" w:hAnsi="仿宋_gb2312" w:cs="仿宋_gb2312" w:eastAsia="仿宋_gb2312"/>
                <w:sz w:val="24"/>
                <w:b/>
              </w:rPr>
              <w:t>要求</w:t>
            </w:r>
          </w:p>
          <w:p>
            <w:pPr>
              <w:pStyle w:val="null3"/>
              <w:ind w:firstLine="480"/>
            </w:pPr>
            <w:r>
              <w:rPr>
                <w:rFonts w:ascii="宋体" w:hAnsi="宋体" w:cs="宋体" w:eastAsia="宋体"/>
                <w:sz w:val="24"/>
              </w:rPr>
              <w:t>基于信创政务云现有的云资源，构建一个专门的信创政务云测试区。测试区与现有的生产环境进行逻辑隔离，以确保测试活动不会影响到实际生产环境的运行。通过政务云部署的业务系统都需要在测试区内进行信创兼容性适配、上线前的安全检查、性能与资源的测试以及试运行。</w:t>
            </w:r>
          </w:p>
          <w:p>
            <w:pPr>
              <w:pStyle w:val="null3"/>
              <w:ind w:firstLine="480"/>
            </w:pPr>
            <w:r>
              <w:rPr>
                <w:rFonts w:ascii="宋体" w:hAnsi="宋体" w:cs="宋体" w:eastAsia="宋体"/>
                <w:sz w:val="24"/>
              </w:rPr>
              <w:t>供应商需要针对西咸信创云现有环境设计测试区建设方案，并提供专职团队配合业务系统完成测试区资源开通、测试区操作系统、数据库、中间件软件部署、上线前的安全检查、性能与资源测试、测试区资源转生产区资源等工作。</w:t>
            </w:r>
          </w:p>
          <w:p>
            <w:pPr>
              <w:pStyle w:val="null3"/>
              <w:outlineLvl w:val="2"/>
            </w:pPr>
            <w:r>
              <w:rPr>
                <w:rFonts w:ascii="仿宋_gb2312" w:hAnsi="仿宋_gb2312" w:cs="仿宋_gb2312" w:eastAsia="仿宋_gb2312"/>
                <w:sz w:val="24"/>
                <w:b/>
              </w:rPr>
              <w:t>3.</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5一体化资源监管与管理平台对接服务</w:t>
            </w:r>
            <w:r>
              <w:rPr>
                <w:rFonts w:ascii="仿宋_gb2312" w:hAnsi="仿宋_gb2312" w:cs="仿宋_gb2312" w:eastAsia="仿宋_gb2312"/>
                <w:sz w:val="24"/>
                <w:b/>
              </w:rPr>
              <w:t>要求</w:t>
            </w:r>
          </w:p>
          <w:p>
            <w:pPr>
              <w:pStyle w:val="null3"/>
              <w:ind w:firstLine="480"/>
              <w:jc w:val="left"/>
            </w:pPr>
            <w:r>
              <w:rPr>
                <w:rFonts w:ascii="宋体" w:hAnsi="宋体" w:cs="宋体" w:eastAsia="宋体"/>
                <w:sz w:val="24"/>
              </w:rPr>
              <w:t>供应商需要对现有云平台北向接口进行优化，满足一体化资源监管与管理平台对接要求，实现采购人统一监管的目标。</w:t>
            </w:r>
          </w:p>
          <w:p>
            <w:pPr>
              <w:pStyle w:val="null3"/>
              <w:outlineLvl w:val="2"/>
            </w:pPr>
            <w:r>
              <w:rPr>
                <w:rFonts w:ascii="仿宋_gb2312" w:hAnsi="仿宋_gb2312" w:cs="仿宋_gb2312" w:eastAsia="仿宋_gb2312"/>
                <w:sz w:val="24"/>
                <w:b/>
              </w:rPr>
              <w:t>3.</w:t>
            </w:r>
            <w:r>
              <w:rPr>
                <w:rFonts w:ascii="仿宋_gb2312" w:hAnsi="仿宋_gb2312" w:cs="仿宋_gb2312" w:eastAsia="仿宋_gb2312"/>
                <w:sz w:val="24"/>
                <w:b/>
              </w:rPr>
              <w:t>3.</w:t>
            </w:r>
            <w:r>
              <w:rPr>
                <w:rFonts w:ascii="仿宋_gb2312" w:hAnsi="仿宋_gb2312" w:cs="仿宋_gb2312" w:eastAsia="仿宋_gb2312"/>
                <w:sz w:val="24"/>
                <w:b/>
              </w:rPr>
              <w:t>6</w:t>
            </w:r>
            <w:r>
              <w:rPr>
                <w:rFonts w:ascii="仿宋_gb2312" w:hAnsi="仿宋_gb2312" w:cs="仿宋_gb2312" w:eastAsia="仿宋_gb2312"/>
                <w:sz w:val="24"/>
                <w:b/>
              </w:rPr>
              <w:t xml:space="preserve"> </w:t>
            </w:r>
            <w:r>
              <w:rPr>
                <w:rFonts w:ascii="仿宋_gb2312" w:hAnsi="仿宋_gb2312" w:cs="仿宋_gb2312" w:eastAsia="仿宋_gb2312"/>
                <w:sz w:val="24"/>
                <w:b/>
              </w:rPr>
              <w:t>服务管理要求</w:t>
            </w:r>
          </w:p>
          <w:p>
            <w:pPr>
              <w:pStyle w:val="null3"/>
              <w:outlineLvl w:val="3"/>
            </w:pPr>
            <w:r>
              <w:rPr>
                <w:rFonts w:ascii="仿宋_gb2312" w:hAnsi="仿宋_gb2312" w:cs="仿宋_gb2312" w:eastAsia="仿宋_gb2312"/>
                <w:sz w:val="24"/>
                <w:b/>
              </w:rPr>
              <w:t>3.3.6.1</w:t>
            </w:r>
            <w:r>
              <w:rPr>
                <w:rFonts w:ascii="仿宋_gb2312" w:hAnsi="仿宋_gb2312" w:cs="仿宋_gb2312" w:eastAsia="仿宋_gb2312"/>
                <w:sz w:val="24"/>
                <w:b/>
              </w:rPr>
              <w:t>服务团队</w:t>
            </w:r>
            <w:r>
              <w:rPr>
                <w:rFonts w:ascii="仿宋_gb2312" w:hAnsi="仿宋_gb2312" w:cs="仿宋_gb2312" w:eastAsia="仿宋_gb2312"/>
                <w:sz w:val="24"/>
                <w:b/>
              </w:rPr>
              <w:t>要求</w:t>
            </w:r>
          </w:p>
          <w:p>
            <w:pPr>
              <w:pStyle w:val="null3"/>
              <w:ind w:firstLine="480"/>
              <w:jc w:val="left"/>
            </w:pPr>
            <w:r>
              <w:rPr>
                <w:rFonts w:ascii="宋体" w:hAnsi="宋体" w:cs="宋体" w:eastAsia="宋体"/>
                <w:sz w:val="24"/>
              </w:rPr>
              <w:t>供应商需提供不少于</w:t>
            </w:r>
            <w:r>
              <w:rPr>
                <w:rFonts w:ascii="times new roman, times, serif" w:hAnsi="times new roman, times, serif" w:cs="times new roman, times, serif" w:eastAsia="times new roman, times, serif"/>
                <w:sz w:val="24"/>
              </w:rPr>
              <w:t>5</w:t>
            </w:r>
            <w:r>
              <w:rPr>
                <w:rFonts w:ascii="宋体" w:hAnsi="宋体" w:cs="宋体" w:eastAsia="宋体"/>
                <w:sz w:val="24"/>
              </w:rPr>
              <w:t>人的服务团队，按照要求提供各项服务</w:t>
            </w:r>
            <w:r>
              <w:rPr>
                <w:rFonts w:ascii="宋体" w:hAnsi="宋体" w:cs="宋体" w:eastAsia="宋体"/>
                <w:sz w:val="24"/>
              </w:rPr>
              <w:t>及</w:t>
            </w:r>
            <w:r>
              <w:rPr>
                <w:rFonts w:ascii="宋体" w:hAnsi="宋体" w:cs="宋体" w:eastAsia="宋体"/>
                <w:sz w:val="24"/>
              </w:rPr>
              <w:t>交付清单，为保障服务质量，本项目项目经理应具备信息系统项目管理师相关</w:t>
            </w:r>
            <w:r>
              <w:rPr>
                <w:rFonts w:ascii="宋体" w:hAnsi="宋体" w:cs="宋体" w:eastAsia="宋体"/>
                <w:sz w:val="24"/>
              </w:rPr>
              <w:t>证书</w:t>
            </w:r>
            <w:r>
              <w:rPr>
                <w:rFonts w:ascii="宋体" w:hAnsi="宋体" w:cs="宋体" w:eastAsia="宋体"/>
                <w:sz w:val="24"/>
              </w:rPr>
              <w:t>，团队人员需具备网络类工程师</w:t>
            </w:r>
            <w:r>
              <w:rPr>
                <w:rFonts w:ascii="宋体" w:hAnsi="宋体" w:cs="宋体" w:eastAsia="宋体"/>
                <w:sz w:val="24"/>
              </w:rPr>
              <w:t>认证</w:t>
            </w:r>
            <w:r>
              <w:rPr>
                <w:rFonts w:ascii="宋体" w:hAnsi="宋体" w:cs="宋体" w:eastAsia="宋体"/>
                <w:sz w:val="24"/>
              </w:rPr>
              <w:t>、</w:t>
            </w:r>
            <w:r>
              <w:rPr>
                <w:rFonts w:ascii="宋体" w:hAnsi="宋体" w:cs="宋体" w:eastAsia="宋体"/>
                <w:sz w:val="24"/>
              </w:rPr>
              <w:t>信息安全</w:t>
            </w:r>
            <w:r>
              <w:rPr>
                <w:rFonts w:ascii="宋体" w:hAnsi="宋体" w:cs="宋体" w:eastAsia="宋体"/>
                <w:sz w:val="24"/>
              </w:rPr>
              <w:t>类认证、</w:t>
            </w:r>
            <w:r>
              <w:rPr>
                <w:rFonts w:ascii="宋体" w:hAnsi="宋体" w:cs="宋体" w:eastAsia="宋体"/>
                <w:sz w:val="24"/>
              </w:rPr>
              <w:t>数据库</w:t>
            </w:r>
            <w:r>
              <w:rPr>
                <w:rFonts w:ascii="宋体" w:hAnsi="宋体" w:cs="宋体" w:eastAsia="宋体"/>
                <w:sz w:val="24"/>
              </w:rPr>
              <w:t>类相关认证证书</w:t>
            </w:r>
            <w:r>
              <w:rPr>
                <w:rFonts w:ascii="宋体" w:hAnsi="宋体" w:cs="宋体" w:eastAsia="宋体"/>
                <w:sz w:val="24"/>
              </w:rPr>
              <w:t>，</w:t>
            </w:r>
            <w:r>
              <w:rPr>
                <w:rFonts w:ascii="宋体" w:hAnsi="宋体" w:cs="宋体" w:eastAsia="宋体"/>
                <w:sz w:val="24"/>
              </w:rPr>
              <w:t>团队人员需提供身份证</w:t>
            </w:r>
            <w:r>
              <w:rPr>
                <w:rFonts w:ascii="宋体" w:hAnsi="宋体" w:cs="宋体" w:eastAsia="宋体"/>
                <w:sz w:val="24"/>
              </w:rPr>
              <w:t>及</w:t>
            </w:r>
            <w:r>
              <w:rPr>
                <w:rFonts w:ascii="宋体" w:hAnsi="宋体" w:cs="宋体" w:eastAsia="宋体"/>
                <w:sz w:val="24"/>
              </w:rPr>
              <w:t>社保</w:t>
            </w:r>
            <w:r>
              <w:rPr>
                <w:rFonts w:ascii="宋体" w:hAnsi="宋体" w:cs="宋体" w:eastAsia="宋体"/>
                <w:sz w:val="24"/>
              </w:rPr>
              <w:t>证明</w:t>
            </w:r>
            <w:r>
              <w:rPr>
                <w:rFonts w:ascii="宋体" w:hAnsi="宋体" w:cs="宋体" w:eastAsia="宋体"/>
                <w:sz w:val="24"/>
              </w:rPr>
              <w:t>。</w:t>
            </w:r>
          </w:p>
          <w:p>
            <w:pPr>
              <w:pStyle w:val="null3"/>
              <w:ind w:firstLine="480"/>
              <w:jc w:val="left"/>
            </w:pPr>
            <w:r>
              <w:rPr>
                <w:rFonts w:ascii="宋体" w:hAnsi="宋体" w:cs="宋体" w:eastAsia="宋体"/>
                <w:sz w:val="24"/>
              </w:rPr>
              <w:t>供应商提供西咸信创云一线驻场人员</w:t>
            </w:r>
            <w:r>
              <w:rPr>
                <w:rFonts w:ascii="&quot;times new roman&quot;" w:hAnsi="&quot;times new roman&quot;" w:cs="&quot;times new roman&quot;" w:eastAsia="&quot;times new roman&quot;"/>
                <w:sz w:val="24"/>
              </w:rPr>
              <w:t>2</w:t>
            </w:r>
            <w:r>
              <w:rPr>
                <w:rFonts w:ascii="宋体" w:hAnsi="宋体" w:cs="宋体" w:eastAsia="宋体"/>
                <w:sz w:val="24"/>
              </w:rPr>
              <w:t>名，提供</w:t>
            </w:r>
            <w:r>
              <w:rPr>
                <w:rFonts w:ascii="times new roman, times, serif" w:hAnsi="times new roman, times, serif" w:cs="times new roman, times, serif" w:eastAsia="times new roman, times, serif"/>
                <w:sz w:val="24"/>
              </w:rPr>
              <w:t>7*24</w:t>
            </w:r>
            <w:r>
              <w:rPr>
                <w:rFonts w:ascii="宋体" w:hAnsi="宋体" w:cs="宋体" w:eastAsia="宋体"/>
                <w:sz w:val="24"/>
              </w:rPr>
              <w:t>小时驻场服务，负责资源优化、动态测试区开通等常规作业，日常巡检，重大活动保障服务。</w:t>
            </w:r>
          </w:p>
          <w:p>
            <w:pPr>
              <w:pStyle w:val="null3"/>
              <w:ind w:firstLine="480"/>
              <w:jc w:val="left"/>
            </w:pPr>
            <w:r>
              <w:rPr>
                <w:rFonts w:ascii="宋体" w:hAnsi="宋体" w:cs="宋体" w:eastAsia="宋体"/>
                <w:sz w:val="24"/>
              </w:rPr>
              <w:t>一线人员必须对云平台操作流程及中间件、数据库等系统操作熟悉，能够胜任现场驻场工作。</w:t>
            </w:r>
          </w:p>
          <w:p>
            <w:pPr>
              <w:pStyle w:val="null3"/>
              <w:jc w:val="left"/>
              <w:outlineLvl w:val="3"/>
            </w:pPr>
            <w:r>
              <w:rPr>
                <w:rFonts w:ascii="仿宋_gb2312" w:hAnsi="仿宋_gb2312" w:cs="仿宋_gb2312" w:eastAsia="仿宋_gb2312"/>
                <w:sz w:val="24"/>
                <w:b/>
              </w:rPr>
              <w:t>3.3.6.2</w:t>
            </w:r>
            <w:r>
              <w:rPr>
                <w:rFonts w:ascii="仿宋_gb2312" w:hAnsi="仿宋_gb2312" w:cs="仿宋_gb2312" w:eastAsia="仿宋_gb2312"/>
                <w:sz w:val="24"/>
                <w:b/>
              </w:rPr>
              <w:t>服务</w:t>
            </w:r>
            <w:r>
              <w:rPr>
                <w:rFonts w:ascii="仿宋_gb2312" w:hAnsi="仿宋_gb2312" w:cs="仿宋_gb2312" w:eastAsia="仿宋_gb2312"/>
                <w:sz w:val="24"/>
                <w:b/>
              </w:rPr>
              <w:t>响应要求</w:t>
            </w:r>
          </w:p>
          <w:p>
            <w:pPr>
              <w:pStyle w:val="null3"/>
              <w:ind w:firstLine="480"/>
              <w:jc w:val="left"/>
            </w:pPr>
            <w:r>
              <w:rPr>
                <w:rFonts w:ascii="宋体" w:hAnsi="宋体" w:cs="宋体" w:eastAsia="宋体"/>
                <w:sz w:val="24"/>
              </w:rPr>
              <w:t>服务响应：</w:t>
            </w:r>
            <w:r>
              <w:rPr>
                <w:rFonts w:ascii="宋体" w:hAnsi="宋体" w:cs="宋体" w:eastAsia="宋体"/>
                <w:sz w:val="24"/>
              </w:rPr>
              <w:t>提供</w:t>
            </w:r>
            <w:r>
              <w:rPr>
                <w:rFonts w:ascii="&quot;times new roman&quot;" w:hAnsi="&quot;times new roman&quot;" w:cs="&quot;times new roman&quot;" w:eastAsia="&quot;times new roman&quot;"/>
                <w:sz w:val="24"/>
              </w:rPr>
              <w:t>7×24</w:t>
            </w:r>
            <w:r>
              <w:rPr>
                <w:rFonts w:ascii="宋体" w:hAnsi="宋体" w:cs="宋体" w:eastAsia="宋体"/>
                <w:sz w:val="24"/>
              </w:rPr>
              <w:t>小时技术支持。支持范围包括产品的功能、配置、安装、调试、采购人使用中遇到的各种技术问题的一般性咨询，并随时准备处理各种突发事件；为保证</w:t>
            </w:r>
            <w:r>
              <w:rPr>
                <w:rFonts w:ascii="宋体" w:hAnsi="宋体" w:cs="宋体" w:eastAsia="宋体"/>
                <w:sz w:val="24"/>
              </w:rPr>
              <w:t>西</w:t>
            </w:r>
            <w:r>
              <w:rPr>
                <w:rFonts w:ascii="宋体" w:hAnsi="宋体" w:cs="宋体" w:eastAsia="宋体"/>
                <w:sz w:val="24"/>
              </w:rPr>
              <w:t>咸信创云现有环境下对出现故障和问题的快速定位和排除，要求供应商派遣有多年服务经验并技术功底扎实、技术知识面广泛的工程师担当一线工程师，负责对出现故障的快速排查。要求故障响应时间为</w:t>
            </w:r>
            <w:r>
              <w:rPr>
                <w:rFonts w:ascii="&quot;times new roman&quot;" w:hAnsi="&quot;times new roman&quot;" w:cs="&quot;times new roman&quot;" w:eastAsia="&quot;times new roman&quot;"/>
                <w:sz w:val="24"/>
              </w:rPr>
              <w:t>5</w:t>
            </w:r>
            <w:r>
              <w:rPr>
                <w:rFonts w:ascii="宋体" w:hAnsi="宋体" w:cs="宋体" w:eastAsia="宋体"/>
                <w:sz w:val="24"/>
              </w:rPr>
              <w:t>分钟，到达现场时间不得超过</w:t>
            </w:r>
            <w:r>
              <w:rPr>
                <w:rFonts w:ascii="times new roman, times, serif" w:hAnsi="times new roman, times, serif" w:cs="times new roman, times, serif" w:eastAsia="times new roman, times, serif"/>
                <w:sz w:val="24"/>
              </w:rPr>
              <w:t>2</w:t>
            </w:r>
            <w:r>
              <w:rPr>
                <w:rFonts w:ascii="宋体" w:hAnsi="宋体" w:cs="宋体" w:eastAsia="宋体"/>
                <w:sz w:val="24"/>
              </w:rPr>
              <w:t>小时。</w:t>
            </w:r>
          </w:p>
          <w:p>
            <w:pPr>
              <w:pStyle w:val="null3"/>
              <w:ind w:firstLine="480"/>
              <w:jc w:val="left"/>
            </w:pPr>
            <w:r>
              <w:rPr>
                <w:rFonts w:ascii="宋体" w:hAnsi="宋体" w:cs="宋体" w:eastAsia="宋体"/>
                <w:sz w:val="24"/>
              </w:rPr>
              <w:t>定期巡检与预防性维护（每月</w:t>
            </w: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宋体" w:hAnsi="宋体" w:cs="宋体" w:eastAsia="宋体"/>
                <w:sz w:val="24"/>
              </w:rPr>
              <w:t>：</w:t>
            </w:r>
            <w:r>
              <w:rPr>
                <w:rFonts w:ascii="宋体" w:hAnsi="宋体" w:cs="宋体" w:eastAsia="宋体"/>
                <w:sz w:val="24"/>
              </w:rPr>
              <w:t>定期指派专人至现场进行定期的例行巡检和预防性维护</w:t>
            </w:r>
            <w:r>
              <w:rPr>
                <w:rFonts w:ascii="&quot;times new roman&quot;" w:hAnsi="&quot;times new roman&quot;" w:cs="&quot;times new roman&quot;" w:eastAsia="&quot;times new roman&quot;"/>
                <w:sz w:val="24"/>
              </w:rPr>
              <w:t>,</w:t>
            </w:r>
            <w:r>
              <w:rPr>
                <w:rFonts w:ascii="宋体" w:hAnsi="宋体" w:cs="宋体" w:eastAsia="宋体"/>
                <w:sz w:val="24"/>
              </w:rPr>
              <w:t>定期对服务范围内的软硬件性能进行诊断，根据结果调整系统参数，使系统始终在良好状态下运行。包括软硬件系统故障诊断、性能分析与改进措施的提出与实施；同时解决中间件及数据库等软件的故障。</w:t>
            </w:r>
          </w:p>
          <w:p>
            <w:pPr>
              <w:pStyle w:val="null3"/>
              <w:ind w:firstLine="480"/>
              <w:jc w:val="left"/>
            </w:pPr>
            <w:r>
              <w:rPr>
                <w:rFonts w:ascii="宋体" w:hAnsi="宋体" w:cs="宋体" w:eastAsia="宋体"/>
                <w:sz w:val="24"/>
              </w:rPr>
              <w:t>特殊时段现场支持服务</w:t>
            </w:r>
            <w:r>
              <w:rPr>
                <w:rFonts w:ascii="宋体" w:hAnsi="宋体" w:cs="宋体" w:eastAsia="宋体"/>
                <w:sz w:val="24"/>
              </w:rPr>
              <w:t>：</w:t>
            </w:r>
            <w:r>
              <w:rPr>
                <w:rFonts w:ascii="宋体" w:hAnsi="宋体" w:cs="宋体" w:eastAsia="宋体"/>
                <w:sz w:val="24"/>
              </w:rPr>
              <w:t>在春节、劳动节、国庆节及重要会议等对系统设备稳定运行要求较高的特殊时段，将值班工程师的时间表以及联系电话表以传真或</w:t>
            </w:r>
            <w:r>
              <w:rPr>
                <w:rFonts w:ascii="&quot;times new roman&quot;" w:hAnsi="&quot;times new roman&quot;" w:cs="&quot;times new roman&quot;" w:eastAsia="&quot;times new roman&quot;"/>
                <w:sz w:val="24"/>
              </w:rPr>
              <w:t>Email</w:t>
            </w:r>
            <w:r>
              <w:rPr>
                <w:rFonts w:ascii="宋体" w:hAnsi="宋体" w:cs="宋体" w:eastAsia="宋体"/>
                <w:sz w:val="24"/>
              </w:rPr>
              <w:t>的方式传送给客户方负责人，如果需要，根据实际情况安排工程师提供现场值班技术支持服务。</w:t>
            </w:r>
          </w:p>
          <w:p>
            <w:pPr>
              <w:pStyle w:val="null3"/>
              <w:jc w:val="left"/>
              <w:outlineLvl w:val="3"/>
            </w:pPr>
            <w:r>
              <w:rPr>
                <w:rFonts w:ascii="仿宋_gb2312" w:hAnsi="仿宋_gb2312" w:cs="仿宋_gb2312" w:eastAsia="仿宋_gb2312"/>
                <w:sz w:val="24"/>
                <w:b/>
              </w:rPr>
              <w:t>3.</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6</w:t>
            </w:r>
            <w:r>
              <w:rPr>
                <w:rFonts w:ascii="仿宋_gb2312" w:hAnsi="仿宋_gb2312" w:cs="仿宋_gb2312" w:eastAsia="仿宋_gb2312"/>
                <w:sz w:val="24"/>
                <w:b/>
              </w:rPr>
              <w:t>.2文档管理要求</w:t>
            </w:r>
          </w:p>
          <w:p>
            <w:pPr>
              <w:pStyle w:val="null3"/>
              <w:ind w:firstLine="480"/>
              <w:jc w:val="left"/>
            </w:pPr>
            <w:r>
              <w:rPr>
                <w:rFonts w:ascii="宋体" w:hAnsi="宋体" w:cs="宋体" w:eastAsia="宋体"/>
                <w:sz w:val="24"/>
              </w:rPr>
              <w:t>建立详细的软硬件服务档案，内容包括有系统配置、系统维护记录等信息。并根据实际需要，制定详细的服务支持计划。在项目完成时，将本项目所有文档、资料汇集成册交付给采购人，所有文件要求用中文书写或有完整的中文注释。验收后，中标人按国家、省以及采购人档案管理要求，向采购人提供</w:t>
            </w:r>
            <w:r>
              <w:rPr>
                <w:rFonts w:ascii="宋体" w:hAnsi="宋体" w:cs="宋体" w:eastAsia="宋体"/>
                <w:sz w:val="24"/>
              </w:rPr>
              <w:t>项目服务全过程</w:t>
            </w:r>
            <w:r>
              <w:rPr>
                <w:rFonts w:ascii="宋体" w:hAnsi="宋体" w:cs="宋体" w:eastAsia="宋体"/>
                <w:sz w:val="24"/>
              </w:rPr>
              <w:t>文档。</w:t>
            </w:r>
          </w:p>
          <w:p>
            <w:pPr>
              <w:pStyle w:val="null3"/>
              <w:jc w:val="left"/>
              <w:outlineLvl w:val="3"/>
            </w:pPr>
            <w:r>
              <w:rPr>
                <w:rFonts w:ascii="仿宋_gb2312" w:hAnsi="仿宋_gb2312" w:cs="仿宋_gb2312" w:eastAsia="仿宋_gb2312"/>
                <w:sz w:val="24"/>
                <w:b/>
              </w:rPr>
              <w:t>3.</w:t>
            </w:r>
            <w:r>
              <w:rPr>
                <w:rFonts w:ascii="仿宋_gb2312" w:hAnsi="仿宋_gb2312" w:cs="仿宋_gb2312" w:eastAsia="仿宋_gb2312"/>
                <w:sz w:val="24"/>
                <w:b/>
              </w:rPr>
              <w:t>3.6</w:t>
            </w:r>
            <w:r>
              <w:rPr>
                <w:rFonts w:ascii="仿宋_gb2312" w:hAnsi="仿宋_gb2312" w:cs="仿宋_gb2312" w:eastAsia="仿宋_gb2312"/>
                <w:sz w:val="24"/>
                <w:b/>
              </w:rPr>
              <w:t>.3质量保证要求</w:t>
            </w:r>
          </w:p>
          <w:p>
            <w:pPr>
              <w:pStyle w:val="null3"/>
              <w:ind w:firstLine="480"/>
              <w:jc w:val="left"/>
            </w:pPr>
            <w:r>
              <w:rPr>
                <w:rFonts w:ascii="宋体" w:hAnsi="宋体" w:cs="宋体" w:eastAsia="宋体"/>
                <w:sz w:val="24"/>
              </w:rPr>
              <w:t>为保证本项目能按时高质</w:t>
            </w:r>
            <w:r>
              <w:rPr>
                <w:rFonts w:ascii="宋体" w:hAnsi="宋体" w:cs="宋体" w:eastAsia="宋体"/>
                <w:sz w:val="24"/>
              </w:rPr>
              <w:t>量</w:t>
            </w:r>
            <w:r>
              <w:rPr>
                <w:rFonts w:ascii="宋体" w:hAnsi="宋体" w:cs="宋体" w:eastAsia="宋体"/>
                <w:sz w:val="24"/>
              </w:rPr>
              <w:t>的顺利完成，规避项目风险或将风险降至最低程度，中标人应建立项目质量管理体系，包括但不限于质量目标、质量指标、岗位责任、问题处理计划、质量评价、整改完善等内容，并建立奖惩制度。</w:t>
            </w:r>
          </w:p>
          <w:p>
            <w:pPr>
              <w:pStyle w:val="null3"/>
              <w:ind w:firstLine="480"/>
              <w:jc w:val="left"/>
            </w:pPr>
            <w:r>
              <w:rPr>
                <w:rFonts w:ascii="&quot;times new roman&quot;" w:hAnsi="&quot;times new roman&quot;" w:cs="&quot;times new roman&quot;" w:eastAsia="&quot;times new roman&quot;"/>
                <w:sz w:val="24"/>
              </w:rPr>
              <w:t>1.</w:t>
            </w:r>
            <w:r>
              <w:rPr>
                <w:rFonts w:ascii="宋体" w:hAnsi="宋体" w:cs="宋体" w:eastAsia="宋体"/>
                <w:sz w:val="24"/>
              </w:rPr>
              <w:t>项目管理与规划要求</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）项目管理团队应建立完善的质量管理体系，明确质量目标、质量标准和质量控制措施。</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）制定详细的项目计划，包括时间进度、</w:t>
            </w:r>
            <w:r>
              <w:rPr>
                <w:rFonts w:ascii="宋体" w:hAnsi="宋体" w:cs="宋体" w:eastAsia="宋体"/>
                <w:sz w:val="24"/>
              </w:rPr>
              <w:t>人力</w:t>
            </w:r>
            <w:r>
              <w:rPr>
                <w:rFonts w:ascii="宋体" w:hAnsi="宋体" w:cs="宋体" w:eastAsia="宋体"/>
                <w:sz w:val="24"/>
              </w:rPr>
              <w:t>资源分配和风险管理等方面，确保项目按计划有序进行。</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3</w:t>
            </w:r>
            <w:r>
              <w:rPr>
                <w:rFonts w:ascii="宋体" w:hAnsi="宋体" w:cs="宋体" w:eastAsia="宋体"/>
                <w:sz w:val="24"/>
              </w:rPr>
              <w:t>）定期进行项目质量评审，及时发现和解决潜在问题，确保项目质量符合预期。</w:t>
            </w:r>
          </w:p>
          <w:p>
            <w:pPr>
              <w:pStyle w:val="null3"/>
              <w:ind w:firstLine="480"/>
              <w:jc w:val="left"/>
            </w:pPr>
            <w:r>
              <w:rPr>
                <w:rFonts w:ascii="&quot;times new roman&quot;" w:hAnsi="&quot;times new roman&quot;" w:cs="&quot;times new roman&quot;" w:eastAsia="&quot;times new roman&quot;"/>
                <w:sz w:val="24"/>
              </w:rPr>
              <w:t>2.</w:t>
            </w:r>
            <w:r>
              <w:rPr>
                <w:rFonts w:ascii="宋体" w:hAnsi="宋体" w:cs="宋体" w:eastAsia="宋体"/>
                <w:sz w:val="24"/>
              </w:rPr>
              <w:t>技术服务与人员要求</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）中标人应具备专业的技术团队，具备丰富的</w:t>
            </w:r>
            <w:r>
              <w:rPr>
                <w:rFonts w:ascii="宋体" w:hAnsi="宋体" w:cs="宋体" w:eastAsia="宋体"/>
                <w:sz w:val="24"/>
              </w:rPr>
              <w:t>政务</w:t>
            </w:r>
            <w:r>
              <w:rPr>
                <w:rFonts w:ascii="宋体" w:hAnsi="宋体" w:cs="宋体" w:eastAsia="宋体"/>
                <w:sz w:val="24"/>
              </w:rPr>
              <w:t>云</w:t>
            </w:r>
            <w:r>
              <w:rPr>
                <w:rFonts w:ascii="宋体" w:hAnsi="宋体" w:cs="宋体" w:eastAsia="宋体"/>
                <w:sz w:val="24"/>
              </w:rPr>
              <w:t>建设</w:t>
            </w:r>
            <w:r>
              <w:rPr>
                <w:rFonts w:ascii="宋体" w:hAnsi="宋体" w:cs="宋体" w:eastAsia="宋体"/>
                <w:sz w:val="24"/>
              </w:rPr>
              <w:t>技术经验和实践能力。</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）技术人员应熟练掌握</w:t>
            </w:r>
            <w:r>
              <w:rPr>
                <w:rFonts w:ascii="宋体" w:hAnsi="宋体" w:cs="宋体" w:eastAsia="宋体"/>
                <w:sz w:val="24"/>
              </w:rPr>
              <w:t>政务</w:t>
            </w:r>
            <w:r>
              <w:rPr>
                <w:rFonts w:ascii="宋体" w:hAnsi="宋体" w:cs="宋体" w:eastAsia="宋体"/>
                <w:sz w:val="24"/>
              </w:rPr>
              <w:t>云平台的操作、维护和管理技能，能够迅速响应和解决技术问题。</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3</w:t>
            </w:r>
            <w:r>
              <w:rPr>
                <w:rFonts w:ascii="宋体" w:hAnsi="宋体" w:cs="宋体" w:eastAsia="宋体"/>
                <w:sz w:val="24"/>
              </w:rPr>
              <w:t>）定期进行技术培训和知识更新，确保技术人员具备最新的技术知识和能力。</w:t>
            </w:r>
          </w:p>
          <w:p>
            <w:pPr>
              <w:pStyle w:val="null3"/>
              <w:ind w:firstLine="480"/>
              <w:jc w:val="left"/>
            </w:pPr>
            <w:r>
              <w:rPr>
                <w:rFonts w:ascii="&quot;times new roman&quot;" w:hAnsi="&quot;times new roman&quot;" w:cs="&quot;times new roman&quot;" w:eastAsia="&quot;times new roman&quot;"/>
                <w:sz w:val="24"/>
              </w:rPr>
              <w:t>3.</w:t>
            </w:r>
            <w:r>
              <w:rPr>
                <w:rFonts w:ascii="宋体" w:hAnsi="宋体" w:cs="宋体" w:eastAsia="宋体"/>
                <w:sz w:val="24"/>
              </w:rPr>
              <w:t>硬件设备与基础设施要求</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）采购高质量的硬件设备，确保设备性能稳定、可靠，满足</w:t>
            </w:r>
            <w:r>
              <w:rPr>
                <w:rFonts w:ascii="宋体" w:hAnsi="宋体" w:cs="宋体" w:eastAsia="宋体"/>
                <w:sz w:val="24"/>
              </w:rPr>
              <w:t>服务质量</w:t>
            </w:r>
            <w:r>
              <w:rPr>
                <w:rFonts w:ascii="宋体" w:hAnsi="宋体" w:cs="宋体" w:eastAsia="宋体"/>
                <w:sz w:val="24"/>
              </w:rPr>
              <w:t>需求。</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）建立健全的硬件设备管理制度，包括设备采购、验收、使用、维护和报废等流程，确保设备处于良好状态。</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3</w:t>
            </w:r>
            <w:r>
              <w:rPr>
                <w:rFonts w:ascii="宋体" w:hAnsi="宋体" w:cs="宋体" w:eastAsia="宋体"/>
                <w:sz w:val="24"/>
              </w:rPr>
              <w:t>）定期对硬件设备进行检查和维护，及时发现和处理潜在故障，确保稳定运行。</w:t>
            </w:r>
          </w:p>
          <w:p>
            <w:pPr>
              <w:pStyle w:val="null3"/>
              <w:ind w:firstLine="480"/>
              <w:jc w:val="left"/>
            </w:pPr>
            <w:r>
              <w:rPr>
                <w:rFonts w:ascii="&quot;times new roman&quot;" w:hAnsi="&quot;times new roman&quot;" w:cs="&quot;times new roman&quot;" w:eastAsia="&quot;times new roman&quot;"/>
                <w:sz w:val="24"/>
              </w:rPr>
              <w:t>4.</w:t>
            </w:r>
            <w:r>
              <w:rPr>
                <w:rFonts w:ascii="宋体" w:hAnsi="宋体" w:cs="宋体" w:eastAsia="宋体"/>
                <w:sz w:val="24"/>
              </w:rPr>
              <w:t>数据安全与隐私保护要求</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）制定严格的数据安全管理制度，包括数据加密、访问控制、身份认证和审计等方面的要求，确保政务数据的隐私和完整性。</w:t>
            </w:r>
          </w:p>
          <w:p>
            <w:pPr>
              <w:pStyle w:val="null3"/>
              <w:ind w:firstLine="480"/>
              <w:jc w:val="left"/>
            </w:pPr>
            <w:r>
              <w:rPr>
                <w:rFonts w:ascii="宋体" w:hAnsi="宋体" w:cs="宋体" w:eastAsia="宋体"/>
                <w:sz w:val="24"/>
              </w:rPr>
              <w:t>（</w:t>
            </w:r>
            <w:r>
              <w:rPr>
                <w:rFonts w:ascii="times new roman, times, serif" w:hAnsi="times new roman, times, serif" w:cs="times new roman, times, serif" w:eastAsia="times new roman, times, serif"/>
                <w:sz w:val="24"/>
              </w:rPr>
              <w:t>2</w:t>
            </w:r>
            <w:r>
              <w:rPr>
                <w:rFonts w:ascii="宋体" w:hAnsi="宋体" w:cs="宋体" w:eastAsia="宋体"/>
                <w:sz w:val="24"/>
              </w:rPr>
              <w:t>）定期对数据安全进行检查和评估，及时发现和解决安全隐患，确保政务数据的安全可靠。</w:t>
            </w:r>
          </w:p>
          <w:p>
            <w:pPr>
              <w:pStyle w:val="null3"/>
              <w:ind w:firstLine="480"/>
              <w:jc w:val="left"/>
            </w:pPr>
            <w:r>
              <w:rPr>
                <w:rFonts w:ascii="&quot;times new roman&quot;" w:hAnsi="&quot;times new roman&quot;" w:cs="&quot;times new roman&quot;" w:eastAsia="&quot;times new roman&quot;"/>
                <w:sz w:val="24"/>
              </w:rPr>
              <w:t>5.</w:t>
            </w:r>
            <w:r>
              <w:rPr>
                <w:rFonts w:ascii="宋体" w:hAnsi="宋体" w:cs="宋体" w:eastAsia="宋体"/>
                <w:sz w:val="24"/>
              </w:rPr>
              <w:t>合规性与监管要求</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）符合相关法律法规和行业标准，确保项目的合规性。</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）接受政府监管部门的监督和检查，配合完成相关审计和评估工作，确保</w:t>
            </w:r>
            <w:r>
              <w:rPr>
                <w:rFonts w:ascii="宋体" w:hAnsi="宋体" w:cs="宋体" w:eastAsia="宋体"/>
                <w:sz w:val="24"/>
              </w:rPr>
              <w:t>政务</w:t>
            </w:r>
            <w:r>
              <w:rPr>
                <w:rFonts w:ascii="宋体" w:hAnsi="宋体" w:cs="宋体" w:eastAsia="宋体"/>
                <w:sz w:val="24"/>
              </w:rPr>
              <w:t>云平台的透明度和合规性。</w:t>
            </w:r>
          </w:p>
          <w:p>
            <w:pPr>
              <w:pStyle w:val="null3"/>
              <w:ind w:firstLine="480"/>
              <w:jc w:val="left"/>
            </w:pPr>
            <w:r>
              <w:rPr>
                <w:rFonts w:ascii="&quot;times new roman&quot;" w:hAnsi="&quot;times new roman&quot;" w:cs="&quot;times new roman&quot;" w:eastAsia="&quot;times new roman&quot;"/>
                <w:sz w:val="24"/>
              </w:rPr>
              <w:t>6.</w:t>
            </w:r>
            <w:r>
              <w:rPr>
                <w:rFonts w:ascii="宋体" w:hAnsi="宋体" w:cs="宋体" w:eastAsia="宋体"/>
                <w:sz w:val="24"/>
              </w:rPr>
              <w:t>应急预案与灾备恢复要求</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）制定完善的应急预案，包括故障处理、数据备份和恢复等方面的措施，确保在紧急情况下能够迅速响应和处理。</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）建立备份</w:t>
            </w:r>
            <w:r>
              <w:rPr>
                <w:rFonts w:ascii="宋体" w:hAnsi="宋体" w:cs="宋体" w:eastAsia="宋体"/>
                <w:sz w:val="24"/>
              </w:rPr>
              <w:t>机制</w:t>
            </w:r>
            <w:r>
              <w:rPr>
                <w:rFonts w:ascii="宋体" w:hAnsi="宋体" w:cs="宋体" w:eastAsia="宋体"/>
                <w:sz w:val="24"/>
              </w:rPr>
              <w:t>，确保在自然灾害或其他不可抗力因素发生时</w:t>
            </w:r>
            <w:r>
              <w:rPr>
                <w:rFonts w:ascii="宋体" w:hAnsi="宋体" w:cs="宋体" w:eastAsia="宋体"/>
                <w:sz w:val="24"/>
              </w:rPr>
              <w:t>相关服务能力</w:t>
            </w:r>
            <w:r>
              <w:rPr>
                <w:rFonts w:ascii="宋体" w:hAnsi="宋体" w:cs="宋体" w:eastAsia="宋体"/>
                <w:sz w:val="24"/>
              </w:rPr>
              <w:t>能够快速恢复运行。</w:t>
            </w:r>
          </w:p>
          <w:p>
            <w:pPr>
              <w:pStyle w:val="null3"/>
              <w:ind w:firstLine="480"/>
              <w:jc w:val="left"/>
            </w:pPr>
            <w:r>
              <w:rPr>
                <w:rFonts w:ascii="宋体" w:hAnsi="宋体" w:cs="宋体" w:eastAsia="宋体"/>
                <w:sz w:val="24"/>
              </w:rPr>
              <w:t>7.</w:t>
            </w:r>
            <w:r>
              <w:rPr>
                <w:rFonts w:ascii="宋体" w:hAnsi="宋体" w:cs="宋体" w:eastAsia="宋体"/>
                <w:sz w:val="24"/>
              </w:rPr>
              <w:t>软硬件保修</w:t>
            </w:r>
            <w:r>
              <w:rPr>
                <w:rFonts w:ascii="宋体" w:hAnsi="宋体" w:cs="宋体" w:eastAsia="宋体"/>
                <w:sz w:val="24"/>
              </w:rPr>
              <w:t>要求</w:t>
            </w:r>
          </w:p>
          <w:p>
            <w:pPr>
              <w:pStyle w:val="null3"/>
              <w:ind w:firstLine="480"/>
              <w:jc w:val="left"/>
            </w:pPr>
            <w:r>
              <w:rPr>
                <w:rFonts w:ascii="宋体" w:hAnsi="宋体" w:cs="宋体" w:eastAsia="宋体"/>
                <w:sz w:val="24"/>
              </w:rPr>
              <w:t>供应商对提供的软硬件产品提供保修服务，要求如下：</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）对系统运行状况、连接环境等进行全面核查，并提交核查报告以排除隐患。</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）建立设备管理档案。对软硬件配置、安装、运行、维护、维修、升级等信息进行记录并归档管理，以利于后续维护。</w:t>
            </w:r>
          </w:p>
          <w:p>
            <w:pPr>
              <w:pStyle w:val="null3"/>
              <w:ind w:firstLine="480"/>
              <w:jc w:val="left"/>
            </w:pPr>
            <w:r>
              <w:rPr>
                <w:rFonts w:ascii="宋体" w:hAnsi="宋体" w:cs="宋体" w:eastAsia="宋体"/>
                <w:sz w:val="24"/>
              </w:rPr>
              <w:t>（</w:t>
            </w:r>
            <w:r>
              <w:rPr>
                <w:rFonts w:ascii="&quot;times new roman&quot;" w:hAnsi="&quot;times new roman&quot;" w:cs="&quot;times new roman&quot;" w:eastAsia="&quot;times new roman&quot;"/>
                <w:sz w:val="24"/>
              </w:rPr>
              <w:t>3</w:t>
            </w:r>
            <w:r>
              <w:rPr>
                <w:rFonts w:ascii="宋体" w:hAnsi="宋体" w:cs="宋体" w:eastAsia="宋体"/>
                <w:sz w:val="24"/>
              </w:rPr>
              <w:t>）维修与内存更换。维修及更换内存完成周期不得多于</w:t>
            </w:r>
            <w:r>
              <w:rPr>
                <w:rFonts w:ascii="宋体" w:hAnsi="宋体" w:cs="宋体" w:eastAsia="宋体"/>
                <w:sz w:val="24"/>
              </w:rPr>
              <w:t>48</w:t>
            </w:r>
            <w:r>
              <w:rPr>
                <w:rFonts w:ascii="宋体" w:hAnsi="宋体" w:cs="宋体" w:eastAsia="宋体"/>
                <w:sz w:val="24"/>
              </w:rPr>
              <w:t>小时。</w:t>
            </w:r>
          </w:p>
          <w:p>
            <w:pPr>
              <w:pStyle w:val="null3"/>
              <w:ind w:firstLine="482"/>
            </w:pPr>
            <w:r>
              <w:rPr>
                <w:rFonts w:ascii="仿宋_gb2312" w:hAnsi="仿宋_gb2312" w:cs="仿宋_gb2312" w:eastAsia="仿宋_gb2312"/>
                <w:sz w:val="24"/>
                <w:b/>
              </w:rPr>
              <w:t>3.</w:t>
            </w:r>
            <w:r>
              <w:rPr>
                <w:rFonts w:ascii="仿宋_gb2312" w:hAnsi="仿宋_gb2312" w:cs="仿宋_gb2312" w:eastAsia="仿宋_gb2312"/>
                <w:sz w:val="24"/>
                <w:b/>
              </w:rPr>
              <w:t>3</w:t>
            </w:r>
            <w:r>
              <w:rPr>
                <w:rFonts w:ascii="仿宋_gb2312" w:hAnsi="仿宋_gb2312" w:cs="仿宋_gb2312" w:eastAsia="仿宋_gb2312"/>
                <w:sz w:val="24"/>
                <w:b/>
              </w:rPr>
              <w:t>.6.4</w:t>
            </w:r>
            <w:r>
              <w:rPr>
                <w:rFonts w:ascii="仿宋_gb2312" w:hAnsi="仿宋_gb2312" w:cs="仿宋_gb2312" w:eastAsia="仿宋_gb2312"/>
                <w:sz w:val="24"/>
                <w:b/>
              </w:rPr>
              <w:t>服务考核要求</w:t>
            </w:r>
          </w:p>
          <w:p>
            <w:pPr>
              <w:pStyle w:val="null3"/>
              <w:ind w:firstLine="480"/>
              <w:jc w:val="left"/>
            </w:pPr>
            <w:r>
              <w:rPr>
                <w:rFonts w:ascii="宋体" w:hAnsi="宋体" w:cs="宋体" w:eastAsia="宋体"/>
                <w:sz w:val="24"/>
              </w:rPr>
              <w:t>为保障本项目的服务质量，进行服务的评价评估。采购人在服务到期前</w:t>
            </w:r>
            <w:r>
              <w:rPr>
                <w:rFonts w:ascii="&quot;times new roman&quot;" w:hAnsi="&quot;times new roman&quot;" w:cs="&quot;times new roman&quot;" w:eastAsia="&quot;times new roman&quot;"/>
                <w:sz w:val="24"/>
              </w:rPr>
              <w:t>30</w:t>
            </w:r>
            <w:r>
              <w:rPr>
                <w:rFonts w:ascii="宋体" w:hAnsi="宋体" w:cs="宋体" w:eastAsia="宋体"/>
                <w:sz w:val="24"/>
              </w:rPr>
              <w:t>天组织服务考核，中标人积极配合完成服务考核。</w:t>
            </w:r>
          </w:p>
          <w:p>
            <w:pPr>
              <w:pStyle w:val="null3"/>
              <w:ind w:firstLine="480"/>
              <w:jc w:val="left"/>
            </w:pPr>
            <w:r>
              <w:rPr>
                <w:rFonts w:ascii="宋体" w:hAnsi="宋体" w:cs="宋体" w:eastAsia="宋体"/>
                <w:sz w:val="24"/>
              </w:rPr>
              <w:t>本项目由采购人组织专家组对中标人在服务期间内所提供的服务内容及交付物进行考核，考核依据为：（</w:t>
            </w:r>
            <w:r>
              <w:rPr>
                <w:rFonts w:ascii="&quot;times new roman&quot;" w:hAnsi="&quot;times new roman&quot;" w:cs="&quot;times new roman&quot;" w:eastAsia="&quot;times new roman&quot;"/>
                <w:sz w:val="24"/>
              </w:rPr>
              <w:t>1</w:t>
            </w:r>
            <w:r>
              <w:rPr>
                <w:rFonts w:ascii="宋体" w:hAnsi="宋体" w:cs="宋体" w:eastAsia="宋体"/>
                <w:sz w:val="24"/>
              </w:rPr>
              <w:t>）合同文本及合同补充文件（条款）；（</w:t>
            </w:r>
            <w:r>
              <w:rPr>
                <w:rFonts w:ascii="times new roman, times, serif" w:hAnsi="times new roman, times, serif" w:cs="times new roman, times, serif" w:eastAsia="times new roman, times, serif"/>
                <w:sz w:val="24"/>
              </w:rPr>
              <w:t>2</w:t>
            </w:r>
            <w:r>
              <w:rPr>
                <w:rFonts w:ascii="宋体" w:hAnsi="宋体" w:cs="宋体" w:eastAsia="宋体"/>
                <w:sz w:val="24"/>
              </w:rPr>
              <w:t>）招标文件；（</w:t>
            </w:r>
            <w:r>
              <w:rPr>
                <w:rFonts w:ascii="times new roman, times, serif" w:hAnsi="times new roman, times, serif" w:cs="times new roman, times, serif" w:eastAsia="times new roman, times, serif"/>
                <w:sz w:val="24"/>
              </w:rPr>
              <w:t>3</w:t>
            </w:r>
            <w:r>
              <w:rPr>
                <w:rFonts w:ascii="宋体" w:hAnsi="宋体" w:cs="宋体" w:eastAsia="宋体"/>
                <w:sz w:val="24"/>
              </w:rPr>
              <w:t>）中标人的投标文件；（</w:t>
            </w:r>
            <w:r>
              <w:rPr>
                <w:rFonts w:ascii="times new roman, times, serif" w:hAnsi="times new roman, times, serif" w:cs="times new roman, times, serif" w:eastAsia="times new roman, times, serif"/>
                <w:sz w:val="24"/>
              </w:rPr>
              <w:t>4</w:t>
            </w:r>
            <w:r>
              <w:rPr>
                <w:rFonts w:ascii="宋体" w:hAnsi="宋体" w:cs="宋体" w:eastAsia="宋体"/>
                <w:sz w:val="24"/>
              </w:rPr>
              <w:t>）合同服务清单；（</w:t>
            </w:r>
            <w:r>
              <w:rPr>
                <w:rFonts w:ascii="times new roman, times, serif" w:hAnsi="times new roman, times, serif" w:cs="times new roman, times, serif" w:eastAsia="times new roman, times, serif"/>
                <w:sz w:val="24"/>
              </w:rPr>
              <w:t>5</w:t>
            </w:r>
            <w:r>
              <w:rPr>
                <w:rFonts w:ascii="宋体" w:hAnsi="宋体" w:cs="宋体" w:eastAsia="宋体"/>
                <w:sz w:val="24"/>
              </w:rPr>
              <w:t>）其他证明资料。</w:t>
            </w:r>
          </w:p>
          <w:p>
            <w:pPr>
              <w:pStyle w:val="null3"/>
              <w:ind w:firstLine="480"/>
              <w:jc w:val="left"/>
            </w:pPr>
            <w:r>
              <w:rPr>
                <w:rFonts w:ascii="宋体" w:hAnsi="宋体" w:cs="宋体" w:eastAsia="宋体"/>
                <w:sz w:val="24"/>
              </w:rPr>
              <w:t>考核过程由专家组对中标人提供的各项服务内容及交付物进行逐一核对，并对服务质量进行评估打分，最终确定各项服务内容及服务质量达到招标文件要求。</w:t>
            </w:r>
          </w:p>
          <w:p>
            <w:pPr>
              <w:pStyle w:val="null3"/>
              <w:ind w:firstLine="480"/>
              <w:jc w:val="left"/>
            </w:pPr>
            <w:r>
              <w:rPr>
                <w:rFonts w:ascii="宋体" w:hAnsi="宋体" w:cs="宋体" w:eastAsia="宋体"/>
                <w:sz w:val="24"/>
              </w:rPr>
              <w:t>服务考核内容主要包括服务质量、服务交付、安全管理、服务管理和服务满意度等方面，服务的评价周期包括按照单个服务项目（如物理内存扩容服务、基础软件能力提升服务、一体化资源监管与管理平台对接服务）和固定时间周期（月、季度），服务评估分值满分为</w:t>
            </w:r>
            <w:r>
              <w:rPr>
                <w:rFonts w:ascii="&quot;times new roman&quot;" w:hAnsi="&quot;times new roman&quot;" w:cs="&quot;times new roman&quot;" w:eastAsia="&quot;times new roman&quot;"/>
                <w:sz w:val="24"/>
              </w:rPr>
              <w:t>100</w:t>
            </w:r>
            <w:r>
              <w:rPr>
                <w:rFonts w:ascii="宋体" w:hAnsi="宋体" w:cs="宋体" w:eastAsia="宋体"/>
                <w:sz w:val="24"/>
              </w:rPr>
              <w:t>分，并分为四个服务等级。</w:t>
            </w:r>
          </w:p>
          <w:p>
            <w:pPr>
              <w:pStyle w:val="null3"/>
              <w:ind w:firstLine="480"/>
              <w:jc w:val="left"/>
            </w:pPr>
            <w:r>
              <w:rPr>
                <w:rFonts w:ascii="宋体" w:hAnsi="宋体" w:cs="宋体" w:eastAsia="宋体"/>
                <w:sz w:val="24"/>
              </w:rPr>
              <w:t>其中基础软件能力提升服务中的中间件及数据库服务按照实际开通数量进行结算。</w:t>
            </w:r>
          </w:p>
          <w:p>
            <w:pPr>
              <w:pStyle w:val="null3"/>
              <w:ind w:firstLine="480"/>
              <w:jc w:val="left"/>
            </w:pPr>
            <w:r>
              <w:rPr>
                <w:rFonts w:ascii="宋体" w:hAnsi="宋体" w:cs="宋体" w:eastAsia="宋体"/>
                <w:sz w:val="24"/>
              </w:rPr>
              <w:t>采购人根据服务评估分值按下表确定对应的服务费用付款比例：</w:t>
            </w:r>
          </w:p>
          <w:tbl>
            <w:tblPr>
              <w:tblBorders>
                <w:top w:val="none" w:color="000000" w:sz="4"/>
                <w:left w:val="none" w:color="000000" w:sz="4"/>
                <w:bottom w:val="none" w:color="000000" w:sz="4"/>
                <w:right w:val="none" w:color="000000" w:sz="4"/>
                <w:insideH w:val="none"/>
                <w:insideV w:val="none"/>
              </w:tblBorders>
            </w:tblPr>
            <w:tblGrid>
              <w:gridCol w:w="591"/>
              <w:gridCol w:w="283"/>
              <w:gridCol w:w="1426"/>
            </w:tblGrid>
            <w:tr>
              <w:tc>
                <w:tcPr>
                  <w:tcW w:type="dxa" w:w="591"/>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宋体" w:hAnsi="宋体" w:cs="宋体" w:eastAsia="宋体"/>
                      <w:sz w:val="24"/>
                      <w:b/>
                    </w:rPr>
                    <w:t>服务考评分值</w:t>
                  </w:r>
                </w:p>
              </w:tc>
              <w:tc>
                <w:tcPr>
                  <w:tcW w:type="dxa" w:w="283"/>
                  <w:tcBorders>
                    <w:top w:val="single" w:color="000000" w:sz="4"/>
                    <w:left w:val="non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宋体" w:hAnsi="宋体" w:cs="宋体" w:eastAsia="宋体"/>
                      <w:sz w:val="24"/>
                      <w:b/>
                    </w:rPr>
                    <w:t>等级</w:t>
                  </w:r>
                </w:p>
              </w:tc>
              <w:tc>
                <w:tcPr>
                  <w:tcW w:type="dxa" w:w="1426"/>
                  <w:tcBorders>
                    <w:top w:val="single" w:color="000000" w:sz="4"/>
                    <w:left w:val="non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宋体" w:hAnsi="宋体" w:cs="宋体" w:eastAsia="宋体"/>
                      <w:sz w:val="24"/>
                      <w:b/>
                    </w:rPr>
                    <w:t>付款比例（</w:t>
                  </w:r>
                  <w:r>
                    <w:rPr>
                      <w:rFonts w:ascii="宋体" w:hAnsi="宋体" w:cs="宋体" w:eastAsia="宋体"/>
                      <w:sz w:val="24"/>
                      <w:b/>
                    </w:rPr>
                    <w:t>%）</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≥90分</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A</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100%</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≥80分，&lt;90分</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B</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95%</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≥60分，&lt;80分</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C</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90%</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&lt;60分</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D</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应先进行整改，在下一评估周期内完成整改，评估分值</w:t>
                  </w:r>
                  <w:r>
                    <w:rPr>
                      <w:rFonts w:ascii="宋体" w:hAnsi="宋体" w:cs="宋体" w:eastAsia="宋体"/>
                      <w:sz w:val="24"/>
                    </w:rPr>
                    <w:t>≥60分，付款比例为80%；整改后评估仍&lt;60分的，付款比例由服务采购方和服务方协商，最低可能为0。</w:t>
                  </w:r>
                </w:p>
              </w:tc>
            </w:tr>
          </w:tbl>
          <w:p>
            <w:pPr>
              <w:pStyle w:val="null3"/>
              <w:ind w:firstLine="480"/>
            </w:pPr>
            <w:r>
              <w:rPr>
                <w:rFonts w:ascii="宋体" w:hAnsi="宋体" w:cs="宋体" w:eastAsia="宋体"/>
                <w:sz w:val="24"/>
              </w:rPr>
              <w:t>按照服务内容分类进行服务评价评估，具体要求如下：</w:t>
            </w:r>
          </w:p>
          <w:tbl>
            <w:tblPr>
              <w:tblInd w:type="dxa" w:w="105"/>
              <w:tblBorders>
                <w:top w:val="none" w:color="000000" w:sz="4"/>
                <w:left w:val="none" w:color="000000" w:sz="4"/>
                <w:bottom w:val="none" w:color="000000" w:sz="4"/>
                <w:right w:val="none" w:color="000000" w:sz="4"/>
                <w:insideH w:val="none"/>
                <w:insideV w:val="none"/>
              </w:tblBorders>
            </w:tblPr>
            <w:tblGrid>
              <w:gridCol w:w="360"/>
              <w:gridCol w:w="360"/>
              <w:gridCol w:w="360"/>
              <w:gridCol w:w="360"/>
              <w:gridCol w:w="360"/>
              <w:gridCol w:w="360"/>
              <w:gridCol w:w="360"/>
            </w:tblGrid>
            <w:tr>
              <w:tc>
                <w:tcPr>
                  <w:tcW w:type="dxa" w:w="360"/>
                  <w:tcBorders>
                    <w:top w:val="single" w:color="000000" w:sz="4"/>
                    <w:left w:val="single" w:color="000000" w:sz="4"/>
                    <w:bottom w:val="single" w:color="000000" w:sz="4"/>
                    <w:right w:val="single" w:color="000000" w:sz="4"/>
                  </w:tcBorders>
                  <w:shd w:fill="CFCDCD"/>
                  <w:tcMar>
                    <w:top w:type="dxa" w:w="0"/>
                    <w:left w:type="dxa" w:w="105"/>
                    <w:bottom w:type="dxa" w:w="0"/>
                    <w:right w:type="dxa" w:w="105"/>
                  </w:tcMar>
                  <w:vAlign w:val="top"/>
                </w:tcPr>
                <w:p>
                  <w:pPr>
                    <w:pStyle w:val="null3"/>
                    <w:jc w:val="center"/>
                  </w:pPr>
                  <w:r>
                    <w:rPr>
                      <w:rFonts w:ascii="宋体" w:hAnsi="宋体" w:cs="宋体" w:eastAsia="宋体"/>
                      <w:sz w:val="24"/>
                    </w:rPr>
                    <w:t>一级指标</w:t>
                  </w:r>
                </w:p>
              </w:tc>
              <w:tc>
                <w:tcPr>
                  <w:tcW w:type="dxa" w:w="360"/>
                  <w:tcBorders>
                    <w:top w:val="single" w:color="000000" w:sz="4"/>
                    <w:left w:val="none" w:color="000000" w:sz="4"/>
                    <w:bottom w:val="single" w:color="000000" w:sz="4"/>
                    <w:right w:val="single" w:color="000000" w:sz="4"/>
                  </w:tcBorders>
                  <w:shd w:fill="CFCDCD"/>
                  <w:tcMar>
                    <w:top w:type="dxa" w:w="0"/>
                    <w:left w:type="dxa" w:w="105"/>
                    <w:bottom w:type="dxa" w:w="0"/>
                    <w:right w:type="dxa" w:w="105"/>
                  </w:tcMar>
                  <w:vAlign w:val="top"/>
                </w:tcPr>
                <w:p>
                  <w:pPr>
                    <w:pStyle w:val="null3"/>
                    <w:jc w:val="center"/>
                  </w:pPr>
                  <w:r>
                    <w:rPr>
                      <w:rFonts w:ascii="宋体" w:hAnsi="宋体" w:cs="宋体" w:eastAsia="宋体"/>
                      <w:sz w:val="24"/>
                    </w:rPr>
                    <w:t>二级</w:t>
                  </w:r>
                </w:p>
                <w:p>
                  <w:pPr>
                    <w:pStyle w:val="null3"/>
                    <w:jc w:val="center"/>
                  </w:pPr>
                  <w:r>
                    <w:rPr>
                      <w:rFonts w:ascii="宋体" w:hAnsi="宋体" w:cs="宋体" w:eastAsia="宋体"/>
                      <w:sz w:val="24"/>
                    </w:rPr>
                    <w:t>指标</w:t>
                  </w:r>
                </w:p>
              </w:tc>
              <w:tc>
                <w:tcPr>
                  <w:tcW w:type="dxa" w:w="360"/>
                  <w:tcBorders>
                    <w:top w:val="single" w:color="000000" w:sz="4"/>
                    <w:left w:val="none" w:color="000000" w:sz="4"/>
                    <w:bottom w:val="single" w:color="000000" w:sz="4"/>
                    <w:right w:val="single" w:color="000000" w:sz="4"/>
                  </w:tcBorders>
                  <w:shd w:fill="CFCDCD"/>
                  <w:tcMar>
                    <w:top w:type="dxa" w:w="0"/>
                    <w:left w:type="dxa" w:w="105"/>
                    <w:bottom w:type="dxa" w:w="0"/>
                    <w:right w:type="dxa" w:w="105"/>
                  </w:tcMar>
                  <w:vAlign w:val="top"/>
                </w:tcPr>
                <w:p>
                  <w:pPr>
                    <w:pStyle w:val="null3"/>
                    <w:jc w:val="center"/>
                  </w:pPr>
                  <w:r>
                    <w:rPr>
                      <w:rFonts w:ascii="宋体" w:hAnsi="宋体" w:cs="宋体" w:eastAsia="宋体"/>
                      <w:sz w:val="24"/>
                    </w:rPr>
                    <w:t>三级</w:t>
                  </w:r>
                </w:p>
                <w:p>
                  <w:pPr>
                    <w:pStyle w:val="null3"/>
                    <w:jc w:val="center"/>
                  </w:pPr>
                  <w:r>
                    <w:rPr>
                      <w:rFonts w:ascii="宋体" w:hAnsi="宋体" w:cs="宋体" w:eastAsia="宋体"/>
                      <w:sz w:val="24"/>
                    </w:rPr>
                    <w:t>指标</w:t>
                  </w:r>
                </w:p>
              </w:tc>
              <w:tc>
                <w:tcPr>
                  <w:tcW w:type="dxa" w:w="360"/>
                  <w:tcBorders>
                    <w:top w:val="single" w:color="000000" w:sz="4"/>
                    <w:left w:val="none" w:color="000000" w:sz="4"/>
                    <w:bottom w:val="single" w:color="000000" w:sz="4"/>
                    <w:right w:val="single" w:color="000000" w:sz="4"/>
                  </w:tcBorders>
                  <w:shd w:fill="CFCDCD"/>
                  <w:tcMar>
                    <w:top w:type="dxa" w:w="0"/>
                    <w:left w:type="dxa" w:w="105"/>
                    <w:bottom w:type="dxa" w:w="0"/>
                    <w:right w:type="dxa" w:w="105"/>
                  </w:tcMar>
                  <w:vAlign w:val="top"/>
                </w:tcPr>
                <w:p>
                  <w:pPr>
                    <w:pStyle w:val="null3"/>
                    <w:jc w:val="center"/>
                  </w:pPr>
                  <w:r>
                    <w:rPr>
                      <w:rFonts w:ascii="宋体" w:hAnsi="宋体" w:cs="宋体" w:eastAsia="宋体"/>
                      <w:sz w:val="24"/>
                    </w:rPr>
                    <w:t>权重</w:t>
                  </w:r>
                </w:p>
              </w:tc>
              <w:tc>
                <w:tcPr>
                  <w:tcW w:type="dxa" w:w="360"/>
                  <w:tcBorders>
                    <w:top w:val="single" w:color="000000" w:sz="4"/>
                    <w:left w:val="none" w:color="000000" w:sz="4"/>
                    <w:bottom w:val="single" w:color="000000" w:sz="4"/>
                    <w:right w:val="single" w:color="000000" w:sz="4"/>
                  </w:tcBorders>
                  <w:shd w:fill="CFCDCD"/>
                  <w:tcMar>
                    <w:top w:type="dxa" w:w="0"/>
                    <w:left w:type="dxa" w:w="105"/>
                    <w:bottom w:type="dxa" w:w="0"/>
                    <w:right w:type="dxa" w:w="105"/>
                  </w:tcMar>
                  <w:vAlign w:val="top"/>
                </w:tcPr>
                <w:p>
                  <w:pPr>
                    <w:pStyle w:val="null3"/>
                    <w:jc w:val="center"/>
                  </w:pPr>
                  <w:r>
                    <w:rPr>
                      <w:rFonts w:ascii="宋体" w:hAnsi="宋体" w:cs="宋体" w:eastAsia="宋体"/>
                      <w:sz w:val="24"/>
                    </w:rPr>
                    <w:t>得分</w:t>
                  </w:r>
                </w:p>
              </w:tc>
              <w:tc>
                <w:tcPr>
                  <w:tcW w:type="dxa" w:w="360"/>
                  <w:tcBorders>
                    <w:top w:val="single" w:color="000000" w:sz="4"/>
                    <w:left w:val="none" w:color="000000" w:sz="4"/>
                    <w:bottom w:val="single" w:color="000000" w:sz="4"/>
                    <w:right w:val="single" w:color="000000" w:sz="4"/>
                  </w:tcBorders>
                  <w:shd w:fill="CFCDCD"/>
                  <w:tcMar>
                    <w:top w:type="dxa" w:w="0"/>
                    <w:left w:type="dxa" w:w="105"/>
                    <w:bottom w:type="dxa" w:w="0"/>
                    <w:right w:type="dxa" w:w="105"/>
                  </w:tcMar>
                  <w:vAlign w:val="top"/>
                </w:tcPr>
                <w:p>
                  <w:pPr>
                    <w:pStyle w:val="null3"/>
                    <w:jc w:val="center"/>
                  </w:pPr>
                  <w:r>
                    <w:rPr>
                      <w:rFonts w:ascii="宋体" w:hAnsi="宋体" w:cs="宋体" w:eastAsia="宋体"/>
                      <w:sz w:val="24"/>
                    </w:rPr>
                    <w:t>权重得分</w:t>
                  </w:r>
                </w:p>
              </w:tc>
              <w:tc>
                <w:tcPr>
                  <w:tcW w:type="dxa" w:w="360"/>
                  <w:tcBorders>
                    <w:top w:val="single" w:color="000000" w:sz="4"/>
                    <w:left w:val="none" w:color="000000" w:sz="4"/>
                    <w:bottom w:val="single" w:color="000000" w:sz="4"/>
                    <w:right w:val="single" w:color="000000" w:sz="4"/>
                  </w:tcBorders>
                  <w:shd w:fill="CFCDCD"/>
                  <w:tcMar>
                    <w:top w:type="dxa" w:w="0"/>
                    <w:left w:type="dxa" w:w="105"/>
                    <w:bottom w:type="dxa" w:w="0"/>
                    <w:right w:type="dxa" w:w="105"/>
                  </w:tcMar>
                  <w:vAlign w:val="top"/>
                </w:tcPr>
                <w:p>
                  <w:pPr>
                    <w:pStyle w:val="null3"/>
                    <w:jc w:val="center"/>
                  </w:pPr>
                  <w:r>
                    <w:rPr>
                      <w:rFonts w:ascii="宋体" w:hAnsi="宋体" w:cs="宋体" w:eastAsia="宋体"/>
                      <w:sz w:val="24"/>
                    </w:rPr>
                    <w:t>说明</w:t>
                  </w:r>
                </w:p>
              </w:tc>
            </w:tr>
            <w:tr>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物理内存扩容服务（</w:t>
                  </w:r>
                  <w:r>
                    <w:rPr>
                      <w:rFonts w:ascii="宋体" w:hAnsi="宋体" w:cs="宋体" w:eastAsia="宋体"/>
                      <w:sz w:val="24"/>
                    </w:rPr>
                    <w:t>40分）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资源评估</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资源评估时效性及准确性</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业务系统评估</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业务系统评估时效性及准确性</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迁移方案制定</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方案制定时效性及可行性</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业务系统热迁移</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业务系统迁移可行性及规范性</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物理机断电，增加内存</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设备操作规范性，操作记录完整性</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物理机加电测试</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设备操作规范性，操作记录完整性</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内存扩容服务</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内存扩容服务时效性</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云平台资源验证</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资源可用性及时效性</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业务系统云资源效能提升服务（</w:t>
                  </w:r>
                  <w:r>
                    <w:rPr>
                      <w:rFonts w:ascii="宋体" w:hAnsi="宋体" w:cs="宋体" w:eastAsia="宋体"/>
                      <w:sz w:val="24"/>
                    </w:rPr>
                    <w:t>20分）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云平台资源使用分析</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报告时效性及准确性</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系统性能评估</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报告时效性及准确性</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虚机性能优化方案</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方案时效性及可行性</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虚机性能优化</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系统操作规范性，操作记录完整</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业务性能测试</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测试报告完整性，时效性</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性能优化结果分析</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报告时效性及准确性</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测试区服务（</w:t>
                  </w:r>
                  <w:r>
                    <w:rPr>
                      <w:rFonts w:ascii="宋体" w:hAnsi="宋体" w:cs="宋体" w:eastAsia="宋体"/>
                      <w:sz w:val="24"/>
                    </w:rPr>
                    <w:t>20分）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测试区资源开通</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系统操作规范性，时效性，操作记录完整</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业务系统性能测试</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测试报告完整性，时效性</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测试资源</w:t>
                  </w:r>
                  <w:r>
                    <w:rPr>
                      <w:rFonts w:ascii="宋体" w:hAnsi="宋体" w:cs="宋体" w:eastAsia="宋体"/>
                      <w:sz w:val="24"/>
                    </w:rPr>
                    <w:t>转</w:t>
                  </w:r>
                  <w:r>
                    <w:rPr>
                      <w:rFonts w:ascii="宋体" w:hAnsi="宋体" w:cs="宋体" w:eastAsia="宋体"/>
                      <w:sz w:val="24"/>
                    </w:rPr>
                    <w:t>生产资源</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系统操作规范性，时效性，操作记录完整</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基础软件能力提升服务（</w:t>
                  </w:r>
                  <w:r>
                    <w:rPr>
                      <w:rFonts w:ascii="宋体" w:hAnsi="宋体" w:cs="宋体" w:eastAsia="宋体"/>
                      <w:sz w:val="24"/>
                    </w:rPr>
                    <w:t>10分）</w:t>
                  </w:r>
                </w:p>
              </w:tc>
              <w:tc>
                <w:tcPr>
                  <w:tcW w:type="dxa" w:w="3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应用服务器（中间件）</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系统操作规范性，时效性，操作记录完整</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tcBorders>
                    <w:top w:val="none" w:color="000000" w:sz="4"/>
                    <w:left w:val="single" w:color="000000" w:sz="4"/>
                    <w:bottom w:val="single" w:color="000000" w:sz="4"/>
                    <w:right w:val="single" w:color="000000" w:sz="4"/>
                  </w:tcBorders>
                </w:tcPr>
                <w:p/>
              </w:tc>
              <w:tc>
                <w:tcPr>
                  <w:tcW w:type="dxa" w:w="360"/>
                  <w:vMerge/>
                  <w:tcBorders>
                    <w:top w:val="none" w:color="000000" w:sz="4"/>
                    <w:left w:val="non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系统功能完整，监测数据健全</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vMerge/>
                  <w:tcBorders>
                    <w:top w:val="none" w:color="000000" w:sz="4"/>
                    <w:left w:val="singl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数据库能力提升服务</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系统操作规范性，时效性，操作记录完整</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一体化资源监管与管理平台对接（</w:t>
                  </w:r>
                  <w:r>
                    <w:rPr>
                      <w:rFonts w:ascii="宋体" w:hAnsi="宋体" w:cs="宋体" w:eastAsia="宋体"/>
                      <w:sz w:val="24"/>
                    </w:rPr>
                    <w:t>10分）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北向接口开发</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北向接口开发时效性，数据上传完整性</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=权重×得分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得分部分按照实际评分</w:t>
                  </w:r>
                </w:p>
              </w:tc>
            </w:tr>
            <w:tr>
              <w:tc>
                <w:tcPr>
                  <w:tcW w:type="dxa" w:w="7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总分（各项权重得分相加）</w:t>
                  </w:r>
                </w:p>
              </w:tc>
              <w:tc>
                <w:tcPr>
                  <w:tcW w:type="dxa" w:w="7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7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br/>
                  </w:r>
                </w:p>
              </w:tc>
            </w:tr>
          </w:tbl>
          <w:p>
            <w:pPr>
              <w:pStyle w:val="null3"/>
              <w:ind w:firstLine="480"/>
            </w:pPr>
            <w:r>
              <w:rPr>
                <w:rFonts w:ascii="宋体" w:hAnsi="宋体" w:cs="宋体" w:eastAsia="宋体"/>
                <w:sz w:val="24"/>
              </w:rPr>
              <w:t>服务考核内容</w:t>
            </w:r>
          </w:p>
          <w:tbl>
            <w:tblPr>
              <w:tblBorders>
                <w:top w:val="none" w:color="000000" w:sz="4"/>
                <w:left w:val="none" w:color="000000" w:sz="4"/>
                <w:bottom w:val="none" w:color="000000" w:sz="4"/>
                <w:right w:val="none" w:color="000000" w:sz="4"/>
                <w:insideH w:val="none"/>
                <w:insideV w:val="none"/>
              </w:tblBorders>
            </w:tblPr>
            <w:tblGrid>
              <w:gridCol w:w="182"/>
              <w:gridCol w:w="313"/>
              <w:gridCol w:w="287"/>
              <w:gridCol w:w="405"/>
              <w:gridCol w:w="287"/>
              <w:gridCol w:w="287"/>
              <w:gridCol w:w="466"/>
            </w:tblGrid>
            <w:tr>
              <w:tc>
                <w:tcPr>
                  <w:tcW w:type="dxa" w:w="182"/>
                  <w:tcBorders>
                    <w:top w:val="single" w:color="000000" w:sz="4"/>
                    <w:left w:val="singl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13"/>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宋体" w:hAnsi="宋体" w:cs="宋体" w:eastAsia="宋体"/>
                      <w:sz w:val="24"/>
                    </w:rPr>
                    <w:t>服务内容</w:t>
                  </w:r>
                </w:p>
              </w:tc>
              <w:tc>
                <w:tcPr>
                  <w:tcW w:type="dxa" w:w="287"/>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宋体" w:hAnsi="宋体" w:cs="宋体" w:eastAsia="宋体"/>
                      <w:sz w:val="24"/>
                    </w:rPr>
                    <w:t>一级分类</w:t>
                  </w:r>
                </w:p>
              </w:tc>
              <w:tc>
                <w:tcPr>
                  <w:tcW w:type="dxa" w:w="405"/>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宋体" w:hAnsi="宋体" w:cs="宋体" w:eastAsia="宋体"/>
                      <w:sz w:val="24"/>
                    </w:rPr>
                    <w:t>二级分类</w:t>
                  </w:r>
                </w:p>
              </w:tc>
              <w:tc>
                <w:tcPr>
                  <w:tcW w:type="dxa" w:w="287"/>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宋体" w:hAnsi="宋体" w:cs="宋体" w:eastAsia="宋体"/>
                      <w:sz w:val="24"/>
                    </w:rPr>
                    <w:t>交付物</w:t>
                  </w:r>
                </w:p>
              </w:tc>
              <w:tc>
                <w:tcPr>
                  <w:tcW w:type="dxa" w:w="287"/>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宋体" w:hAnsi="宋体" w:cs="宋体" w:eastAsia="宋体"/>
                      <w:sz w:val="24"/>
                    </w:rPr>
                    <w:t>数量</w:t>
                  </w:r>
                </w:p>
              </w:tc>
              <w:tc>
                <w:tcPr>
                  <w:tcW w:type="dxa" w:w="466"/>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宋体" w:hAnsi="宋体" w:cs="宋体" w:eastAsia="宋体"/>
                      <w:sz w:val="24"/>
                    </w:rPr>
                    <w:t>考核标准</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物理内存扩容服务</w:t>
                  </w:r>
                </w:p>
              </w:tc>
              <w:tc>
                <w:tcPr>
                  <w:tcW w:type="dxa" w:w="2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系统评估</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资源评估</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评估报告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≧1份/年</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确定开始进行内容扩容后，</w:t>
                  </w:r>
                  <w:r>
                    <w:rPr>
                      <w:rFonts w:ascii="宋体" w:hAnsi="宋体" w:cs="宋体" w:eastAsia="宋体"/>
                      <w:sz w:val="24"/>
                    </w:rPr>
                    <w:t>10月1日</w:t>
                  </w:r>
                  <w:r>
                    <w:rPr>
                      <w:rFonts w:ascii="宋体" w:hAnsi="宋体" w:cs="宋体" w:eastAsia="宋体"/>
                      <w:sz w:val="24"/>
                    </w:rPr>
                    <w:t>前</w:t>
                  </w:r>
                  <w:r>
                    <w:rPr>
                      <w:rFonts w:ascii="宋体" w:hAnsi="宋体" w:cs="宋体" w:eastAsia="宋体"/>
                      <w:sz w:val="24"/>
                    </w:rPr>
                    <w:t>完成资源评估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13"/>
                  <w:vMerge/>
                  <w:tcBorders>
                    <w:top w:val="none" w:color="000000" w:sz="4"/>
                    <w:left w:val="none" w:color="000000" w:sz="4"/>
                    <w:bottom w:val="single" w:color="000000" w:sz="4"/>
                    <w:right w:val="single" w:color="000000" w:sz="4"/>
                  </w:tcBorders>
                </w:tcPr>
                <w:p/>
              </w:tc>
              <w:tc>
                <w:tcPr>
                  <w:tcW w:type="dxa" w:w="287"/>
                  <w:vMerge/>
                  <w:tcBorders>
                    <w:top w:val="none" w:color="000000" w:sz="4"/>
                    <w:left w:val="none" w:color="000000" w:sz="4"/>
                    <w:bottom w:val="singl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业务系统评估</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评估报告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≧1份/业务系统</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每业务系统开始后</w:t>
                  </w:r>
                  <w:r>
                    <w:rPr>
                      <w:rFonts w:ascii="宋体" w:hAnsi="宋体" w:cs="宋体" w:eastAsia="宋体"/>
                      <w:sz w:val="24"/>
                    </w:rPr>
                    <w:t>3天内完成业务系统评估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13"/>
                  <w:vMerge/>
                  <w:tcBorders>
                    <w:top w:val="none" w:color="000000" w:sz="4"/>
                    <w:left w:val="none" w:color="000000" w:sz="4"/>
                    <w:bottom w:val="single" w:color="000000" w:sz="4"/>
                    <w:right w:val="single" w:color="000000" w:sz="4"/>
                  </w:tcBorders>
                </w:tcPr>
                <w:p/>
              </w:tc>
              <w:tc>
                <w:tcPr>
                  <w:tcW w:type="dxa" w:w="2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系统迁移</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迁移方案制定</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迁移方案</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≧1份/业务系统</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评估报告确认后，</w:t>
                  </w:r>
                  <w:r>
                    <w:rPr>
                      <w:rFonts w:ascii="宋体" w:hAnsi="宋体" w:cs="宋体" w:eastAsia="宋体"/>
                      <w:sz w:val="24"/>
                    </w:rPr>
                    <w:t>3天内完成迁移方案制定</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13"/>
                  <w:vMerge/>
                  <w:tcBorders>
                    <w:top w:val="none" w:color="000000" w:sz="4"/>
                    <w:left w:val="none" w:color="000000" w:sz="4"/>
                    <w:bottom w:val="single" w:color="000000" w:sz="4"/>
                    <w:right w:val="single" w:color="000000" w:sz="4"/>
                  </w:tcBorders>
                </w:tcPr>
                <w:p/>
              </w:tc>
              <w:tc>
                <w:tcPr>
                  <w:tcW w:type="dxa" w:w="287"/>
                  <w:vMerge/>
                  <w:tcBorders>
                    <w:top w:val="none" w:color="000000" w:sz="4"/>
                    <w:left w:val="none" w:color="000000" w:sz="4"/>
                    <w:bottom w:val="singl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业务系统热迁移</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迁移报告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≧1份/业务系统</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迁移方案评估完成后，</w:t>
                  </w:r>
                  <w:r>
                    <w:rPr>
                      <w:rFonts w:ascii="宋体" w:hAnsi="宋体" w:cs="宋体" w:eastAsia="宋体"/>
                      <w:sz w:val="24"/>
                    </w:rPr>
                    <w:t>1天内完成业务系统热迁移</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13"/>
                  <w:vMerge/>
                  <w:tcBorders>
                    <w:top w:val="none" w:color="000000" w:sz="4"/>
                    <w:left w:val="none" w:color="000000" w:sz="4"/>
                    <w:bottom w:val="single" w:color="000000" w:sz="4"/>
                    <w:right w:val="single" w:color="000000" w:sz="4"/>
                  </w:tcBorders>
                </w:tcPr>
                <w:p/>
              </w:tc>
              <w:tc>
                <w:tcPr>
                  <w:tcW w:type="dxa" w:w="2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物理机测试</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物理机断电，增加内存</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方案及报告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≧1份/物理机</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业务系统热迁移完成后，</w:t>
                  </w:r>
                  <w:r>
                    <w:rPr>
                      <w:rFonts w:ascii="宋体" w:hAnsi="宋体" w:cs="宋体" w:eastAsia="宋体"/>
                      <w:sz w:val="24"/>
                    </w:rPr>
                    <w:t>2小时内完成物理机断电，增加内存工作</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13"/>
                  <w:vMerge/>
                  <w:tcBorders>
                    <w:top w:val="none" w:color="000000" w:sz="4"/>
                    <w:left w:val="none" w:color="000000" w:sz="4"/>
                    <w:bottom w:val="single" w:color="000000" w:sz="4"/>
                    <w:right w:val="single" w:color="000000" w:sz="4"/>
                  </w:tcBorders>
                </w:tcPr>
                <w:p/>
              </w:tc>
              <w:tc>
                <w:tcPr>
                  <w:tcW w:type="dxa" w:w="287"/>
                  <w:vMerge/>
                  <w:tcBorders>
                    <w:top w:val="none" w:color="000000" w:sz="4"/>
                    <w:left w:val="none" w:color="000000" w:sz="4"/>
                    <w:bottom w:val="singl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物理机加电测试</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测试报告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≧1份/物理机</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业务系统热迁移完成后，</w:t>
                  </w:r>
                  <w:r>
                    <w:rPr>
                      <w:rFonts w:ascii="宋体" w:hAnsi="宋体" w:cs="宋体" w:eastAsia="宋体"/>
                      <w:sz w:val="24"/>
                    </w:rPr>
                    <w:t>3小时内完成物理机断电，增加内存工作</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313"/>
                  <w:vMerge/>
                  <w:tcBorders>
                    <w:top w:val="none" w:color="000000" w:sz="4"/>
                    <w:left w:val="non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内存扩容服务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内存扩容服务</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到货清单，资产清单</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≧1份/年</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10月1日</w:t>
                  </w:r>
                  <w:r>
                    <w:rPr>
                      <w:rFonts w:ascii="宋体" w:hAnsi="宋体" w:cs="宋体" w:eastAsia="宋体"/>
                      <w:sz w:val="24"/>
                    </w:rPr>
                    <w:t>前</w:t>
                  </w:r>
                  <w:r>
                    <w:rPr>
                      <w:rFonts w:ascii="宋体" w:hAnsi="宋体" w:cs="宋体" w:eastAsia="宋体"/>
                      <w:sz w:val="24"/>
                    </w:rPr>
                    <w:t>完成内存扩容工作</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13"/>
                  <w:vMerge/>
                  <w:tcBorders>
                    <w:top w:val="none" w:color="000000" w:sz="4"/>
                    <w:left w:val="non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云平台调试</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云平台资源验证</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验证报告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≧1份/年</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内存全部扩容完成后</w:t>
                  </w:r>
                  <w:r>
                    <w:rPr>
                      <w:rFonts w:ascii="宋体" w:hAnsi="宋体" w:cs="宋体" w:eastAsia="宋体"/>
                      <w:sz w:val="24"/>
                    </w:rPr>
                    <w:t>1天内完成资源验证工作</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3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业务系统云资源效能提升服务</w:t>
                  </w:r>
                </w:p>
              </w:tc>
              <w:tc>
                <w:tcPr>
                  <w:tcW w:type="dxa" w:w="6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云平台资源使用分析</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分析报告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≧1份/月</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按月出具云平台资源使用分析报告</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313"/>
                  <w:vMerge/>
                  <w:tcBorders>
                    <w:top w:val="none" w:color="000000" w:sz="4"/>
                    <w:left w:val="none" w:color="000000" w:sz="4"/>
                    <w:bottom w:val="single" w:color="000000" w:sz="4"/>
                    <w:right w:val="single" w:color="000000" w:sz="4"/>
                  </w:tcBorders>
                </w:tcPr>
                <w:p/>
              </w:tc>
              <w:tc>
                <w:tcPr>
                  <w:tcW w:type="dxa" w:w="6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系统性能评估</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评估报告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≧1份/业务系统</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按业务系统进行性能评估，每业务系统</w:t>
                  </w:r>
                  <w:r>
                    <w:rPr>
                      <w:rFonts w:ascii="宋体" w:hAnsi="宋体" w:cs="宋体" w:eastAsia="宋体"/>
                      <w:sz w:val="24"/>
                    </w:rPr>
                    <w:t>3天内完成</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313"/>
                  <w:vMerge/>
                  <w:tcBorders>
                    <w:top w:val="none" w:color="000000" w:sz="4"/>
                    <w:left w:val="none" w:color="000000" w:sz="4"/>
                    <w:bottom w:val="single" w:color="000000" w:sz="4"/>
                    <w:right w:val="single" w:color="000000" w:sz="4"/>
                  </w:tcBorders>
                </w:tcPr>
                <w:p/>
              </w:tc>
              <w:tc>
                <w:tcPr>
                  <w:tcW w:type="dxa" w:w="6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虚机性能优化方案</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优化方案</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≧1份/业务系统</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按业务系统进行性能优化方案，每业务系统</w:t>
                  </w:r>
                  <w:r>
                    <w:rPr>
                      <w:rFonts w:ascii="宋体" w:hAnsi="宋体" w:cs="宋体" w:eastAsia="宋体"/>
                      <w:sz w:val="24"/>
                    </w:rPr>
                    <w:t>3天内完成</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313"/>
                  <w:vMerge/>
                  <w:tcBorders>
                    <w:top w:val="none" w:color="000000" w:sz="4"/>
                    <w:left w:val="none" w:color="000000" w:sz="4"/>
                    <w:bottom w:val="single" w:color="000000" w:sz="4"/>
                    <w:right w:val="single" w:color="000000" w:sz="4"/>
                  </w:tcBorders>
                </w:tcPr>
                <w:p/>
              </w:tc>
              <w:tc>
                <w:tcPr>
                  <w:tcW w:type="dxa" w:w="6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虚机性能优化</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优化方案</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≧1份/业务系统</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对通过性能优化方案的业务系统进行虚机性能优化，每业务系统</w:t>
                  </w:r>
                  <w:r>
                    <w:rPr>
                      <w:rFonts w:ascii="宋体" w:hAnsi="宋体" w:cs="宋体" w:eastAsia="宋体"/>
                      <w:sz w:val="24"/>
                    </w:rPr>
                    <w:t>3天内完成</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313"/>
                  <w:vMerge/>
                  <w:tcBorders>
                    <w:top w:val="none" w:color="000000" w:sz="4"/>
                    <w:left w:val="none" w:color="000000" w:sz="4"/>
                    <w:bottom w:val="single" w:color="000000" w:sz="4"/>
                    <w:right w:val="single" w:color="000000" w:sz="4"/>
                  </w:tcBorders>
                </w:tcPr>
                <w:p/>
              </w:tc>
              <w:tc>
                <w:tcPr>
                  <w:tcW w:type="dxa" w:w="6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业务性能测试</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测试报告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≧1份/业务系统</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对优化后的业务系统进行</w:t>
                  </w:r>
                  <w:r>
                    <w:rPr>
                      <w:rFonts w:ascii="宋体" w:hAnsi="宋体" w:cs="宋体" w:eastAsia="宋体"/>
                      <w:sz w:val="24"/>
                    </w:rPr>
                    <w:t>1个月的性能测试，并在测试完成后3天内出具性能测试报告</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313"/>
                  <w:vMerge/>
                  <w:tcBorders>
                    <w:top w:val="none" w:color="000000" w:sz="4"/>
                    <w:left w:val="none" w:color="000000" w:sz="4"/>
                    <w:bottom w:val="single" w:color="000000" w:sz="4"/>
                    <w:right w:val="single" w:color="000000" w:sz="4"/>
                  </w:tcBorders>
                </w:tcPr>
                <w:p/>
              </w:tc>
              <w:tc>
                <w:tcPr>
                  <w:tcW w:type="dxa" w:w="6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性能优化结果分析</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分析报告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≧1份/月</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按月出具云平台性能优化结果分析报告</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3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测试区服务</w:t>
                  </w:r>
                </w:p>
              </w:tc>
              <w:tc>
                <w:tcPr>
                  <w:tcW w:type="dxa" w:w="6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测试区资源开通</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交付回执文件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≧1份/业务系统</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在现有生产区通过</w:t>
                  </w:r>
                  <w:r>
                    <w:rPr>
                      <w:rFonts w:ascii="宋体" w:hAnsi="宋体" w:cs="宋体" w:eastAsia="宋体"/>
                      <w:sz w:val="24"/>
                    </w:rPr>
                    <w:t>VPC方式划分测试区，并通过逻辑与生产区进行隔离，按照工单对需要上云的业务系统开通测试区资源</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313"/>
                  <w:vMerge/>
                  <w:tcBorders>
                    <w:top w:val="none" w:color="000000" w:sz="4"/>
                    <w:left w:val="none" w:color="000000" w:sz="4"/>
                    <w:bottom w:val="single" w:color="000000" w:sz="4"/>
                    <w:right w:val="single" w:color="000000" w:sz="4"/>
                  </w:tcBorders>
                </w:tcPr>
                <w:p/>
              </w:tc>
              <w:tc>
                <w:tcPr>
                  <w:tcW w:type="dxa" w:w="6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业务系统性能测试</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测试报告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≧1份/业务系统</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测试区业务系统上线后，对业务系统进行为期</w:t>
                  </w:r>
                  <w:r>
                    <w:rPr>
                      <w:rFonts w:ascii="宋体" w:hAnsi="宋体" w:cs="宋体" w:eastAsia="宋体"/>
                      <w:sz w:val="24"/>
                    </w:rPr>
                    <w:t>3个月的性能测试，并根据测试结果优化虚机资源</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313"/>
                  <w:vMerge/>
                  <w:tcBorders>
                    <w:top w:val="none" w:color="000000" w:sz="4"/>
                    <w:left w:val="none" w:color="000000" w:sz="4"/>
                    <w:bottom w:val="single" w:color="000000" w:sz="4"/>
                    <w:right w:val="single" w:color="000000" w:sz="4"/>
                  </w:tcBorders>
                </w:tcPr>
                <w:p/>
              </w:tc>
              <w:tc>
                <w:tcPr>
                  <w:tcW w:type="dxa" w:w="6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测试资源</w:t>
                  </w:r>
                  <w:r>
                    <w:rPr>
                      <w:rFonts w:ascii="宋体" w:hAnsi="宋体" w:cs="宋体" w:eastAsia="宋体"/>
                      <w:sz w:val="24"/>
                    </w:rPr>
                    <w:t>转</w:t>
                  </w:r>
                  <w:r>
                    <w:rPr>
                      <w:rFonts w:ascii="宋体" w:hAnsi="宋体" w:cs="宋体" w:eastAsia="宋体"/>
                      <w:sz w:val="24"/>
                    </w:rPr>
                    <w:t>生产资源</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变更报告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≧1份/业务系统</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测试结束后，通过策略将测试区资源划分至生产区</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3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基础软件能力提升服务</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PAAS层组件及中间件能力提升服务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应用服务器（中间件）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资产清单、开通记录</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≧1份/业务系统</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1.按照业务系统部署位置，3天内开通国产化中间件实例，业务系统能够正常部署</w:t>
                  </w:r>
                </w:p>
                <w:p>
                  <w:pPr>
                    <w:pStyle w:val="null3"/>
                  </w:pPr>
                  <w:r>
                    <w:rPr>
                      <w:rFonts w:ascii="宋体" w:hAnsi="宋体" w:cs="宋体" w:eastAsia="宋体"/>
                      <w:sz w:val="24"/>
                    </w:rPr>
                    <w:t>2.能够实现对中间件及通过中间件接入的数据库使用状态监测</w:t>
                  </w:r>
                </w:p>
                <w:p>
                  <w:pPr>
                    <w:pStyle w:val="null3"/>
                  </w:pPr>
                  <w:r>
                    <w:rPr>
                      <w:rFonts w:ascii="宋体" w:hAnsi="宋体" w:cs="宋体" w:eastAsia="宋体"/>
                      <w:sz w:val="24"/>
                    </w:rPr>
                    <w:t>3.按照实际开通数量进行结算，开通数量依据来源为中间件开通工单</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313"/>
                  <w:vMerge/>
                  <w:tcBorders>
                    <w:top w:val="none" w:color="000000" w:sz="4"/>
                    <w:left w:val="none" w:color="000000" w:sz="4"/>
                    <w:bottom w:val="single" w:color="000000" w:sz="4"/>
                    <w:right w:val="single" w:color="000000" w:sz="4"/>
                  </w:tcBorders>
                </w:tcPr>
                <w:p/>
              </w:tc>
              <w:tc>
                <w:tcPr>
                  <w:tcW w:type="dxa" w:w="6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数据库能力提升服务</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资产清单、开通记录</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≧1份/业务系统</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1.按照业务系统部署位置，3天内开通国产化数据库实例，业务系统能够正常部署</w:t>
                  </w:r>
                </w:p>
                <w:p>
                  <w:pPr>
                    <w:pStyle w:val="null3"/>
                  </w:pPr>
                  <w:r>
                    <w:rPr>
                      <w:rFonts w:ascii="宋体" w:hAnsi="宋体" w:cs="宋体" w:eastAsia="宋体"/>
                      <w:sz w:val="24"/>
                    </w:rPr>
                    <w:t>2.按照实际开通数量进行结算，开通数量依据来源为数据库开通工单</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一体化资源监管与管理平台对接</w:t>
                  </w:r>
                </w:p>
              </w:tc>
              <w:tc>
                <w:tcPr>
                  <w:tcW w:type="dxa" w:w="6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北向接口开发</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接口文档，开发过程文档</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≧1份</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根据安全监管平台要求，</w:t>
                  </w:r>
                  <w:r>
                    <w:rPr>
                      <w:rFonts w:ascii="宋体" w:hAnsi="宋体" w:cs="宋体" w:eastAsia="宋体"/>
                      <w:sz w:val="24"/>
                    </w:rPr>
                    <w:t>1个月内完成云管平台北向接口开发</w:t>
                  </w:r>
                </w:p>
              </w:tc>
            </w:tr>
          </w:tbl>
          <w:p>
            <w:pPr>
              <w:pStyle w:val="null3"/>
              <w:ind w:firstLine="480"/>
              <w:outlineLvl w:val="3"/>
            </w:pPr>
            <w:r>
              <w:rPr>
                <w:rFonts w:ascii="仿宋_gb2312" w:hAnsi="仿宋_gb2312" w:cs="仿宋_gb2312" w:eastAsia="仿宋_gb2312"/>
                <w:sz w:val="24"/>
                <w:b/>
              </w:rPr>
              <w:t>3.</w:t>
            </w:r>
            <w:r>
              <w:rPr>
                <w:rFonts w:ascii="仿宋_gb2312" w:hAnsi="仿宋_gb2312" w:cs="仿宋_gb2312" w:eastAsia="仿宋_gb2312"/>
                <w:sz w:val="24"/>
                <w:b/>
              </w:rPr>
              <w:t>3</w:t>
            </w:r>
            <w:r>
              <w:rPr>
                <w:rFonts w:ascii="仿宋_gb2312" w:hAnsi="仿宋_gb2312" w:cs="仿宋_gb2312" w:eastAsia="仿宋_gb2312"/>
                <w:sz w:val="24"/>
                <w:b/>
              </w:rPr>
              <w:t>.6.4</w:t>
            </w:r>
            <w:r>
              <w:rPr>
                <w:rFonts w:ascii="仿宋_gb2312" w:hAnsi="仿宋_gb2312" w:cs="仿宋_gb2312" w:eastAsia="仿宋_gb2312"/>
                <w:sz w:val="24"/>
                <w:b/>
              </w:rPr>
              <w:t>服务</w:t>
            </w:r>
            <w:r>
              <w:rPr>
                <w:rFonts w:ascii="仿宋_gb2312" w:hAnsi="仿宋_gb2312" w:cs="仿宋_gb2312" w:eastAsia="仿宋_gb2312"/>
                <w:sz w:val="24"/>
                <w:b/>
              </w:rPr>
              <w:t>交付时间要求</w:t>
            </w:r>
          </w:p>
          <w:p>
            <w:pPr>
              <w:pStyle w:val="null3"/>
              <w:ind w:firstLine="480"/>
            </w:pPr>
            <w:r>
              <w:rPr>
                <w:rFonts w:ascii="宋体" w:hAnsi="宋体" w:cs="宋体" w:eastAsia="宋体"/>
                <w:sz w:val="24"/>
              </w:rPr>
              <w:t>服务时间：合同签订后</w:t>
            </w:r>
            <w:r>
              <w:rPr>
                <w:rFonts w:ascii="宋体" w:hAnsi="宋体" w:cs="宋体" w:eastAsia="宋体"/>
                <w:sz w:val="24"/>
              </w:rPr>
              <w:t>2024年10月1日前</w:t>
            </w:r>
            <w:r>
              <w:rPr>
                <w:rFonts w:ascii="宋体" w:hAnsi="宋体" w:cs="宋体" w:eastAsia="宋体"/>
                <w:sz w:val="24"/>
              </w:rPr>
              <w:t>完成内存升级改造，</w:t>
            </w:r>
            <w:r>
              <w:rPr>
                <w:rFonts w:ascii="宋体" w:hAnsi="宋体" w:cs="宋体" w:eastAsia="宋体"/>
                <w:sz w:val="24"/>
              </w:rPr>
              <w:t>90日历日提交交付验收申请，交付验收通过后正式提供服务365个日历日。</w:t>
            </w:r>
          </w:p>
          <w:p>
            <w:pPr>
              <w:pStyle w:val="null3"/>
              <w:jc w:val="left"/>
              <w:outlineLvl w:val="2"/>
            </w:pPr>
            <w:r>
              <w:rPr>
                <w:rFonts w:ascii="仿宋_gb2312" w:hAnsi="仿宋_gb2312" w:cs="仿宋_gb2312" w:eastAsia="仿宋_gb2312"/>
                <w:sz w:val="24"/>
                <w:b/>
              </w:rPr>
              <w:t>3.</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7</w:t>
            </w:r>
            <w:r>
              <w:rPr>
                <w:rFonts w:ascii="仿宋_gb2312" w:hAnsi="仿宋_gb2312" w:cs="仿宋_gb2312" w:eastAsia="仿宋_gb2312"/>
                <w:sz w:val="24"/>
                <w:b/>
              </w:rPr>
              <w:t>其他要求</w:t>
            </w:r>
          </w:p>
          <w:p>
            <w:pPr>
              <w:pStyle w:val="null3"/>
              <w:jc w:val="left"/>
              <w:outlineLvl w:val="3"/>
            </w:pPr>
            <w:r>
              <w:rPr>
                <w:rFonts w:ascii="仿宋_gb2312" w:hAnsi="仿宋_gb2312" w:cs="仿宋_gb2312" w:eastAsia="仿宋_gb2312"/>
                <w:sz w:val="24"/>
                <w:b/>
              </w:rPr>
              <w:t>3.</w:t>
            </w:r>
            <w:r>
              <w:rPr>
                <w:rFonts w:ascii="仿宋_gb2312" w:hAnsi="仿宋_gb2312" w:cs="仿宋_gb2312" w:eastAsia="仿宋_gb2312"/>
                <w:sz w:val="24"/>
                <w:b/>
              </w:rPr>
              <w:t>3.7.1</w:t>
            </w:r>
            <w:r>
              <w:rPr>
                <w:rFonts w:ascii="仿宋_gb2312" w:hAnsi="仿宋_gb2312" w:cs="仿宋_gb2312" w:eastAsia="仿宋_gb2312"/>
                <w:sz w:val="24"/>
                <w:b/>
              </w:rPr>
              <w:t>退出机制要求</w:t>
            </w:r>
          </w:p>
          <w:p>
            <w:pPr>
              <w:pStyle w:val="null3"/>
              <w:ind w:firstLine="480"/>
            </w:pPr>
            <w:r>
              <w:rPr>
                <w:rFonts w:ascii="宋体" w:hAnsi="宋体" w:cs="宋体" w:eastAsia="宋体"/>
                <w:sz w:val="24"/>
              </w:rPr>
              <w:t>2024年度西咸信创云升级改造服务项目的退出机制，是指在西咸信创云升级改造服务无法继续提供或无法满足用户需求时，所采取的策略和步骤。通常包括正常完成退出和非正常完成退出两种情况。以下是关于2024年度西咸信创云升级改造服务项目退出机制的内容：</w:t>
            </w:r>
          </w:p>
          <w:p>
            <w:pPr>
              <w:pStyle w:val="null3"/>
              <w:ind w:firstLine="480"/>
            </w:pPr>
            <w:r>
              <w:rPr>
                <w:rFonts w:ascii="宋体" w:hAnsi="宋体" w:cs="宋体" w:eastAsia="宋体"/>
                <w:sz w:val="24"/>
              </w:rPr>
              <w:t>1.正常完成退出</w:t>
            </w:r>
          </w:p>
          <w:p>
            <w:pPr>
              <w:pStyle w:val="null3"/>
              <w:ind w:firstLine="480"/>
            </w:pPr>
            <w:r>
              <w:rPr>
                <w:rFonts w:ascii="宋体" w:hAnsi="宋体" w:cs="宋体" w:eastAsia="宋体"/>
                <w:sz w:val="24"/>
              </w:rPr>
              <w:t>正常完成退出是指在西咸信创云升级改造服务达到预期目标或完成全部服务内容后，按照预定的计划进行的有序退出。</w:t>
            </w:r>
          </w:p>
          <w:p>
            <w:pPr>
              <w:pStyle w:val="null3"/>
              <w:ind w:firstLine="480"/>
            </w:pPr>
            <w:r>
              <w:rPr>
                <w:rFonts w:ascii="宋体" w:hAnsi="宋体" w:cs="宋体" w:eastAsia="宋体"/>
                <w:sz w:val="24"/>
              </w:rPr>
              <w:t>（</w:t>
            </w:r>
            <w:r>
              <w:rPr>
                <w:rFonts w:ascii="宋体" w:hAnsi="宋体" w:cs="宋体" w:eastAsia="宋体"/>
                <w:sz w:val="24"/>
              </w:rPr>
              <w:t>1）确定退出时间：根据项目合同或协议，确定服务项目的结束时间。</w:t>
            </w:r>
          </w:p>
          <w:p>
            <w:pPr>
              <w:pStyle w:val="null3"/>
              <w:ind w:firstLine="480"/>
            </w:pPr>
            <w:r>
              <w:rPr>
                <w:rFonts w:ascii="宋体" w:hAnsi="宋体" w:cs="宋体" w:eastAsia="宋体"/>
                <w:sz w:val="24"/>
              </w:rPr>
              <w:t>（</w:t>
            </w:r>
            <w:r>
              <w:rPr>
                <w:rFonts w:ascii="宋体" w:hAnsi="宋体" w:cs="宋体" w:eastAsia="宋体"/>
                <w:sz w:val="24"/>
              </w:rPr>
              <w:t>2）通知用户：提前通知用户服务项目的结束时间，确保用户有足够的时间进行准备和过渡。</w:t>
            </w:r>
          </w:p>
          <w:p>
            <w:pPr>
              <w:pStyle w:val="null3"/>
              <w:ind w:firstLine="480"/>
            </w:pPr>
            <w:r>
              <w:rPr>
                <w:rFonts w:ascii="宋体" w:hAnsi="宋体" w:cs="宋体" w:eastAsia="宋体"/>
                <w:sz w:val="24"/>
              </w:rPr>
              <w:t>（</w:t>
            </w:r>
            <w:r>
              <w:rPr>
                <w:rFonts w:ascii="宋体" w:hAnsi="宋体" w:cs="宋体" w:eastAsia="宋体"/>
                <w:sz w:val="24"/>
              </w:rPr>
              <w:t>3）资料交接：在退出前，对用户的操作记录、操作记录等重要资料进行交接，并提供操作指导和支持。</w:t>
            </w:r>
          </w:p>
          <w:p>
            <w:pPr>
              <w:pStyle w:val="null3"/>
              <w:ind w:firstLine="480"/>
            </w:pPr>
            <w:r>
              <w:rPr>
                <w:rFonts w:ascii="宋体" w:hAnsi="宋体" w:cs="宋体" w:eastAsia="宋体"/>
                <w:sz w:val="24"/>
              </w:rPr>
              <w:t>（</w:t>
            </w:r>
            <w:r>
              <w:rPr>
                <w:rFonts w:ascii="宋体" w:hAnsi="宋体" w:cs="宋体" w:eastAsia="宋体"/>
                <w:sz w:val="24"/>
              </w:rPr>
              <w:t>4）解除合作关系：与服务提供商或合作伙伴解除合作关系，包括合同终止、费用结算等。</w:t>
            </w:r>
          </w:p>
          <w:p>
            <w:pPr>
              <w:pStyle w:val="null3"/>
              <w:ind w:firstLine="480"/>
            </w:pPr>
            <w:r>
              <w:rPr>
                <w:rFonts w:ascii="宋体" w:hAnsi="宋体" w:cs="宋体" w:eastAsia="宋体"/>
                <w:sz w:val="24"/>
              </w:rPr>
              <w:t>（</w:t>
            </w:r>
            <w:r>
              <w:rPr>
                <w:rFonts w:ascii="宋体" w:hAnsi="宋体" w:cs="宋体" w:eastAsia="宋体"/>
                <w:sz w:val="24"/>
              </w:rPr>
              <w:t>5）总结和反馈：对服务项目进行总结，收集用户反馈，为今后的项目提供参考。</w:t>
            </w:r>
          </w:p>
          <w:p>
            <w:pPr>
              <w:pStyle w:val="null3"/>
              <w:ind w:firstLine="480"/>
            </w:pPr>
            <w:r>
              <w:rPr>
                <w:rFonts w:ascii="宋体" w:hAnsi="宋体" w:cs="宋体" w:eastAsia="宋体"/>
                <w:sz w:val="24"/>
              </w:rPr>
              <w:t>2.非正常完成退出</w:t>
            </w:r>
          </w:p>
          <w:p>
            <w:pPr>
              <w:pStyle w:val="null3"/>
              <w:ind w:firstLine="480"/>
            </w:pPr>
            <w:r>
              <w:rPr>
                <w:rFonts w:ascii="宋体" w:hAnsi="宋体" w:cs="宋体" w:eastAsia="宋体"/>
                <w:sz w:val="24"/>
              </w:rPr>
              <w:t>非正常完成退出是指在西咸信创云升级改造服务项目运行期间，由于某种原因无法继续进行，需要紧急退出的情况。</w:t>
            </w:r>
          </w:p>
          <w:p>
            <w:pPr>
              <w:pStyle w:val="null3"/>
              <w:ind w:firstLine="480"/>
            </w:pPr>
            <w:r>
              <w:rPr>
                <w:rFonts w:ascii="宋体" w:hAnsi="宋体" w:cs="宋体" w:eastAsia="宋体"/>
                <w:sz w:val="24"/>
              </w:rPr>
              <w:t>（</w:t>
            </w:r>
            <w:r>
              <w:rPr>
                <w:rFonts w:ascii="宋体" w:hAnsi="宋体" w:cs="宋体" w:eastAsia="宋体"/>
                <w:sz w:val="24"/>
              </w:rPr>
              <w:t>1）确定退出原因：分析项目情况，确定导致项目无法继续的原因，如技术故障、资金问题、用户需求变化等。</w:t>
            </w:r>
          </w:p>
          <w:p>
            <w:pPr>
              <w:pStyle w:val="null3"/>
              <w:ind w:firstLine="480"/>
            </w:pPr>
            <w:r>
              <w:rPr>
                <w:rFonts w:ascii="宋体" w:hAnsi="宋体" w:cs="宋体" w:eastAsia="宋体"/>
                <w:sz w:val="24"/>
              </w:rPr>
              <w:t>（</w:t>
            </w:r>
            <w:r>
              <w:rPr>
                <w:rFonts w:ascii="宋体" w:hAnsi="宋体" w:cs="宋体" w:eastAsia="宋体"/>
                <w:sz w:val="24"/>
              </w:rPr>
              <w:t>2）制定退出计划：根据项目情况和用户需求，制定紧急退出计划，明确退出过程中各方的责任和义务。</w:t>
            </w:r>
          </w:p>
          <w:p>
            <w:pPr>
              <w:pStyle w:val="null3"/>
              <w:ind w:firstLine="480"/>
            </w:pPr>
            <w:r>
              <w:rPr>
                <w:rFonts w:ascii="宋体" w:hAnsi="宋体" w:cs="宋体" w:eastAsia="宋体"/>
                <w:sz w:val="24"/>
              </w:rPr>
              <w:t>（</w:t>
            </w:r>
            <w:r>
              <w:rPr>
                <w:rFonts w:ascii="宋体" w:hAnsi="宋体" w:cs="宋体" w:eastAsia="宋体"/>
                <w:sz w:val="24"/>
              </w:rPr>
              <w:t>3）通知用户：尽快通知用户关于项目的紧急退出，解释原因并提供解决方案或替代服务。</w:t>
            </w:r>
          </w:p>
          <w:p>
            <w:pPr>
              <w:pStyle w:val="null3"/>
              <w:ind w:firstLine="480"/>
            </w:pPr>
            <w:r>
              <w:rPr>
                <w:rFonts w:ascii="宋体" w:hAnsi="宋体" w:cs="宋体" w:eastAsia="宋体"/>
                <w:sz w:val="24"/>
              </w:rPr>
              <w:t>（</w:t>
            </w:r>
            <w:r>
              <w:rPr>
                <w:rFonts w:ascii="宋体" w:hAnsi="宋体" w:cs="宋体" w:eastAsia="宋体"/>
                <w:sz w:val="24"/>
              </w:rPr>
              <w:t>4）处理遗留问题：对项目中的遗留问题进行妥善处理，如未完成的服务内容、未结算的费用等。</w:t>
            </w:r>
          </w:p>
          <w:p>
            <w:pPr>
              <w:pStyle w:val="null3"/>
              <w:outlineLvl w:val="3"/>
            </w:pPr>
            <w:r>
              <w:rPr>
                <w:rFonts w:ascii="仿宋_gb2312" w:hAnsi="仿宋_gb2312" w:cs="仿宋_gb2312" w:eastAsia="仿宋_gb2312"/>
                <w:sz w:val="24"/>
                <w:b/>
              </w:rPr>
              <w:t>3.</w:t>
            </w:r>
            <w:r>
              <w:rPr>
                <w:rFonts w:ascii="仿宋_gb2312" w:hAnsi="仿宋_gb2312" w:cs="仿宋_gb2312" w:eastAsia="仿宋_gb2312"/>
                <w:sz w:val="24"/>
                <w:b/>
              </w:rPr>
              <w:t>3.7</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保密要求</w:t>
            </w:r>
          </w:p>
          <w:p>
            <w:pPr>
              <w:pStyle w:val="null3"/>
              <w:ind w:firstLine="480"/>
            </w:pPr>
            <w:r>
              <w:rPr>
                <w:rFonts w:ascii="宋体" w:hAnsi="宋体" w:cs="宋体" w:eastAsia="宋体"/>
                <w:sz w:val="24"/>
              </w:rPr>
              <w:t>保密要求确保工作中的敏感信息在云计算环境中得到妥善保护，不被非法获取、泄露或滥用。</w:t>
            </w:r>
          </w:p>
          <w:p>
            <w:pPr>
              <w:pStyle w:val="null3"/>
              <w:ind w:firstLine="480"/>
            </w:pPr>
            <w:r>
              <w:rPr>
                <w:rFonts w:ascii="宋体" w:hAnsi="宋体" w:cs="宋体" w:eastAsia="宋体"/>
                <w:sz w:val="24"/>
              </w:rPr>
              <w:t>1.保密原则</w:t>
            </w:r>
          </w:p>
          <w:p>
            <w:pPr>
              <w:pStyle w:val="null3"/>
              <w:ind w:firstLine="480"/>
            </w:pPr>
            <w:r>
              <w:rPr>
                <w:rFonts w:ascii="宋体" w:hAnsi="宋体" w:cs="宋体" w:eastAsia="宋体"/>
                <w:sz w:val="24"/>
              </w:rPr>
              <w:t>（</w:t>
            </w:r>
            <w:r>
              <w:rPr>
                <w:rFonts w:ascii="宋体" w:hAnsi="宋体" w:cs="宋体" w:eastAsia="宋体"/>
                <w:sz w:val="24"/>
              </w:rPr>
              <w:t>1）预防为主：在建设、运营和管理过程中，应始终坚持预防为主的原则，通过建立健全的保密制度和措施，有效防范和降低信息泄露的风险。</w:t>
            </w:r>
          </w:p>
          <w:p>
            <w:pPr>
              <w:pStyle w:val="null3"/>
              <w:ind w:firstLine="480"/>
            </w:pPr>
            <w:r>
              <w:rPr>
                <w:rFonts w:ascii="宋体" w:hAnsi="宋体" w:cs="宋体" w:eastAsia="宋体"/>
                <w:sz w:val="24"/>
              </w:rPr>
              <w:t>（</w:t>
            </w:r>
            <w:r>
              <w:rPr>
                <w:rFonts w:ascii="宋体" w:hAnsi="宋体" w:cs="宋体" w:eastAsia="宋体"/>
                <w:sz w:val="24"/>
              </w:rPr>
              <w:t>2）突出重点：针对工作中的关键信息、敏感数据和重要系统，应实施重点保护和监控，确保这些信息的安全性和保密性。</w:t>
            </w:r>
          </w:p>
          <w:p>
            <w:pPr>
              <w:pStyle w:val="null3"/>
              <w:ind w:firstLine="480"/>
            </w:pPr>
            <w:r>
              <w:rPr>
                <w:rFonts w:ascii="宋体" w:hAnsi="宋体" w:cs="宋体" w:eastAsia="宋体"/>
                <w:sz w:val="24"/>
              </w:rPr>
              <w:t>（</w:t>
            </w:r>
            <w:r>
              <w:rPr>
                <w:rFonts w:ascii="宋体" w:hAnsi="宋体" w:cs="宋体" w:eastAsia="宋体"/>
                <w:sz w:val="24"/>
              </w:rPr>
              <w:t>3）全面管理：保密工作应贯穿信息的全生命周期，包括信息的产生、存储、传输、使用和销毁等各个环节，实现全面管理和控制。</w:t>
            </w:r>
          </w:p>
          <w:p>
            <w:pPr>
              <w:pStyle w:val="null3"/>
              <w:ind w:firstLine="480"/>
            </w:pPr>
            <w:r>
              <w:rPr>
                <w:rFonts w:ascii="宋体" w:hAnsi="宋体" w:cs="宋体" w:eastAsia="宋体"/>
                <w:sz w:val="24"/>
              </w:rPr>
              <w:t>（</w:t>
            </w:r>
            <w:r>
              <w:rPr>
                <w:rFonts w:ascii="宋体" w:hAnsi="宋体" w:cs="宋体" w:eastAsia="宋体"/>
                <w:sz w:val="24"/>
              </w:rPr>
              <w:t>4）确保安全：通过技术手段和管理措施，确保信息不被非法获取、泄露或滥用，保障</w:t>
            </w:r>
            <w:r>
              <w:rPr>
                <w:rFonts w:ascii="宋体" w:hAnsi="宋体" w:cs="宋体" w:eastAsia="宋体"/>
                <w:sz w:val="24"/>
              </w:rPr>
              <w:t>政务</w:t>
            </w:r>
            <w:r>
              <w:rPr>
                <w:rFonts w:ascii="宋体" w:hAnsi="宋体" w:cs="宋体" w:eastAsia="宋体"/>
                <w:sz w:val="24"/>
              </w:rPr>
              <w:t>工作的正常开展和国家安全。</w:t>
            </w:r>
          </w:p>
          <w:p>
            <w:pPr>
              <w:pStyle w:val="null3"/>
              <w:ind w:firstLine="480"/>
            </w:pPr>
            <w:r>
              <w:rPr>
                <w:rFonts w:ascii="宋体" w:hAnsi="宋体" w:cs="宋体" w:eastAsia="宋体"/>
                <w:sz w:val="24"/>
              </w:rPr>
              <w:t>2</w:t>
            </w:r>
            <w:r>
              <w:rPr>
                <w:rFonts w:ascii="宋体" w:hAnsi="宋体" w:cs="宋体" w:eastAsia="宋体"/>
                <w:sz w:val="24"/>
              </w:rPr>
              <w:t>.保密要求的具体措施</w:t>
            </w:r>
          </w:p>
          <w:p>
            <w:pPr>
              <w:pStyle w:val="null3"/>
              <w:ind w:firstLine="480"/>
            </w:pPr>
            <w:r>
              <w:rPr>
                <w:rFonts w:ascii="宋体" w:hAnsi="宋体" w:cs="宋体" w:eastAsia="宋体"/>
                <w:sz w:val="24"/>
              </w:rPr>
              <w:t>（</w:t>
            </w:r>
            <w:r>
              <w:rPr>
                <w:rFonts w:ascii="宋体" w:hAnsi="宋体" w:cs="宋体" w:eastAsia="宋体"/>
                <w:sz w:val="24"/>
              </w:rPr>
              <w:t>1）网络安全保密：加强网络的安全防护，包括网络访问控制、入侵检测与防御、安全审计等，确保网络传输过程中的信息安全。</w:t>
            </w:r>
          </w:p>
          <w:p>
            <w:pPr>
              <w:pStyle w:val="null3"/>
              <w:ind w:firstLine="480"/>
            </w:pPr>
            <w:r>
              <w:rPr>
                <w:rFonts w:ascii="宋体" w:hAnsi="宋体" w:cs="宋体" w:eastAsia="宋体"/>
                <w:sz w:val="24"/>
              </w:rPr>
              <w:t>（</w:t>
            </w:r>
            <w:r>
              <w:rPr>
                <w:rFonts w:ascii="宋体" w:hAnsi="宋体" w:cs="宋体" w:eastAsia="宋体"/>
                <w:sz w:val="24"/>
              </w:rPr>
              <w:t>2）数据安全保密：对数据进行加密存储和传输，防止数据被非法获取和篡改。同时，建立数据备份和恢复机制，确保数据的完整性和可用性。</w:t>
            </w:r>
          </w:p>
          <w:p>
            <w:pPr>
              <w:pStyle w:val="null3"/>
              <w:ind w:firstLine="480"/>
            </w:pPr>
            <w:r>
              <w:rPr>
                <w:rFonts w:ascii="宋体" w:hAnsi="宋体" w:cs="宋体" w:eastAsia="宋体"/>
                <w:sz w:val="24"/>
              </w:rPr>
              <w:t>（</w:t>
            </w:r>
            <w:r>
              <w:rPr>
                <w:rFonts w:ascii="宋体" w:hAnsi="宋体" w:cs="宋体" w:eastAsia="宋体"/>
                <w:sz w:val="24"/>
              </w:rPr>
              <w:t>3）系统安全保密：对关键系统和应用进行安全加固，防止系统被非法入侵和破坏。同时，定期对系统进行安全漏洞扫描和风险评估，及时发现和修复安全漏洞。</w:t>
            </w:r>
          </w:p>
          <w:p>
            <w:pPr>
              <w:pStyle w:val="null3"/>
              <w:ind w:firstLine="480"/>
            </w:pPr>
            <w:r>
              <w:rPr>
                <w:rFonts w:ascii="宋体" w:hAnsi="宋体" w:cs="宋体" w:eastAsia="宋体"/>
                <w:sz w:val="24"/>
              </w:rPr>
              <w:t>（</w:t>
            </w:r>
            <w:r>
              <w:rPr>
                <w:rFonts w:ascii="宋体" w:hAnsi="宋体" w:cs="宋体" w:eastAsia="宋体"/>
                <w:sz w:val="24"/>
              </w:rPr>
              <w:t>4）人员管理保密：加强对工作人员的安全保密教育和管理，提高保密意识。对于涉密人员，应签订保密协议并加强日常管理和监督。</w:t>
            </w:r>
          </w:p>
          <w:p>
            <w:pPr>
              <w:pStyle w:val="null3"/>
              <w:ind w:firstLine="480"/>
            </w:pPr>
            <w:r>
              <w:rPr>
                <w:rFonts w:ascii="宋体" w:hAnsi="宋体" w:cs="宋体" w:eastAsia="宋体"/>
                <w:sz w:val="24"/>
              </w:rPr>
              <w:t>（</w:t>
            </w:r>
            <w:r>
              <w:rPr>
                <w:rFonts w:ascii="宋体" w:hAnsi="宋体" w:cs="宋体" w:eastAsia="宋体"/>
                <w:sz w:val="24"/>
              </w:rPr>
              <w:t>5）外部合作保密：在与外部机构或企业合作时，应明确保密要求和责任，签订保密协议并加强监督和管理，确保合作过程中的信息安全。</w:t>
            </w:r>
          </w:p>
          <w:p>
            <w:pPr>
              <w:pStyle w:val="null3"/>
              <w:ind w:firstLine="480"/>
            </w:pPr>
            <w:r>
              <w:rPr>
                <w:rFonts w:ascii="宋体" w:hAnsi="宋体" w:cs="宋体" w:eastAsia="宋体"/>
                <w:sz w:val="24"/>
              </w:rPr>
              <w:t>4.监督和检查</w:t>
            </w:r>
          </w:p>
          <w:p>
            <w:pPr>
              <w:pStyle w:val="null3"/>
              <w:ind w:firstLine="480"/>
            </w:pPr>
            <w:r>
              <w:rPr>
                <w:rFonts w:ascii="宋体" w:hAnsi="宋体" w:cs="宋体" w:eastAsia="宋体"/>
                <w:sz w:val="24"/>
              </w:rPr>
              <w:t>（</w:t>
            </w:r>
            <w:r>
              <w:rPr>
                <w:rFonts w:ascii="宋体" w:hAnsi="宋体" w:cs="宋体" w:eastAsia="宋体"/>
                <w:sz w:val="24"/>
              </w:rPr>
              <w:t>1）建立保密工作监督机制：定期对保密工作进行检查和评估，发现问题及时整改并追究责任。</w:t>
            </w:r>
          </w:p>
          <w:p>
            <w:pPr>
              <w:pStyle w:val="null3"/>
              <w:ind w:firstLine="480"/>
            </w:pPr>
            <w:r>
              <w:rPr>
                <w:rFonts w:ascii="宋体" w:hAnsi="宋体" w:cs="宋体" w:eastAsia="宋体"/>
                <w:sz w:val="24"/>
              </w:rPr>
              <w:t>（</w:t>
            </w:r>
            <w:r>
              <w:rPr>
                <w:rFonts w:ascii="宋体" w:hAnsi="宋体" w:cs="宋体" w:eastAsia="宋体"/>
                <w:sz w:val="24"/>
              </w:rPr>
              <w:t>2）加强保密工作培训：定期对工作人员进行保密工作培训和教育，提高保密意识和技能水平。</w:t>
            </w:r>
          </w:p>
          <w:p>
            <w:pPr>
              <w:pStyle w:val="null3"/>
              <w:ind w:firstLine="480"/>
            </w:pPr>
            <w:r>
              <w:rPr>
                <w:rFonts w:ascii="宋体" w:hAnsi="宋体" w:cs="宋体" w:eastAsia="宋体"/>
                <w:sz w:val="24"/>
              </w:rPr>
              <w:t>（</w:t>
            </w:r>
            <w:r>
              <w:rPr>
                <w:rFonts w:ascii="宋体" w:hAnsi="宋体" w:cs="宋体" w:eastAsia="宋体"/>
                <w:sz w:val="24"/>
              </w:rPr>
              <w:t>3）建立应急响应机制：制定应急预案和处置流程，及时应对信息安全事件和泄露风险。</w:t>
            </w:r>
          </w:p>
          <w:p>
            <w:pPr>
              <w:pStyle w:val="null3"/>
              <w:outlineLvl w:val="3"/>
            </w:pPr>
            <w:r>
              <w:rPr>
                <w:rFonts w:ascii="仿宋_gb2312" w:hAnsi="仿宋_gb2312" w:cs="仿宋_gb2312" w:eastAsia="仿宋_gb2312"/>
                <w:sz w:val="24"/>
                <w:b/>
              </w:rPr>
              <w:t>3.</w:t>
            </w:r>
            <w:r>
              <w:rPr>
                <w:rFonts w:ascii="仿宋_gb2312" w:hAnsi="仿宋_gb2312" w:cs="仿宋_gb2312" w:eastAsia="仿宋_gb2312"/>
                <w:sz w:val="24"/>
                <w:b/>
              </w:rPr>
              <w:t>3.7</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监理要求</w:t>
            </w:r>
          </w:p>
          <w:p>
            <w:pPr>
              <w:pStyle w:val="null3"/>
              <w:ind w:firstLine="480"/>
            </w:pPr>
            <w:r>
              <w:rPr>
                <w:rFonts w:ascii="宋体" w:hAnsi="宋体" w:cs="宋体" w:eastAsia="宋体"/>
                <w:sz w:val="24"/>
              </w:rPr>
              <w:t>在项目开展过程中接受采购人指定的咨询监理机构的监理。</w:t>
            </w:r>
          </w:p>
          <w:p>
            <w:pPr>
              <w:pStyle w:val="null3"/>
              <w:ind w:firstLine="480"/>
              <w:outlineLvl w:val="1"/>
            </w:pPr>
            <w:r>
              <w:rPr>
                <w:rFonts w:ascii="仿宋_gb2312" w:hAnsi="仿宋_gb2312" w:cs="仿宋_gb2312" w:eastAsia="仿宋_gb2312"/>
                <w:sz w:val="24"/>
                <w:b/>
              </w:rPr>
              <w:t>3.</w:t>
            </w:r>
            <w:r>
              <w:rPr>
                <w:rFonts w:ascii="仿宋_gb2312" w:hAnsi="仿宋_gb2312" w:cs="仿宋_gb2312" w:eastAsia="仿宋_gb2312"/>
                <w:sz w:val="24"/>
                <w:b/>
              </w:rPr>
              <w:t xml:space="preserve">4 </w:t>
            </w:r>
            <w:r>
              <w:rPr>
                <w:rFonts w:ascii="仿宋_gb2312" w:hAnsi="仿宋_gb2312" w:cs="仿宋_gb2312" w:eastAsia="仿宋_gb2312"/>
                <w:sz w:val="24"/>
                <w:b/>
              </w:rPr>
              <w:t>交付清单</w:t>
            </w:r>
          </w:p>
          <w:p>
            <w:pPr>
              <w:pStyle w:val="null3"/>
            </w:pPr>
            <w:r>
              <w:rPr>
                <w:rFonts w:ascii="仿宋_gb2312" w:hAnsi="仿宋_gb2312" w:cs="仿宋_gb2312" w:eastAsia="仿宋_gb2312"/>
                <w:sz w:val="24"/>
                <w:b/>
              </w:rPr>
              <w:t>包含但不限于以下内容</w:t>
            </w:r>
          </w:p>
          <w:tbl>
            <w:tblPr>
              <w:tblInd w:type="dxa" w:w="120"/>
              <w:tblBorders>
                <w:top w:val="none" w:color="000000" w:sz="4"/>
                <w:left w:val="none" w:color="000000" w:sz="4"/>
                <w:bottom w:val="none" w:color="000000" w:sz="4"/>
                <w:right w:val="none" w:color="000000" w:sz="4"/>
                <w:insideH w:val="none"/>
                <w:insideV w:val="none"/>
              </w:tblBorders>
            </w:tblPr>
            <w:tblGrid>
              <w:gridCol w:w="509"/>
              <w:gridCol w:w="0"/>
              <w:gridCol w:w="217"/>
              <w:gridCol w:w="430"/>
              <w:gridCol w:w="217"/>
              <w:gridCol w:w="1083"/>
            </w:tblGrid>
            <w:tr>
              <w:tc>
                <w:tcPr>
                  <w:tcW w:type="dxa" w:w="50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服务类别</w:t>
                  </w:r>
                </w:p>
              </w:tc>
              <w:tc>
                <w:tcPr>
                  <w:tcW w:type="dxa" w:w="86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服务名称</w:t>
                  </w:r>
                </w:p>
              </w:tc>
              <w:tc>
                <w:tcPr>
                  <w:tcW w:type="dxa" w:w="10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服务成果</w:t>
                  </w:r>
                </w:p>
              </w:tc>
            </w:tr>
            <w:tr>
              <w:tc>
                <w:tcPr>
                  <w:tcW w:type="dxa" w:w="5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内存扩容服务</w:t>
                  </w: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资源评估</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评估并输出资源评估报告</w:t>
                  </w:r>
                </w:p>
              </w:tc>
            </w:tr>
            <w:tr>
              <w:tc>
                <w:tcPr>
                  <w:tcW w:type="dxa" w:w="509"/>
                  <w:vMerge/>
                  <w:tcBorders>
                    <w:top w:val="none" w:color="000000" w:sz="4"/>
                    <w:left w:val="single" w:color="000000" w:sz="4"/>
                    <w:bottom w:val="single" w:color="000000" w:sz="4"/>
                    <w:right w:val="single" w:color="000000" w:sz="4"/>
                  </w:tcBorders>
                </w:tcP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业务系统评估</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评估并输出系统资源评估报告</w:t>
                  </w:r>
                </w:p>
              </w:tc>
            </w:tr>
            <w:tr>
              <w:tc>
                <w:tcPr>
                  <w:tcW w:type="dxa" w:w="509"/>
                  <w:vMerge/>
                  <w:tcBorders>
                    <w:top w:val="none" w:color="000000" w:sz="4"/>
                    <w:left w:val="single" w:color="000000" w:sz="4"/>
                    <w:bottom w:val="single" w:color="000000" w:sz="4"/>
                    <w:right w:val="single" w:color="000000" w:sz="4"/>
                  </w:tcBorders>
                </w:tcP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迁移方案制定</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评估、起草、规划、制定迁移方案</w:t>
                  </w:r>
                </w:p>
              </w:tc>
            </w:tr>
            <w:tr>
              <w:tc>
                <w:tcPr>
                  <w:tcW w:type="dxa" w:w="509"/>
                  <w:vMerge/>
                  <w:tcBorders>
                    <w:top w:val="none" w:color="000000" w:sz="4"/>
                    <w:left w:val="single" w:color="000000" w:sz="4"/>
                    <w:bottom w:val="single" w:color="000000" w:sz="4"/>
                    <w:right w:val="single" w:color="000000" w:sz="4"/>
                  </w:tcBorders>
                </w:tcP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业务系统热迁移</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将需要迁移的系统迁移在既定位置</w:t>
                  </w:r>
                </w:p>
              </w:tc>
            </w:tr>
            <w:tr>
              <w:tc>
                <w:tcPr>
                  <w:tcW w:type="dxa" w:w="509"/>
                  <w:vMerge/>
                  <w:tcBorders>
                    <w:top w:val="none" w:color="000000" w:sz="4"/>
                    <w:left w:val="single" w:color="000000" w:sz="4"/>
                    <w:bottom w:val="single" w:color="000000" w:sz="4"/>
                    <w:right w:val="single" w:color="000000" w:sz="4"/>
                  </w:tcBorders>
                </w:tcP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物理机断电，增加内存</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按计划要求下电，按说明书插入内存</w:t>
                  </w:r>
                </w:p>
              </w:tc>
            </w:tr>
            <w:tr>
              <w:tc>
                <w:tcPr>
                  <w:tcW w:type="dxa" w:w="509"/>
                  <w:vMerge/>
                  <w:tcBorders>
                    <w:top w:val="none" w:color="000000" w:sz="4"/>
                    <w:left w:val="single" w:color="000000" w:sz="4"/>
                    <w:bottom w:val="single" w:color="000000" w:sz="4"/>
                    <w:right w:val="single" w:color="000000" w:sz="4"/>
                  </w:tcBorders>
                </w:tcP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物理机加电测试</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上电并测试物理机正常工作</w:t>
                  </w:r>
                </w:p>
              </w:tc>
            </w:tr>
            <w:tr>
              <w:tc>
                <w:tcPr>
                  <w:tcW w:type="dxa" w:w="509"/>
                  <w:vMerge/>
                  <w:tcBorders>
                    <w:top w:val="none" w:color="000000" w:sz="4"/>
                    <w:left w:val="single" w:color="000000" w:sz="4"/>
                    <w:bottom w:val="single" w:color="000000" w:sz="4"/>
                    <w:right w:val="single" w:color="000000" w:sz="4"/>
                  </w:tcBorders>
                </w:tcP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内存扩容服务</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按照物理机需要扩容内存数量，采用与原厂家品牌型号一致的内存对物理机进行扩容</w:t>
                  </w:r>
                </w:p>
              </w:tc>
            </w:tr>
            <w:tr>
              <w:tc>
                <w:tcPr>
                  <w:tcW w:type="dxa" w:w="509"/>
                  <w:vMerge/>
                  <w:tcBorders>
                    <w:top w:val="none" w:color="000000" w:sz="4"/>
                    <w:left w:val="single" w:color="000000" w:sz="4"/>
                    <w:bottom w:val="single" w:color="000000" w:sz="4"/>
                    <w:right w:val="single" w:color="000000" w:sz="4"/>
                  </w:tcBorders>
                </w:tcP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云平台资源验证</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验证云平台资源容量和可用性</w:t>
                  </w:r>
                </w:p>
              </w:tc>
            </w:tr>
            <w:tr>
              <w:tc>
                <w:tcPr>
                  <w:tcW w:type="dxa" w:w="5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资源分配与使用效率提升服务</w:t>
                  </w: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云平台资源使用分析</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分析云平台资源合并理性应用并输出报告</w:t>
                  </w:r>
                </w:p>
              </w:tc>
            </w:tr>
            <w:tr>
              <w:tc>
                <w:tcPr>
                  <w:tcW w:type="dxa" w:w="509"/>
                  <w:vMerge/>
                  <w:tcBorders>
                    <w:top w:val="none" w:color="000000" w:sz="4"/>
                    <w:left w:val="single" w:color="000000" w:sz="4"/>
                    <w:bottom w:val="single" w:color="000000" w:sz="4"/>
                    <w:right w:val="single" w:color="000000" w:sz="4"/>
                  </w:tcBorders>
                </w:tcP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系统性能评估</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评估系统性能输出评估报告</w:t>
                  </w:r>
                </w:p>
              </w:tc>
            </w:tr>
            <w:tr>
              <w:tc>
                <w:tcPr>
                  <w:tcW w:type="dxa" w:w="509"/>
                  <w:vMerge/>
                  <w:tcBorders>
                    <w:top w:val="none" w:color="000000" w:sz="4"/>
                    <w:left w:val="single" w:color="000000" w:sz="4"/>
                    <w:bottom w:val="single" w:color="000000" w:sz="4"/>
                    <w:right w:val="single" w:color="000000" w:sz="4"/>
                  </w:tcBorders>
                </w:tcP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虚机性能优化方案</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制定虚拟机系统优化方案</w:t>
                  </w:r>
                </w:p>
              </w:tc>
            </w:tr>
            <w:tr>
              <w:tc>
                <w:tcPr>
                  <w:tcW w:type="dxa" w:w="509"/>
                  <w:vMerge/>
                  <w:tcBorders>
                    <w:top w:val="none" w:color="000000" w:sz="4"/>
                    <w:left w:val="single" w:color="000000" w:sz="4"/>
                    <w:bottom w:val="single" w:color="000000" w:sz="4"/>
                    <w:right w:val="single" w:color="000000" w:sz="4"/>
                  </w:tcBorders>
                </w:tcP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虚机性能优化</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依据方案进行系统优化</w:t>
                  </w:r>
                </w:p>
              </w:tc>
            </w:tr>
            <w:tr>
              <w:tc>
                <w:tcPr>
                  <w:tcW w:type="dxa" w:w="509"/>
                  <w:vMerge/>
                  <w:tcBorders>
                    <w:top w:val="none" w:color="000000" w:sz="4"/>
                    <w:left w:val="single" w:color="000000" w:sz="4"/>
                    <w:bottom w:val="single" w:color="000000" w:sz="4"/>
                    <w:right w:val="single" w:color="000000" w:sz="4"/>
                  </w:tcBorders>
                </w:tcP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业务性能测试</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依据测试方案开展业务性能测试并输出报告</w:t>
                  </w:r>
                </w:p>
              </w:tc>
            </w:tr>
            <w:tr>
              <w:tc>
                <w:tcPr>
                  <w:tcW w:type="dxa" w:w="509"/>
                  <w:vMerge/>
                  <w:tcBorders>
                    <w:top w:val="none" w:color="000000" w:sz="4"/>
                    <w:left w:val="single" w:color="000000" w:sz="4"/>
                    <w:bottom w:val="single" w:color="000000" w:sz="4"/>
                    <w:right w:val="single" w:color="000000" w:sz="4"/>
                  </w:tcBorders>
                </w:tcP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性能优化结果分析</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依据报告进行结果分析并出具评估总结</w:t>
                  </w:r>
                </w:p>
              </w:tc>
            </w:tr>
            <w:tr>
              <w:tc>
                <w:tcPr>
                  <w:tcW w:type="dxa" w:w="5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测试区服务</w:t>
                  </w: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测试区资源开通</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依据申请工单进行资源划分</w:t>
                  </w:r>
                </w:p>
              </w:tc>
            </w:tr>
            <w:tr>
              <w:tc>
                <w:tcPr>
                  <w:tcW w:type="dxa" w:w="509"/>
                  <w:vMerge/>
                  <w:tcBorders>
                    <w:top w:val="none" w:color="000000" w:sz="4"/>
                    <w:left w:val="single" w:color="000000" w:sz="4"/>
                    <w:bottom w:val="single" w:color="000000" w:sz="4"/>
                    <w:right w:val="single" w:color="000000" w:sz="4"/>
                  </w:tcBorders>
                </w:tcP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业务系统性能测试</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依据测试方案开展业务性能测试并输出报告</w:t>
                  </w:r>
                </w:p>
              </w:tc>
            </w:tr>
            <w:tr>
              <w:tc>
                <w:tcPr>
                  <w:tcW w:type="dxa" w:w="509"/>
                  <w:vMerge/>
                  <w:tcBorders>
                    <w:top w:val="none" w:color="000000" w:sz="4"/>
                    <w:left w:val="single" w:color="000000" w:sz="4"/>
                    <w:bottom w:val="single" w:color="000000" w:sz="4"/>
                    <w:right w:val="single" w:color="000000" w:sz="4"/>
                  </w:tcBorders>
                </w:tcP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测试资源转生产资源</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将测试环境变更为生产环境</w:t>
                  </w:r>
                </w:p>
              </w:tc>
            </w:tr>
            <w:tr>
              <w:tc>
                <w:tcPr>
                  <w:tcW w:type="dxa" w:w="5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基础软件能力提升服务</w:t>
                  </w:r>
                </w:p>
              </w:tc>
              <w:tc>
                <w:tcPr>
                  <w:tcW w:type="dxa" w:w="2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PAAS</w:t>
                  </w:r>
                  <w:r>
                    <w:rPr>
                      <w:rFonts w:ascii="宋体" w:hAnsi="宋体" w:cs="宋体" w:eastAsia="宋体"/>
                      <w:sz w:val="21"/>
                    </w:rPr>
                    <w:t>中间件能力提升服务</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应用服务器（中间件）</w:t>
                  </w:r>
                </w:p>
              </w:tc>
              <w:tc>
                <w:tcPr>
                  <w:tcW w:type="dxa" w:w="130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按照云化方式提供国产化应用服务器（中间件）服务能力，业务系统以实例方式进行使用，依据实际使用情况形成使用报告</w:t>
                  </w:r>
                </w:p>
              </w:tc>
            </w:tr>
            <w:tr>
              <w:tc>
                <w:tcPr>
                  <w:tcW w:type="dxa" w:w="509"/>
                  <w:vMerge/>
                  <w:tcBorders>
                    <w:top w:val="none" w:color="000000" w:sz="4"/>
                    <w:left w:val="single" w:color="000000" w:sz="4"/>
                    <w:bottom w:val="single" w:color="000000" w:sz="4"/>
                    <w:right w:val="single" w:color="000000" w:sz="4"/>
                  </w:tcBorders>
                </w:tcPr>
                <w:p/>
              </w:tc>
              <w:tc>
                <w:tcPr>
                  <w:tcW w:type="dxa" w:w="6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数据库能力提升服务</w:t>
                  </w:r>
                </w:p>
              </w:tc>
              <w:tc>
                <w:tcPr>
                  <w:tcW w:type="dxa" w:w="13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提供国产化云数据库服务，业务系统以实例方式进行使用，依据实际使用情况形成使用报告</w:t>
                  </w:r>
                </w:p>
              </w:tc>
            </w:tr>
            <w:tr>
              <w:tc>
                <w:tcPr>
                  <w:tcW w:type="dxa" w:w="5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一体化资源监管与管理平台对接</w:t>
                  </w:r>
                </w:p>
              </w:tc>
              <w:tc>
                <w:tcPr>
                  <w:tcW w:type="dxa" w:w="8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北向接口开发</w:t>
                  </w: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根据一体化安全监管要求，开发北向接口，实现相关数据对接</w:t>
                  </w:r>
                </w:p>
              </w:tc>
            </w:tr>
          </w:tbl>
          <w:p>
            <w:pPr>
              <w:pStyle w:val="null3"/>
              <w:jc w:val="left"/>
              <w:outlineLvl w:val="1"/>
            </w:pPr>
            <w:r>
              <w:rPr>
                <w:rFonts w:ascii="仿宋_gb2312" w:hAnsi="仿宋_gb2312" w:cs="仿宋_gb2312" w:eastAsia="仿宋_gb2312"/>
                <w:sz w:val="24"/>
                <w:b/>
              </w:rPr>
              <w:t>3</w:t>
            </w:r>
            <w:r>
              <w:rPr>
                <w:rFonts w:ascii="仿宋_gb2312" w:hAnsi="仿宋_gb2312" w:cs="仿宋_gb2312" w:eastAsia="仿宋_gb2312"/>
                <w:sz w:val="24"/>
                <w:b/>
              </w:rPr>
              <w:t xml:space="preserve">.5 </w:t>
            </w:r>
            <w:r>
              <w:rPr>
                <w:rFonts w:ascii="仿宋_gb2312" w:hAnsi="仿宋_gb2312" w:cs="仿宋_gb2312" w:eastAsia="仿宋_gb2312"/>
                <w:sz w:val="24"/>
                <w:b/>
              </w:rPr>
              <w:t>服务验收</w:t>
            </w:r>
          </w:p>
          <w:p>
            <w:pPr>
              <w:pStyle w:val="null3"/>
              <w:outlineLvl w:val="2"/>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5</w:t>
            </w:r>
            <w:r>
              <w:rPr>
                <w:rFonts w:ascii="仿宋_gb2312" w:hAnsi="仿宋_gb2312" w:cs="仿宋_gb2312" w:eastAsia="仿宋_gb2312"/>
                <w:sz w:val="24"/>
                <w:b/>
              </w:rPr>
              <w:t>.1交付验收</w:t>
            </w:r>
          </w:p>
          <w:p>
            <w:pPr>
              <w:pStyle w:val="null3"/>
              <w:ind w:firstLine="480"/>
            </w:pPr>
            <w:r>
              <w:rPr>
                <w:rFonts w:ascii="仿宋_gb2312" w:hAnsi="仿宋_gb2312" w:cs="仿宋_gb2312" w:eastAsia="仿宋_gb2312"/>
                <w:sz w:val="24"/>
              </w:rPr>
              <w:t>依据《陕西省省级政务信息化项目竣工验收管理办法（试行）》要求，由采购人组织，本项目中标单位和监理单位参与，并邀请相关专家参加，对中标单位按照合同约定拟交付</w:t>
            </w:r>
            <w:r>
              <w:rPr>
                <w:rFonts w:ascii="仿宋_gb2312" w:hAnsi="仿宋_gb2312" w:cs="仿宋_gb2312" w:eastAsia="仿宋_gb2312"/>
                <w:sz w:val="24"/>
              </w:rPr>
              <w:t>2024年度西咸信创云升级改造服务采购项目的能力，开展交付验收并形成验收意见。</w:t>
            </w:r>
          </w:p>
          <w:p>
            <w:pPr>
              <w:pStyle w:val="null3"/>
              <w:ind w:firstLine="480"/>
            </w:pPr>
            <w:r>
              <w:rPr>
                <w:rFonts w:ascii="仿宋_gb2312" w:hAnsi="仿宋_gb2312" w:cs="仿宋_gb2312" w:eastAsia="仿宋_gb2312"/>
                <w:sz w:val="24"/>
              </w:rPr>
              <w:t>验收条件</w:t>
            </w:r>
            <w:r>
              <w:rPr>
                <w:rFonts w:ascii="仿宋_gb2312" w:hAnsi="仿宋_gb2312" w:cs="仿宋_gb2312" w:eastAsia="仿宋_gb2312"/>
                <w:sz w:val="24"/>
              </w:rPr>
              <w:t>：</w:t>
            </w:r>
            <w:r>
              <w:rPr>
                <w:rFonts w:ascii="仿宋_gb2312" w:hAnsi="仿宋_gb2312" w:cs="仿宋_gb2312" w:eastAsia="仿宋_gb2312"/>
                <w:sz w:val="24"/>
              </w:rPr>
              <w:t>服务单位按照项目合同要求完成</w:t>
            </w:r>
            <w:r>
              <w:rPr>
                <w:rFonts w:ascii="仿宋_gb2312" w:hAnsi="仿宋_gb2312" w:cs="仿宋_gb2312" w:eastAsia="仿宋_gb2312"/>
                <w:sz w:val="24"/>
              </w:rPr>
              <w:t>交付验收</w:t>
            </w:r>
            <w:r>
              <w:rPr>
                <w:rFonts w:ascii="仿宋_gb2312" w:hAnsi="仿宋_gb2312" w:cs="仿宋_gb2312" w:eastAsia="仿宋_gb2312"/>
                <w:sz w:val="24"/>
              </w:rPr>
              <w:t>内容</w:t>
            </w:r>
            <w:r>
              <w:rPr>
                <w:rFonts w:ascii="仿宋_gb2312" w:hAnsi="仿宋_gb2312" w:cs="仿宋_gb2312" w:eastAsia="仿宋_gb2312"/>
                <w:sz w:val="24"/>
              </w:rPr>
              <w:t>；</w:t>
            </w:r>
            <w:r>
              <w:rPr>
                <w:rFonts w:ascii="仿宋_gb2312" w:hAnsi="仿宋_gb2312" w:cs="仿宋_gb2312" w:eastAsia="仿宋_gb2312"/>
                <w:sz w:val="24"/>
              </w:rPr>
              <w:t>项目的各项服务质量达到要求，各项服务的交付物和交付物标准满足招标文件要求</w:t>
            </w:r>
            <w:r>
              <w:rPr>
                <w:rFonts w:ascii="仿宋_gb2312" w:hAnsi="仿宋_gb2312" w:cs="仿宋_gb2312" w:eastAsia="仿宋_gb2312"/>
                <w:sz w:val="24"/>
              </w:rPr>
              <w:t>；</w:t>
            </w:r>
            <w:r>
              <w:rPr>
                <w:rFonts w:ascii="仿宋_gb2312" w:hAnsi="仿宋_gb2312" w:cs="仿宋_gb2312" w:eastAsia="仿宋_gb2312"/>
                <w:sz w:val="24"/>
              </w:rPr>
              <w:t>验收材料齐全、符合规范。</w:t>
            </w:r>
          </w:p>
          <w:p>
            <w:pPr>
              <w:pStyle w:val="null3"/>
              <w:ind w:firstLine="480"/>
            </w:pPr>
            <w:r>
              <w:rPr>
                <w:rFonts w:ascii="仿宋_gb2312" w:hAnsi="仿宋_gb2312" w:cs="仿宋_gb2312" w:eastAsia="仿宋_gb2312"/>
                <w:sz w:val="24"/>
              </w:rPr>
              <w:t>参与方</w:t>
            </w:r>
            <w:r>
              <w:rPr>
                <w:rFonts w:ascii="仿宋_gb2312" w:hAnsi="仿宋_gb2312" w:cs="仿宋_gb2312" w:eastAsia="仿宋_gb2312"/>
                <w:sz w:val="24"/>
              </w:rPr>
              <w:t>：</w:t>
            </w:r>
            <w:r>
              <w:rPr>
                <w:rFonts w:ascii="仿宋_gb2312" w:hAnsi="仿宋_gb2312" w:cs="仿宋_gb2312" w:eastAsia="仿宋_gb2312"/>
                <w:sz w:val="24"/>
              </w:rPr>
              <w:t>项目交付验收参与方包括采购人、中标单位、监理单位、信息化相关专家。交付验收由采购人组织。</w:t>
            </w:r>
          </w:p>
          <w:p>
            <w:pPr>
              <w:pStyle w:val="null3"/>
              <w:ind w:firstLine="480"/>
            </w:pPr>
            <w:r>
              <w:rPr>
                <w:rFonts w:ascii="仿宋_gb2312" w:hAnsi="仿宋_gb2312" w:cs="仿宋_gb2312" w:eastAsia="仿宋_gb2312"/>
                <w:sz w:val="24"/>
              </w:rPr>
              <w:t>验收流程</w:t>
            </w:r>
          </w:p>
          <w:p>
            <w:pPr>
              <w:pStyle w:val="null3"/>
              <w:ind w:firstLine="480"/>
            </w:pPr>
            <w:r>
              <w:rPr>
                <w:rFonts w:ascii="仿宋_gb2312" w:hAnsi="仿宋_gb2312" w:cs="仿宋_gb2312" w:eastAsia="仿宋_gb2312"/>
                <w:sz w:val="24"/>
              </w:rPr>
              <w:t>1.提交验收申请</w:t>
            </w:r>
          </w:p>
          <w:p>
            <w:pPr>
              <w:pStyle w:val="null3"/>
              <w:ind w:firstLine="480"/>
            </w:pPr>
            <w:r>
              <w:rPr>
                <w:rFonts w:ascii="仿宋_gb2312" w:hAnsi="仿宋_gb2312" w:cs="仿宋_gb2312" w:eastAsia="仿宋_gb2312"/>
                <w:sz w:val="24"/>
              </w:rPr>
              <w:t>中标单位以书面形式向项目单位提交《</w:t>
            </w:r>
            <w:r>
              <w:rPr>
                <w:rFonts w:ascii="仿宋_gb2312" w:hAnsi="仿宋_gb2312" w:cs="仿宋_gb2312" w:eastAsia="仿宋_gb2312"/>
                <w:sz w:val="24"/>
              </w:rPr>
              <w:t>2024年度西咸信创云升级改造服务采购项目交付验收申请表》。同时按照合同要求提交技术文档包括2024年度西咸信创云升级改造服务采购项目初验申请表、验收方案草案、验收测试方案等。</w:t>
            </w:r>
          </w:p>
          <w:p>
            <w:pPr>
              <w:pStyle w:val="null3"/>
              <w:ind w:firstLine="480"/>
            </w:pPr>
            <w:r>
              <w:rPr>
                <w:rFonts w:ascii="仿宋_gb2312" w:hAnsi="仿宋_gb2312" w:cs="仿宋_gb2312" w:eastAsia="仿宋_gb2312"/>
                <w:sz w:val="24"/>
              </w:rPr>
              <w:t>2.评审验收申请</w:t>
            </w:r>
          </w:p>
          <w:p>
            <w:pPr>
              <w:pStyle w:val="null3"/>
              <w:ind w:firstLine="480"/>
            </w:pPr>
            <w:r>
              <w:rPr>
                <w:rFonts w:ascii="仿宋_gb2312" w:hAnsi="仿宋_gb2312" w:cs="仿宋_gb2312" w:eastAsia="仿宋_gb2312"/>
                <w:sz w:val="24"/>
              </w:rPr>
              <w:t>采购人审核中标单位验收申请是否符合合同约定的初验条件；审核中标单位验收方案（验收计划、验收目标、责任双方、验收范围、验收提交清单、验收标准、验收方法等）的符合性及可行性。若审核通过，则由采购人通知中标单位，并共同确定验收计划和验收方案，开启以下验收流程。未通过审核，通知服务单位进行整改。</w:t>
            </w:r>
          </w:p>
          <w:p>
            <w:pPr>
              <w:pStyle w:val="null3"/>
              <w:ind w:firstLine="480"/>
            </w:pPr>
            <w:r>
              <w:rPr>
                <w:rFonts w:ascii="仿宋_gb2312" w:hAnsi="仿宋_gb2312" w:cs="仿宋_gb2312" w:eastAsia="仿宋_gb2312"/>
                <w:sz w:val="24"/>
              </w:rPr>
              <w:t>3.组建验收组织</w:t>
            </w:r>
          </w:p>
          <w:p>
            <w:pPr>
              <w:pStyle w:val="null3"/>
              <w:ind w:firstLine="480"/>
            </w:pPr>
            <w:r>
              <w:rPr>
                <w:rFonts w:ascii="仿宋_gb2312" w:hAnsi="仿宋_gb2312" w:cs="仿宋_gb2312" w:eastAsia="仿宋_gb2312"/>
                <w:sz w:val="24"/>
              </w:rPr>
              <w:t>采购人组织成立专门的验收小组，作为验收的组织机构。验收小组由项目单位代表及邀请的专家组成员、监理单位代表等组成。验收小组一般不少于</w:t>
            </w:r>
            <w:r>
              <w:rPr>
                <w:rFonts w:ascii="仿宋_gb2312" w:hAnsi="仿宋_gb2312" w:cs="仿宋_gb2312" w:eastAsia="仿宋_gb2312"/>
                <w:sz w:val="24"/>
              </w:rPr>
              <w:t>5人（单数）组成，设组长1人，成员若干人。</w:t>
            </w:r>
          </w:p>
          <w:p>
            <w:pPr>
              <w:pStyle w:val="null3"/>
              <w:ind w:firstLine="480"/>
            </w:pPr>
            <w:r>
              <w:rPr>
                <w:rFonts w:ascii="仿宋_gb2312" w:hAnsi="仿宋_gb2312" w:cs="仿宋_gb2312" w:eastAsia="仿宋_gb2312"/>
                <w:sz w:val="24"/>
              </w:rPr>
              <w:t>4.交付验收评审</w:t>
            </w:r>
          </w:p>
          <w:p>
            <w:pPr>
              <w:pStyle w:val="null3"/>
              <w:ind w:firstLine="480"/>
            </w:pPr>
            <w:r>
              <w:rPr>
                <w:rFonts w:ascii="仿宋_gb2312" w:hAnsi="仿宋_gb2312" w:cs="仿宋_gb2312" w:eastAsia="仿宋_gb2312"/>
                <w:sz w:val="24"/>
              </w:rPr>
              <w:t>验收小组召开初验评审会，对项目进行初验评审，并重点审核如下要点：</w:t>
            </w:r>
          </w:p>
          <w:p>
            <w:pPr>
              <w:pStyle w:val="null3"/>
              <w:ind w:firstLine="480"/>
            </w:pPr>
            <w:r>
              <w:rPr>
                <w:rFonts w:ascii="仿宋_gb2312" w:hAnsi="仿宋_gb2312" w:cs="仿宋_gb2312" w:eastAsia="仿宋_gb2312"/>
                <w:sz w:val="24"/>
              </w:rPr>
              <w:t>(1)与合同的一致性；</w:t>
            </w:r>
          </w:p>
          <w:p>
            <w:pPr>
              <w:pStyle w:val="null3"/>
              <w:ind w:firstLine="480"/>
            </w:pPr>
            <w:r>
              <w:rPr>
                <w:rFonts w:ascii="仿宋_gb2312" w:hAnsi="仿宋_gb2312" w:cs="仿宋_gb2312" w:eastAsia="仿宋_gb2312"/>
                <w:sz w:val="24"/>
              </w:rPr>
              <w:t>(2)与需求分析阶段确定的需求的一致性；</w:t>
            </w:r>
          </w:p>
          <w:p>
            <w:pPr>
              <w:pStyle w:val="null3"/>
              <w:ind w:firstLine="480"/>
            </w:pPr>
            <w:r>
              <w:rPr>
                <w:rFonts w:ascii="仿宋_gb2312" w:hAnsi="仿宋_gb2312" w:cs="仿宋_gb2312" w:eastAsia="仿宋_gb2312"/>
                <w:sz w:val="24"/>
              </w:rPr>
              <w:t>(3)与预期结果的符合程度，包括但不限于与业务指标评价体系的符合程度；</w:t>
            </w:r>
          </w:p>
          <w:p>
            <w:pPr>
              <w:pStyle w:val="null3"/>
              <w:ind w:firstLine="480"/>
            </w:pPr>
            <w:r>
              <w:rPr>
                <w:rFonts w:ascii="仿宋_gb2312" w:hAnsi="仿宋_gb2312" w:cs="仿宋_gb2312" w:eastAsia="仿宋_gb2312"/>
                <w:sz w:val="24"/>
              </w:rPr>
              <w:t>(4)与运行环境的适用性；</w:t>
            </w:r>
          </w:p>
          <w:p>
            <w:pPr>
              <w:pStyle w:val="null3"/>
              <w:ind w:firstLine="480"/>
            </w:pPr>
            <w:r>
              <w:rPr>
                <w:rFonts w:ascii="仿宋_gb2312" w:hAnsi="仿宋_gb2312" w:cs="仿宋_gb2312" w:eastAsia="仿宋_gb2312"/>
                <w:sz w:val="24"/>
              </w:rPr>
              <w:t>(5)运行和维护的可行性。</w:t>
            </w:r>
          </w:p>
          <w:p>
            <w:pPr>
              <w:pStyle w:val="null3"/>
              <w:ind w:firstLine="480"/>
            </w:pPr>
            <w:r>
              <w:rPr>
                <w:rFonts w:ascii="仿宋_gb2312" w:hAnsi="仿宋_gb2312" w:cs="仿宋_gb2312" w:eastAsia="仿宋_gb2312"/>
                <w:sz w:val="24"/>
              </w:rPr>
              <w:t>5.验收意见</w:t>
            </w:r>
          </w:p>
          <w:p>
            <w:pPr>
              <w:pStyle w:val="null3"/>
              <w:ind w:firstLine="480"/>
            </w:pPr>
            <w:r>
              <w:rPr>
                <w:rFonts w:ascii="仿宋_gb2312" w:hAnsi="仿宋_gb2312" w:cs="仿宋_gb2312" w:eastAsia="仿宋_gb2312"/>
                <w:sz w:val="24"/>
              </w:rPr>
              <w:t>交付验收</w:t>
            </w:r>
            <w:r>
              <w:rPr>
                <w:rFonts w:ascii="仿宋_gb2312" w:hAnsi="仿宋_gb2312" w:cs="仿宋_gb2312" w:eastAsia="仿宋_gb2312"/>
                <w:sz w:val="24"/>
              </w:rPr>
              <w:t>通过，验收小组签署《</w:t>
            </w:r>
            <w:r>
              <w:rPr>
                <w:rFonts w:ascii="仿宋_gb2312" w:hAnsi="仿宋_gb2312" w:cs="仿宋_gb2312" w:eastAsia="仿宋_gb2312"/>
                <w:sz w:val="24"/>
              </w:rPr>
              <w:t>2024年度西咸信创云升级改造服务采购项目交付验收申请表》若不通过，则由项目单位出具《2024年度西咸信创云升级改造服务采购项目验收问题通知书》，责成服务单位限期整改完善，再次安排组织交付。</w:t>
            </w:r>
          </w:p>
          <w:p>
            <w:pPr>
              <w:pStyle w:val="null3"/>
              <w:ind w:firstLine="480"/>
            </w:pPr>
            <w:r>
              <w:rPr>
                <w:rFonts w:ascii="仿宋_gb2312" w:hAnsi="仿宋_gb2312" w:cs="仿宋_gb2312" w:eastAsia="仿宋_gb2312"/>
                <w:sz w:val="24"/>
              </w:rPr>
              <w:t>6. 验收交付清单</w:t>
            </w:r>
          </w:p>
          <w:p>
            <w:pPr>
              <w:pStyle w:val="null3"/>
              <w:ind w:firstLine="480"/>
            </w:pPr>
            <w:r>
              <w:rPr>
                <w:rFonts w:ascii="仿宋_gb2312" w:hAnsi="仿宋_gb2312" w:cs="仿宋_gb2312" w:eastAsia="仿宋_gb2312"/>
                <w:sz w:val="24"/>
              </w:rPr>
              <w:t>验收交付清单应包含但不限于以下内容：</w:t>
            </w:r>
          </w:p>
          <w:p>
            <w:pPr>
              <w:pStyle w:val="null3"/>
              <w:ind w:firstLine="480"/>
            </w:pPr>
            <w:r>
              <w:rPr>
                <w:rFonts w:ascii="仿宋_gb2312" w:hAnsi="仿宋_gb2312" w:cs="仿宋_gb2312" w:eastAsia="仿宋_gb2312"/>
                <w:sz w:val="24"/>
              </w:rPr>
              <w:t>1. 用户使用报告： 反映用户对项目的使用情况和满意度。</w:t>
            </w:r>
          </w:p>
          <w:p>
            <w:pPr>
              <w:pStyle w:val="null3"/>
              <w:ind w:firstLine="480"/>
            </w:pPr>
            <w:r>
              <w:rPr>
                <w:rFonts w:ascii="仿宋_gb2312" w:hAnsi="仿宋_gb2312" w:cs="仿宋_gb2312" w:eastAsia="仿宋_gb2312"/>
                <w:sz w:val="24"/>
              </w:rPr>
              <w:t>2. 服务单位总结报告： 概述服务单位在项目服务阶段的整体表现和关键发现。</w:t>
            </w:r>
          </w:p>
          <w:p>
            <w:pPr>
              <w:pStyle w:val="null3"/>
              <w:ind w:firstLine="480"/>
            </w:pPr>
            <w:r>
              <w:rPr>
                <w:rFonts w:ascii="仿宋_gb2312" w:hAnsi="仿宋_gb2312" w:cs="仿宋_gb2312" w:eastAsia="仿宋_gb2312"/>
                <w:sz w:val="24"/>
              </w:rPr>
              <w:t>3. 监理单位监理总结报告： 提供监理单位对项目实施过程中的监督和管理细节。</w:t>
            </w:r>
          </w:p>
          <w:p>
            <w:pPr>
              <w:pStyle w:val="null3"/>
              <w:ind w:firstLine="480"/>
            </w:pPr>
            <w:r>
              <w:rPr>
                <w:rFonts w:ascii="仿宋_gb2312" w:hAnsi="仿宋_gb2312" w:cs="仿宋_gb2312" w:eastAsia="仿宋_gb2312"/>
                <w:sz w:val="24"/>
              </w:rPr>
              <w:t>4. 项目交付验收意见： 包含验收过程中形成的正式意见，指明项目是否满足验收标准及需要关注的特定事项。</w:t>
            </w:r>
          </w:p>
          <w:p>
            <w:pPr>
              <w:pStyle w:val="null3"/>
              <w:ind w:firstLine="480"/>
            </w:pPr>
            <w:r>
              <w:rPr>
                <w:rFonts w:ascii="仿宋_gb2312" w:hAnsi="仿宋_gb2312" w:cs="仿宋_gb2312" w:eastAsia="仿宋_gb2312"/>
                <w:sz w:val="24"/>
              </w:rPr>
              <w:t>5. 交付验收问题整改报告： 如果有先前验收未通过的情况，需包括针对提出问题的整改措施和结果的报告。</w:t>
            </w:r>
          </w:p>
          <w:p>
            <w:pPr>
              <w:pStyle w:val="null3"/>
              <w:outlineLvl w:val="2"/>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最终验收</w:t>
            </w:r>
          </w:p>
          <w:p>
            <w:pPr>
              <w:pStyle w:val="null3"/>
              <w:ind w:firstLine="480"/>
            </w:pPr>
            <w:r>
              <w:rPr>
                <w:rFonts w:ascii="仿宋_gb2312" w:hAnsi="仿宋_gb2312" w:cs="仿宋_gb2312" w:eastAsia="仿宋_gb2312"/>
                <w:sz w:val="24"/>
              </w:rPr>
              <w:t>验收条件</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供应商提供的云数据库产品需要满足国家安全可靠产品测评要求</w:t>
            </w:r>
            <w:r>
              <w:rPr>
                <w:rFonts w:ascii="仿宋_gb2312" w:hAnsi="仿宋_gb2312" w:cs="仿宋_gb2312" w:eastAsia="仿宋_gb2312"/>
                <w:sz w:val="24"/>
              </w:rPr>
              <w:t>，完成</w:t>
            </w:r>
            <w:r>
              <w:rPr>
                <w:rFonts w:ascii="仿宋_gb2312" w:hAnsi="仿宋_gb2312" w:cs="仿宋_gb2312" w:eastAsia="仿宋_gb2312"/>
                <w:sz w:val="24"/>
              </w:rPr>
              <w:t>3.</w:t>
            </w:r>
            <w:r>
              <w:rPr>
                <w:rFonts w:ascii="仿宋_gb2312" w:hAnsi="仿宋_gb2312" w:cs="仿宋_gb2312" w:eastAsia="仿宋_gb2312"/>
                <w:sz w:val="24"/>
              </w:rPr>
              <w:t>4</w:t>
            </w:r>
            <w:r>
              <w:rPr>
                <w:rFonts w:ascii="仿宋_gb2312" w:hAnsi="仿宋_gb2312" w:cs="仿宋_gb2312" w:eastAsia="仿宋_gb2312"/>
                <w:sz w:val="24"/>
              </w:rPr>
              <w:t>交付清单要求的服务内容，</w:t>
            </w:r>
            <w:r>
              <w:rPr>
                <w:rFonts w:ascii="仿宋_gb2312" w:hAnsi="仿宋_gb2312" w:cs="仿宋_gb2312" w:eastAsia="仿宋_gb2312"/>
                <w:sz w:val="24"/>
              </w:rPr>
              <w:t>满足对西咸信创云数据库的整体监管，提升资源使用效率。</w:t>
            </w:r>
          </w:p>
          <w:p>
            <w:pPr>
              <w:pStyle w:val="null3"/>
              <w:ind w:firstLine="480"/>
              <w:jc w:val="both"/>
            </w:pPr>
            <w:r>
              <w:rPr>
                <w:rFonts w:ascii="仿宋_gb2312" w:hAnsi="仿宋_gb2312" w:cs="仿宋_gb2312" w:eastAsia="仿宋_gb2312"/>
                <w:sz w:val="24"/>
              </w:rPr>
              <w:t>配合用户完成中央网信办要求的</w:t>
            </w:r>
            <w:r>
              <w:rPr>
                <w:rFonts w:ascii="仿宋_gb2312" w:hAnsi="仿宋_gb2312" w:cs="仿宋_gb2312" w:eastAsia="仿宋_gb2312"/>
                <w:sz w:val="24"/>
              </w:rPr>
              <w:t>“云安全服务评估”填报工作，通过日常填报信息等方式向中国网络安全审查认证和市场监管数据中心进行“云安全服务评估”申报工作，满足中央网信办对政务云计算服务安全评估要求。</w:t>
            </w:r>
          </w:p>
          <w:p>
            <w:pPr>
              <w:pStyle w:val="null3"/>
              <w:ind w:firstLine="480"/>
            </w:pPr>
            <w:r>
              <w:rPr>
                <w:rFonts w:ascii="仿宋_gb2312" w:hAnsi="仿宋_gb2312" w:cs="仿宋_gb2312" w:eastAsia="仿宋_gb2312"/>
                <w:sz w:val="24"/>
              </w:rPr>
              <w:t>依据《陕西省省级政务信息化项目竣工验收管理办法（试行）》要求，由采购人组织，本项目中标单位、监理单位、测试评估等相关单位及专家参与，对项目的审批执行情况、投资情况、服务内容、服务规模、服务目标完成、服务质量等情况，开展最终验收并形成验收意见。</w:t>
            </w:r>
          </w:p>
          <w:p>
            <w:pPr>
              <w:pStyle w:val="null3"/>
              <w:ind w:firstLine="480"/>
            </w:pPr>
            <w:r>
              <w:rPr>
                <w:rFonts w:ascii="仿宋_gb2312" w:hAnsi="仿宋_gb2312" w:cs="仿宋_gb2312" w:eastAsia="仿宋_gb2312"/>
                <w:sz w:val="24"/>
              </w:rPr>
              <w:t>参与方</w:t>
            </w:r>
            <w:r>
              <w:rPr>
                <w:rFonts w:ascii="仿宋_gb2312" w:hAnsi="仿宋_gb2312" w:cs="仿宋_gb2312" w:eastAsia="仿宋_gb2312"/>
                <w:sz w:val="24"/>
              </w:rPr>
              <w:t>：</w:t>
            </w:r>
            <w:r>
              <w:rPr>
                <w:rFonts w:ascii="仿宋_gb2312" w:hAnsi="仿宋_gb2312" w:cs="仿宋_gb2312" w:eastAsia="仿宋_gb2312"/>
                <w:sz w:val="24"/>
              </w:rPr>
              <w:t>项目最终验收参与方包括采购人、中标单位、监理单位、第三方审计单位、信息化相关专家。最终验收由项目单位组织。</w:t>
            </w:r>
          </w:p>
          <w:p>
            <w:pPr>
              <w:pStyle w:val="null3"/>
              <w:ind w:firstLine="480"/>
            </w:pPr>
            <w:r>
              <w:rPr>
                <w:rFonts w:ascii="仿宋_gb2312" w:hAnsi="仿宋_gb2312" w:cs="仿宋_gb2312" w:eastAsia="仿宋_gb2312"/>
                <w:sz w:val="24"/>
              </w:rPr>
              <w:t>终验条件</w:t>
            </w:r>
            <w:r>
              <w:rPr>
                <w:rFonts w:ascii="仿宋_gb2312" w:hAnsi="仿宋_gb2312" w:cs="仿宋_gb2312" w:eastAsia="仿宋_gb2312"/>
                <w:sz w:val="24"/>
              </w:rPr>
              <w:t>：</w:t>
            </w:r>
            <w:r>
              <w:rPr>
                <w:rFonts w:ascii="仿宋_gb2312" w:hAnsi="仿宋_gb2312" w:cs="仿宋_gb2312" w:eastAsia="仿宋_gb2312"/>
                <w:sz w:val="24"/>
              </w:rPr>
              <w:t>交付验收合格；验收材料齐全、符合规范；试运行正常或者出现的问题意见得到解决。</w:t>
            </w:r>
          </w:p>
          <w:p>
            <w:pPr>
              <w:pStyle w:val="null3"/>
              <w:ind w:firstLine="480"/>
            </w:pPr>
            <w:r>
              <w:rPr>
                <w:rFonts w:ascii="仿宋_gb2312" w:hAnsi="仿宋_gb2312" w:cs="仿宋_gb2312" w:eastAsia="仿宋_gb2312"/>
                <w:sz w:val="24"/>
              </w:rPr>
              <w:t>验收流程</w:t>
            </w:r>
          </w:p>
          <w:p>
            <w:pPr>
              <w:pStyle w:val="null3"/>
              <w:ind w:firstLine="480"/>
            </w:pPr>
            <w:r>
              <w:rPr>
                <w:rFonts w:ascii="仿宋_gb2312" w:hAnsi="仿宋_gb2312" w:cs="仿宋_gb2312" w:eastAsia="仿宋_gb2312"/>
                <w:sz w:val="24"/>
              </w:rPr>
              <w:t>1.提交验收申请</w:t>
            </w:r>
          </w:p>
          <w:p>
            <w:pPr>
              <w:pStyle w:val="null3"/>
              <w:ind w:firstLine="480"/>
            </w:pPr>
            <w:r>
              <w:rPr>
                <w:rFonts w:ascii="仿宋_gb2312" w:hAnsi="仿宋_gb2312" w:cs="仿宋_gb2312" w:eastAsia="仿宋_gb2312"/>
                <w:sz w:val="24"/>
              </w:rPr>
              <w:t>服务期满前</w:t>
            </w:r>
            <w:r>
              <w:rPr>
                <w:rFonts w:ascii="仿宋_gb2312" w:hAnsi="仿宋_gb2312" w:cs="仿宋_gb2312" w:eastAsia="仿宋_gb2312"/>
                <w:sz w:val="24"/>
              </w:rPr>
              <w:t>30日历日，由中标单位向项目单位提交《2024年度西咸信创云升级改造服务采购项目终验申请表》。同时按照合同要求提交技术文档包括2024年度西咸信创云升级改造服务采购项目交付验收申请表、验收方案草案、验收测试方案等。</w:t>
            </w:r>
          </w:p>
          <w:p>
            <w:pPr>
              <w:pStyle w:val="null3"/>
              <w:ind w:firstLine="480"/>
            </w:pPr>
            <w:r>
              <w:rPr>
                <w:rFonts w:ascii="仿宋_gb2312" w:hAnsi="仿宋_gb2312" w:cs="仿宋_gb2312" w:eastAsia="仿宋_gb2312"/>
                <w:sz w:val="24"/>
              </w:rPr>
              <w:t>2.评审验收申请</w:t>
            </w:r>
          </w:p>
          <w:p>
            <w:pPr>
              <w:pStyle w:val="null3"/>
              <w:ind w:firstLine="480"/>
            </w:pPr>
            <w:r>
              <w:rPr>
                <w:rFonts w:ascii="仿宋_gb2312" w:hAnsi="仿宋_gb2312" w:cs="仿宋_gb2312" w:eastAsia="仿宋_gb2312"/>
                <w:sz w:val="24"/>
              </w:rPr>
              <w:t>采购人对项目验收申请进行审核；若审核通过，则通知中标单位，共同确定验收计划和验收方案，开启以下验收流程。未通过审核，通知中标单位进行整改。</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1）组织验收小组</w:t>
            </w:r>
          </w:p>
          <w:p>
            <w:pPr>
              <w:pStyle w:val="null3"/>
              <w:ind w:firstLine="480"/>
            </w:pPr>
            <w:r>
              <w:rPr>
                <w:rFonts w:ascii="仿宋_gb2312" w:hAnsi="仿宋_gb2312" w:cs="仿宋_gb2312" w:eastAsia="仿宋_gb2312"/>
                <w:sz w:val="24"/>
              </w:rPr>
              <w:t>终验小组的人员结构和人数与初验时组建的方法相同，由项目单位主持整个验收工作，包括：判定所验收的软件是否符合合同的要求、审定验收测试计划、组织验收测试和配置审核、进行验收评审、形成验收报告等。</w:t>
            </w:r>
          </w:p>
          <w:p>
            <w:pPr>
              <w:pStyle w:val="null3"/>
              <w:ind w:firstLine="480"/>
            </w:pPr>
            <w:r>
              <w:rPr>
                <w:rFonts w:ascii="仿宋_gb2312" w:hAnsi="仿宋_gb2312" w:cs="仿宋_gb2312" w:eastAsia="仿宋_gb2312"/>
                <w:sz w:val="24"/>
              </w:rPr>
              <w:t>审核文档资料。项目单位对项目验收相关纸质文档（或电子文档）进行审核。对存在问题或疑问的内容开具《</w:t>
            </w:r>
            <w:r>
              <w:rPr>
                <w:rFonts w:ascii="仿宋_gb2312" w:hAnsi="仿宋_gb2312" w:cs="仿宋_gb2312" w:eastAsia="仿宋_gb2312"/>
                <w:sz w:val="24"/>
              </w:rPr>
              <w:t>2024年度西咸信创云升级改造服务采购项目验收问题通知书》，要求中标单位整改后重新报审。</w:t>
            </w:r>
          </w:p>
          <w:p>
            <w:pPr>
              <w:pStyle w:val="null3"/>
              <w:ind w:firstLine="480"/>
            </w:pPr>
            <w:r>
              <w:rPr>
                <w:rFonts w:ascii="仿宋_gb2312" w:hAnsi="仿宋_gb2312" w:cs="仿宋_gb2312" w:eastAsia="仿宋_gb2312"/>
                <w:sz w:val="24"/>
              </w:rPr>
              <w:t>验收测试。中标单位依据通过审定的验收测试方案组织实施验收测试，并出具测试报告。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2）验收评审会</w:t>
            </w:r>
          </w:p>
          <w:p>
            <w:pPr>
              <w:pStyle w:val="null3"/>
              <w:ind w:firstLine="480"/>
            </w:pPr>
            <w:r>
              <w:rPr>
                <w:rFonts w:ascii="仿宋_gb2312" w:hAnsi="仿宋_gb2312" w:cs="仿宋_gb2312" w:eastAsia="仿宋_gb2312"/>
                <w:sz w:val="24"/>
              </w:rPr>
              <w:t>验收小组在完成项目验收文档审核和验收测试后，召开评审验收会，对项目进行评审验收。验收评审会由项目单位组织。验收评审会准备工作包括：</w:t>
            </w:r>
          </w:p>
          <w:p>
            <w:pPr>
              <w:pStyle w:val="null3"/>
              <w:ind w:firstLine="480"/>
            </w:pPr>
            <w:r>
              <w:rPr>
                <w:rFonts w:ascii="仿宋_gb2312" w:hAnsi="仿宋_gb2312" w:cs="仿宋_gb2312" w:eastAsia="仿宋_gb2312"/>
                <w:sz w:val="24"/>
              </w:rPr>
              <w:t>1)确定会议规模、时间、地点、人员；</w:t>
            </w:r>
          </w:p>
          <w:p>
            <w:pPr>
              <w:pStyle w:val="null3"/>
              <w:ind w:firstLine="480"/>
            </w:pPr>
            <w:r>
              <w:rPr>
                <w:rFonts w:ascii="仿宋_gb2312" w:hAnsi="仿宋_gb2312" w:cs="仿宋_gb2312" w:eastAsia="仿宋_gb2312"/>
                <w:sz w:val="24"/>
              </w:rPr>
              <w:t>2)确定会议议程；</w:t>
            </w:r>
          </w:p>
          <w:p>
            <w:pPr>
              <w:pStyle w:val="null3"/>
              <w:ind w:firstLine="480"/>
            </w:pPr>
            <w:r>
              <w:rPr>
                <w:rFonts w:ascii="仿宋_gb2312" w:hAnsi="仿宋_gb2312" w:cs="仿宋_gb2312" w:eastAsia="仿宋_gb2312"/>
                <w:sz w:val="24"/>
              </w:rPr>
              <w:t>3)发出会议邀请或通知；</w:t>
            </w:r>
          </w:p>
          <w:p>
            <w:pPr>
              <w:pStyle w:val="null3"/>
              <w:ind w:firstLine="480"/>
            </w:pPr>
            <w:r>
              <w:rPr>
                <w:rFonts w:ascii="仿宋_gb2312" w:hAnsi="仿宋_gb2312" w:cs="仿宋_gb2312" w:eastAsia="仿宋_gb2312"/>
                <w:sz w:val="24"/>
              </w:rPr>
              <w:t>采购人对中标单位服务内容及质量进行评价，完成西咸信创云升级改造服务采购项目验收用户使用报告书。</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3）组建专家组</w:t>
            </w:r>
          </w:p>
          <w:p>
            <w:pPr>
              <w:pStyle w:val="null3"/>
              <w:ind w:firstLine="480"/>
            </w:pPr>
            <w:r>
              <w:rPr>
                <w:rFonts w:ascii="仿宋_gb2312" w:hAnsi="仿宋_gb2312" w:cs="仿宋_gb2312" w:eastAsia="仿宋_gb2312"/>
                <w:sz w:val="24"/>
              </w:rPr>
              <w:t>项目单位拟定专家评审成员名单，向专家组成员发出评审邀请。</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4）召开验收评审会</w:t>
            </w:r>
          </w:p>
          <w:p>
            <w:pPr>
              <w:pStyle w:val="null3"/>
              <w:ind w:firstLine="480"/>
            </w:pPr>
            <w:r>
              <w:rPr>
                <w:rFonts w:ascii="仿宋_gb2312" w:hAnsi="仿宋_gb2312" w:cs="仿宋_gb2312" w:eastAsia="仿宋_gb2312"/>
                <w:sz w:val="24"/>
              </w:rPr>
              <w:t>1)项目单位主持会议；</w:t>
            </w:r>
          </w:p>
          <w:p>
            <w:pPr>
              <w:pStyle w:val="null3"/>
              <w:ind w:firstLine="480"/>
            </w:pPr>
            <w:r>
              <w:rPr>
                <w:rFonts w:ascii="仿宋_gb2312" w:hAnsi="仿宋_gb2312" w:cs="仿宋_gb2312" w:eastAsia="仿宋_gb2312"/>
                <w:sz w:val="24"/>
              </w:rPr>
              <w:t>2)采购人介绍项目整体服务情况，重点介绍项目合同完成情况、用户应用情况和后期使用、运维等方面。</w:t>
            </w:r>
          </w:p>
          <w:p>
            <w:pPr>
              <w:pStyle w:val="null3"/>
              <w:ind w:firstLine="480"/>
            </w:pPr>
            <w:r>
              <w:rPr>
                <w:rFonts w:ascii="仿宋_gb2312" w:hAnsi="仿宋_gb2312" w:cs="仿宋_gb2312" w:eastAsia="仿宋_gb2312"/>
                <w:sz w:val="24"/>
              </w:rPr>
              <w:t>3)服务单位汇报项目服务情况、交付验收整改情况及产品演示；</w:t>
            </w:r>
          </w:p>
          <w:p>
            <w:pPr>
              <w:pStyle w:val="null3"/>
              <w:ind w:firstLine="480"/>
            </w:pPr>
            <w:r>
              <w:rPr>
                <w:rFonts w:ascii="仿宋_gb2312" w:hAnsi="仿宋_gb2312" w:cs="仿宋_gb2312" w:eastAsia="仿宋_gb2312"/>
                <w:sz w:val="24"/>
              </w:rPr>
              <w:t>4)专家组现场审阅文档，质询；</w:t>
            </w:r>
          </w:p>
          <w:p>
            <w:pPr>
              <w:pStyle w:val="null3"/>
              <w:ind w:firstLine="480"/>
            </w:pPr>
            <w:r>
              <w:rPr>
                <w:rFonts w:ascii="仿宋_gb2312" w:hAnsi="仿宋_gb2312" w:cs="仿宋_gb2312" w:eastAsia="仿宋_gb2312"/>
                <w:sz w:val="24"/>
              </w:rPr>
              <w:t>5)专家组经商议提交验收结论。</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5）文档移交</w:t>
            </w:r>
          </w:p>
          <w:p>
            <w:pPr>
              <w:pStyle w:val="null3"/>
              <w:ind w:firstLine="480"/>
            </w:pPr>
            <w:r>
              <w:rPr>
                <w:rFonts w:ascii="仿宋_gb2312" w:hAnsi="仿宋_gb2312" w:cs="仿宋_gb2312" w:eastAsia="仿宋_gb2312"/>
                <w:sz w:val="24"/>
              </w:rPr>
              <w:t>在终验后一周内，由服务单位将所有签署的验收材料装订成册提交至采购人。</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6）遗留问题</w:t>
            </w:r>
          </w:p>
          <w:p>
            <w:pPr>
              <w:pStyle w:val="null3"/>
              <w:ind w:firstLine="480"/>
            </w:pPr>
            <w:r>
              <w:rPr>
                <w:rFonts w:ascii="仿宋_gb2312" w:hAnsi="仿宋_gb2312" w:cs="仿宋_gb2312" w:eastAsia="仿宋_gb2312"/>
                <w:sz w:val="24"/>
              </w:rPr>
              <w:t>验收评审会上认为仍有遗留问题的，签署《</w:t>
            </w:r>
            <w:r>
              <w:rPr>
                <w:rFonts w:ascii="仿宋_gb2312" w:hAnsi="仿宋_gb2312" w:cs="仿宋_gb2312" w:eastAsia="仿宋_gb2312"/>
                <w:sz w:val="24"/>
              </w:rPr>
              <w:t>2024年度西咸信创云升级改造服务采购项目验收备忘录》，说明遗留问题的处理方法和责任以及时间要求，由项目单位督促服务单位限期完成整改。待整改完成后，由中标单位向采购人递交《2024年度西咸信创云升级改造服务采购项目验收复核申请表》，项目单位再次组织验收工作。</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7）验收不通过处理</w:t>
            </w:r>
          </w:p>
          <w:p>
            <w:pPr>
              <w:pStyle w:val="null3"/>
              <w:ind w:firstLine="480"/>
            </w:pPr>
            <w:r>
              <w:rPr>
                <w:rFonts w:ascii="仿宋_gb2312" w:hAnsi="仿宋_gb2312" w:cs="仿宋_gb2312" w:eastAsia="仿宋_gb2312"/>
                <w:sz w:val="24"/>
              </w:rPr>
              <w:t>项目验收结论为暂缓通过，项目单位根据验收评审会意见发出整改通知，服务单位进行整改。服务单位根据验收评审意见尽快修正有关问题，重新进行验收或者转入合同争议处理程序。</w:t>
            </w:r>
          </w:p>
          <w:p>
            <w:pPr>
              <w:pStyle w:val="null3"/>
              <w:ind w:firstLine="480"/>
            </w:pPr>
            <w:r>
              <w:rPr>
                <w:rFonts w:ascii="仿宋_gb2312" w:hAnsi="仿宋_gb2312" w:cs="仿宋_gb2312" w:eastAsia="仿宋_gb2312"/>
                <w:sz w:val="24"/>
              </w:rPr>
              <w:t>验收交付清单</w:t>
            </w:r>
          </w:p>
          <w:p>
            <w:pPr>
              <w:pStyle w:val="null3"/>
              <w:ind w:firstLine="480"/>
            </w:pPr>
            <w:r>
              <w:rPr>
                <w:rFonts w:ascii="仿宋_gb2312" w:hAnsi="仿宋_gb2312" w:cs="仿宋_gb2312" w:eastAsia="仿宋_gb2312"/>
                <w:sz w:val="24"/>
              </w:rPr>
              <w:t>最终验收交付清单应包含但不限于以下文档：</w:t>
            </w:r>
          </w:p>
          <w:p>
            <w:pPr>
              <w:pStyle w:val="null3"/>
              <w:ind w:firstLine="480"/>
            </w:pPr>
            <w:r>
              <w:rPr>
                <w:rFonts w:ascii="仿宋_gb2312" w:hAnsi="仿宋_gb2312" w:cs="仿宋_gb2312" w:eastAsia="仿宋_gb2312"/>
                <w:sz w:val="24"/>
              </w:rPr>
              <w:t>1. 用户使用报告：反映用户对项目的使用体验和满意度。</w:t>
            </w:r>
          </w:p>
          <w:p>
            <w:pPr>
              <w:pStyle w:val="null3"/>
              <w:ind w:firstLine="480"/>
            </w:pPr>
            <w:r>
              <w:rPr>
                <w:rFonts w:ascii="仿宋_gb2312" w:hAnsi="仿宋_gb2312" w:cs="仿宋_gb2312" w:eastAsia="仿宋_gb2312"/>
                <w:sz w:val="24"/>
              </w:rPr>
              <w:t>2. 服务单位总结报告：总结服务单位在项目服务阶段的表现和关键发现。</w:t>
            </w:r>
          </w:p>
          <w:p>
            <w:pPr>
              <w:pStyle w:val="null3"/>
              <w:ind w:firstLine="480"/>
            </w:pPr>
            <w:r>
              <w:rPr>
                <w:rFonts w:ascii="仿宋_gb2312" w:hAnsi="仿宋_gb2312" w:cs="仿宋_gb2312" w:eastAsia="仿宋_gb2312"/>
                <w:sz w:val="24"/>
              </w:rPr>
              <w:t>3. 监理单位监理总结报告：提供监理单位对项目实施过程的监督和管理详情。</w:t>
            </w:r>
          </w:p>
          <w:p>
            <w:pPr>
              <w:pStyle w:val="null3"/>
              <w:ind w:firstLine="480"/>
            </w:pPr>
            <w:r>
              <w:rPr>
                <w:rFonts w:ascii="仿宋_gb2312" w:hAnsi="仿宋_gb2312" w:cs="仿宋_gb2312" w:eastAsia="仿宋_gb2312"/>
                <w:sz w:val="24"/>
              </w:rPr>
              <w:t>4. 项目最终验收意见及验收现场查验记录表：包括验收过程中形成的正式意见，以及现场查验的详细记录。</w:t>
            </w:r>
          </w:p>
          <w:p>
            <w:pPr>
              <w:pStyle w:val="null3"/>
              <w:ind w:firstLine="480"/>
            </w:pPr>
            <w:r>
              <w:rPr>
                <w:rFonts w:ascii="仿宋_gb2312" w:hAnsi="仿宋_gb2312" w:cs="仿宋_gb2312" w:eastAsia="仿宋_gb2312"/>
                <w:sz w:val="24"/>
              </w:rPr>
              <w:t>5. 最终验收问题整改报告：对在最终验收过程中发现的问题进行整改的措施和结果。</w:t>
            </w:r>
          </w:p>
          <w:p>
            <w:pPr>
              <w:pStyle w:val="null3"/>
            </w:pPr>
            <w:r>
              <w:rPr>
                <w:rFonts w:ascii="仿宋_gb2312" w:hAnsi="仿宋_gb2312" w:cs="仿宋_gb2312" w:eastAsia="仿宋_gb2312"/>
                <w:sz w:val="24"/>
                <w:b/>
              </w:rPr>
              <w:t>四、付款方式</w:t>
            </w:r>
          </w:p>
          <w:p>
            <w:pPr>
              <w:pStyle w:val="null3"/>
              <w:ind w:firstLine="480"/>
            </w:pPr>
            <w:r>
              <w:rPr>
                <w:rFonts w:ascii="宋体" w:hAnsi="宋体" w:cs="宋体" w:eastAsia="宋体"/>
                <w:sz w:val="24"/>
              </w:rPr>
              <w:t>本项目分</w:t>
            </w:r>
            <w:r>
              <w:rPr>
                <w:rFonts w:ascii="宋体" w:hAnsi="宋体" w:cs="宋体" w:eastAsia="宋体"/>
                <w:sz w:val="24"/>
              </w:rPr>
              <w:t>3期支付，具体支付方式和时间如下：</w:t>
            </w:r>
          </w:p>
          <w:p>
            <w:pPr>
              <w:pStyle w:val="null3"/>
              <w:ind w:firstLine="480"/>
            </w:pPr>
            <w:r>
              <w:rPr>
                <w:rFonts w:ascii="宋体" w:hAnsi="宋体" w:cs="宋体" w:eastAsia="宋体"/>
                <w:sz w:val="24"/>
              </w:rPr>
              <w:t>第一次付款：签订合同后</w:t>
            </w:r>
            <w:r>
              <w:rPr>
                <w:rFonts w:ascii="宋体" w:hAnsi="宋体" w:cs="宋体" w:eastAsia="宋体"/>
                <w:sz w:val="24"/>
              </w:rPr>
              <w:t>15个工作日内，由中标人书面提出支付申请函及拟支付金额等额的符合采购人财务管理要求的相应发票，采购人确认后启动支付流程，支付金额约占合同总金额的30%。</w:t>
            </w:r>
          </w:p>
          <w:p>
            <w:pPr>
              <w:pStyle w:val="null3"/>
              <w:ind w:firstLine="480"/>
            </w:pPr>
            <w:r>
              <w:rPr>
                <w:rFonts w:ascii="宋体" w:hAnsi="宋体" w:cs="宋体" w:eastAsia="宋体"/>
                <w:sz w:val="24"/>
              </w:rPr>
              <w:t>第二次付款：项目交付验收通过后，由中标人书面提出支付申请函及拟支付金额等额的符合采购人财务管理要求的相应发票，采购人确认后启动进度款支付流程，支付金额约占合同总金额的</w:t>
            </w:r>
            <w:r>
              <w:rPr>
                <w:rFonts w:ascii="宋体" w:hAnsi="宋体" w:cs="宋体" w:eastAsia="宋体"/>
                <w:sz w:val="24"/>
              </w:rPr>
              <w:t>30%。</w:t>
            </w:r>
          </w:p>
          <w:p>
            <w:pPr>
              <w:pStyle w:val="null3"/>
              <w:ind w:firstLine="480"/>
            </w:pPr>
            <w:r>
              <w:rPr>
                <w:rFonts w:ascii="宋体" w:hAnsi="宋体" w:cs="宋体" w:eastAsia="宋体"/>
                <w:sz w:val="24"/>
              </w:rPr>
              <w:t>第三次付款：项目最终验收通过后</w:t>
            </w:r>
            <w:r>
              <w:rPr>
                <w:rFonts w:ascii="宋体" w:hAnsi="宋体" w:cs="宋体" w:eastAsia="宋体"/>
                <w:sz w:val="24"/>
              </w:rPr>
              <w:t>15个工作日内，</w:t>
            </w:r>
            <w:r>
              <w:rPr>
                <w:rFonts w:ascii="宋体" w:hAnsi="宋体" w:cs="宋体" w:eastAsia="宋体"/>
                <w:sz w:val="24"/>
              </w:rPr>
              <w:t>供应商出具项目中使用的所有数据库型号提供安全可靠要求的证明材料并加盖公章，符合《陕西省省级政务信息化项目竣工验收管理办法</w:t>
            </w:r>
            <w:r>
              <w:rPr>
                <w:rFonts w:ascii="宋体" w:hAnsi="宋体" w:cs="宋体" w:eastAsia="宋体"/>
                <w:sz w:val="24"/>
              </w:rPr>
              <w:t>(试行)》（陕政数局〔2023〕6号）要求。</w:t>
            </w:r>
            <w:r>
              <w:rPr>
                <w:rFonts w:ascii="宋体" w:hAnsi="宋体" w:cs="宋体" w:eastAsia="宋体"/>
                <w:sz w:val="24"/>
              </w:rPr>
              <w:t>根据服务单价、服务内容数量以及服务考核结果，综合确定支付金额，在合同总金额以内据实结算。由中标人书面提出支付申请函及拟支付金额等额的符合采购人财务管理要求的相应发票，采购人确认后启动尾款支付流程。</w:t>
            </w:r>
          </w:p>
          <w:p>
            <w:pPr>
              <w:pStyle w:val="null3"/>
              <w:ind w:firstLine="480"/>
            </w:pPr>
            <w:r>
              <w:rPr>
                <w:rFonts w:ascii="宋体" w:hAnsi="宋体" w:cs="宋体" w:eastAsia="宋体"/>
                <w:sz w:val="24"/>
              </w:rPr>
              <w:t>如因政府财政部门审查、财政支付管理流程及预算下达导致支付延期，支付期限自动顺延，采购人不承担责任，中标人不得以此为由迟延履行或不履行合同义务。</w:t>
            </w:r>
          </w:p>
        </w:tc>
      </w:tr>
    </w:tbl>
    <w:p>
      <w:pPr>
        <w:pStyle w:val="null3"/>
        <w:outlineLvl w:val="3"/>
      </w:pPr>
      <w:r>
        <w:rPr>
          <w:sz w:val="24"/>
          <w:b/>
        </w:rPr>
        <w:t>3.2.3人员配置要求</w:t>
      </w:r>
    </w:p>
    <w:p>
      <w:pPr>
        <w:pStyle w:val="null3"/>
      </w:pPr>
      <w:r>
        <w:rPr/>
        <w:t>采购包1：</w:t>
      </w:r>
    </w:p>
    <w:p>
      <w:pPr>
        <w:pStyle w:val="null3"/>
      </w:pPr>
      <w:r>
        <w:rPr/>
        <w:t>详见采购内容及要求。</w:t>
      </w:r>
    </w:p>
    <w:p>
      <w:pPr>
        <w:pStyle w:val="null3"/>
        <w:outlineLvl w:val="3"/>
      </w:pPr>
      <w:r>
        <w:rPr>
          <w:sz w:val="24"/>
          <w:b/>
        </w:rPr>
        <w:t>3.2.4设施设备配置要求</w:t>
      </w:r>
    </w:p>
    <w:p>
      <w:pPr>
        <w:pStyle w:val="null3"/>
      </w:pPr>
      <w:r>
        <w:rPr/>
        <w:t>采购包1：</w:t>
      </w:r>
    </w:p>
    <w:p>
      <w:pPr>
        <w:pStyle w:val="null3"/>
      </w:pPr>
      <w:r>
        <w:rPr/>
        <w:t>详见采购内容及要求。</w:t>
      </w:r>
    </w:p>
    <w:p>
      <w:pPr>
        <w:pStyle w:val="null3"/>
        <w:outlineLvl w:val="3"/>
      </w:pPr>
      <w:r>
        <w:rPr>
          <w:sz w:val="24"/>
          <w:b/>
        </w:rPr>
        <w:t>3.2.5其他要求</w:t>
      </w:r>
    </w:p>
    <w:p>
      <w:pPr>
        <w:pStyle w:val="null3"/>
      </w:pPr>
      <w:r>
        <w:rPr/>
        <w:t>采购包1：</w:t>
      </w:r>
    </w:p>
    <w:p>
      <w:pPr>
        <w:pStyle w:val="null3"/>
      </w:pPr>
      <w:r>
        <w:rPr/>
        <w:t>售后服务承诺函 1.质量保证期1年（自提交服务成果并交付验收合格之日起计）。 2.处理问题响应时间：接到采购人处理问题通知后5分钟内远程响应，重大问题24小时内解决。 3.供货商需提供售后服务承诺函。 其他详见采购内容及要求。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合同签订后2024年10月1日前完成内存升级改造，90日历日提交交付验收申请，交付验收通过后正式提供服务365个日历日。</w:t>
      </w:r>
    </w:p>
    <w:p>
      <w:pPr>
        <w:pStyle w:val="null3"/>
        <w:outlineLvl w:val="3"/>
      </w:pPr>
      <w:r>
        <w:rPr>
          <w:sz w:val="24"/>
          <w:b/>
        </w:rPr>
        <w:t>3.3.2服务地点</w:t>
      </w:r>
    </w:p>
    <w:p>
      <w:pPr>
        <w:pStyle w:val="null3"/>
      </w:pPr>
      <w:r>
        <w:rPr/>
        <w:t>采购包1：</w:t>
      </w:r>
    </w:p>
    <w:p>
      <w:pPr>
        <w:pStyle w:val="null3"/>
      </w:pPr>
      <w:r>
        <w:rPr/>
        <w:t>项目范围采购人指定地点</w:t>
      </w:r>
    </w:p>
    <w:p>
      <w:pPr>
        <w:pStyle w:val="null3"/>
        <w:outlineLvl w:val="3"/>
      </w:pPr>
      <w:r>
        <w:rPr>
          <w:sz w:val="24"/>
          <w:b/>
        </w:rPr>
        <w:t>3.3.3考核（验收）标准和方法</w:t>
      </w:r>
    </w:p>
    <w:p>
      <w:pPr>
        <w:pStyle w:val="null3"/>
      </w:pPr>
      <w:r>
        <w:rPr/>
        <w:t>采购包1：</w:t>
      </w:r>
    </w:p>
    <w:p>
      <w:pPr>
        <w:pStyle w:val="null3"/>
      </w:pPr>
      <w:r>
        <w:rPr/>
        <w:t>详见采购内容及要求。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签订合同后15个工作日内，由中标人书面提出支付申请函及拟支付金额等额的符合采购人财务管理要求的相应发票，采购人确认后启动支付流程</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项目交付验收通过后，由中标人书面提出支付申请函及拟支付金额等额的符合采购人财务管理要求的相应发票，采购人确认后启动进度款支付流程</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项目最终验收通过后15个工作日内，供应商出具项目中使用的所有数据库型号提供安全可靠要求的证明材料并加盖公章，符合《陕西省省级政务信息化项目竣工验收管理办法(试行)》（陕政数局〔2023〕6号）要求。根据服务单价、服务内容数量以及服务考核结果，综合确定支付金额，在合同总金额以内据实结算。由中标人书面提出支付申请函及拟支付金额等额的符合采购人财务管理要求的相应发票，采购人确认后启动尾款支付流程。 如因政府财政部门审查、财政支付管理流程及预算下达导致支付延期，支付期限自动顺延，采购人不承担责任，中标人不得以此为由迟延履行或不履行合同义务</w:t>
      </w:r>
      <w:r>
        <w:rPr/>
        <w:t xml:space="preserve"> ，达到付款条件起 </w:t>
      </w:r>
      <w:r>
        <w:rPr/>
        <w:t>30</w:t>
      </w:r>
      <w:r>
        <w:rPr/>
        <w:t xml:space="preserve"> 日内，支付合同总金额的 </w:t>
      </w:r>
      <w:r>
        <w:rPr/>
        <w:t>40.00</w:t>
      </w:r>
      <w:r>
        <w:rPr/>
        <w:t>%。</w:t>
      </w:r>
    </w:p>
    <w:p>
      <w:pPr>
        <w:pStyle w:val="null3"/>
        <w:outlineLvl w:val="3"/>
      </w:pPr>
      <w:r>
        <w:rPr>
          <w:sz w:val="24"/>
          <w:b/>
        </w:rPr>
        <w:t>3.3.6违约责任与解决争议的方法</w:t>
      </w:r>
    </w:p>
    <w:p>
      <w:pPr>
        <w:pStyle w:val="null3"/>
      </w:pPr>
      <w:r>
        <w:rPr/>
        <w:t>采购包1：</w:t>
      </w:r>
    </w:p>
    <w:p>
      <w:pPr>
        <w:pStyle w:val="null3"/>
      </w:pPr>
      <w:r>
        <w:rPr/>
        <w:t>根据招标文件要求及合同约定执行。</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壹套（投标文件双面打印）、电子版壹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投标供应商为具有独立承担民事责任能力的法人或其他组织</w:t>
            </w:r>
          </w:p>
        </w:tc>
        <w:tc>
          <w:tcPr>
            <w:tcW w:type="dxa" w:w="3322"/>
          </w:tcPr>
          <w:p>
            <w:pPr>
              <w:pStyle w:val="null3"/>
            </w:pPr>
            <w:r>
              <w:rPr/>
              <w:t>企业法人应提供合法有效的标识有统一社会信用代码的营业执照；事业法人应提供事业单位法人证书；其他组织应提供合法登记证明文件；</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财务状况</w:t>
            </w:r>
          </w:p>
        </w:tc>
        <w:tc>
          <w:tcPr>
            <w:tcW w:type="dxa" w:w="3322"/>
          </w:tcPr>
          <w:p>
            <w:pPr>
              <w:pStyle w:val="null3"/>
            </w:pPr>
            <w:r>
              <w:rPr/>
              <w:t>提供具有财务审计资质单位出具的完整2023年度的财务报告（成立时间至投标文件递交截止时间不足一年的可提供成立后任意时段的资产负债表）或投标文件递交截止时间前六个月内其开户银行出具的资信证明；</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供应商提供2023年至今至少一个月的社会保障资金缴存单据或社保机构开具的社会保险参保缴费情况证明，依法不需要缴纳社会保障资金的供应商应提供相关文件证明；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供应商提供2023年度至今至少一个月的纳税证明或完税证明（时间以税款所属日期为准、税种须包含增值税或企业所得税），纳税证明或完税证明上应有代收机构或税务机关的公章，依法免税的供应商应提供相关文件证明；</w:t>
            </w:r>
          </w:p>
        </w:tc>
        <w:tc>
          <w:tcPr>
            <w:tcW w:type="dxa" w:w="1661"/>
          </w:tcPr>
          <w:p>
            <w:pPr>
              <w:pStyle w:val="null3"/>
            </w:pPr>
            <w:r>
              <w:rPr/>
              <w:t>资格响应表</w:t>
            </w:r>
          </w:p>
        </w:tc>
      </w:tr>
      <w:tr>
        <w:tc>
          <w:tcPr>
            <w:tcW w:type="dxa" w:w="831"/>
          </w:tcPr>
          <w:p>
            <w:pPr>
              <w:pStyle w:val="null3"/>
            </w:pPr>
            <w:r>
              <w:rPr/>
              <w:t>6</w:t>
            </w:r>
          </w:p>
        </w:tc>
        <w:tc>
          <w:tcPr>
            <w:tcW w:type="dxa" w:w="2492"/>
          </w:tcPr>
          <w:p>
            <w:pPr>
              <w:pStyle w:val="null3"/>
            </w:pPr>
            <w:r>
              <w:rPr/>
              <w:t>供应商应具备良好的商业信誉</w:t>
            </w:r>
          </w:p>
        </w:tc>
        <w:tc>
          <w:tcPr>
            <w:tcW w:type="dxa" w:w="3322"/>
          </w:tcPr>
          <w:p>
            <w:pPr>
              <w:pStyle w:val="null3"/>
            </w:pPr>
            <w:r>
              <w:rPr/>
              <w:t>提供参加政府采购活动前3年内在经营活动中没有重大违法记录的书面声明；</w:t>
            </w:r>
          </w:p>
        </w:tc>
        <w:tc>
          <w:tcPr>
            <w:tcW w:type="dxa" w:w="1661"/>
          </w:tcPr>
          <w:p>
            <w:pPr>
              <w:pStyle w:val="null3"/>
            </w:pPr>
            <w:r>
              <w:rPr/>
              <w:t>资格响应表</w:t>
            </w:r>
          </w:p>
        </w:tc>
      </w:tr>
      <w:tr>
        <w:tc>
          <w:tcPr>
            <w:tcW w:type="dxa" w:w="831"/>
          </w:tcPr>
          <w:p>
            <w:pPr>
              <w:pStyle w:val="null3"/>
            </w:pPr>
            <w:r>
              <w:rPr/>
              <w:t>7</w:t>
            </w:r>
          </w:p>
        </w:tc>
        <w:tc>
          <w:tcPr>
            <w:tcW w:type="dxa" w:w="2492"/>
          </w:tcPr>
          <w:p>
            <w:pPr>
              <w:pStyle w:val="null3"/>
            </w:pPr>
            <w:r>
              <w:rPr/>
              <w:t>信用查询</w:t>
            </w:r>
          </w:p>
        </w:tc>
        <w:tc>
          <w:tcPr>
            <w:tcW w:type="dxa" w:w="3322"/>
          </w:tcPr>
          <w:p>
            <w:pPr>
              <w:pStyle w:val="null3"/>
            </w:pPr>
            <w:r>
              <w:rPr/>
              <w:t>供应商应在投标截止日前，以“信用中国”网站（www.creditchina.gov.cn）和中国政府采购网（www.ccgp.gov.cn）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期限届满的除外）和政府采购严重违法失信行为记录；</w:t>
            </w:r>
          </w:p>
        </w:tc>
        <w:tc>
          <w:tcPr>
            <w:tcW w:type="dxa" w:w="1661"/>
          </w:tcPr>
          <w:p>
            <w:pPr>
              <w:pStyle w:val="null3"/>
            </w:pPr>
            <w:r>
              <w:rPr/>
              <w:t>资格响应表</w:t>
            </w:r>
          </w:p>
        </w:tc>
      </w:tr>
      <w:tr>
        <w:tc>
          <w:tcPr>
            <w:tcW w:type="dxa" w:w="831"/>
          </w:tcPr>
          <w:p>
            <w:pPr>
              <w:pStyle w:val="null3"/>
            </w:pPr>
            <w:r>
              <w:rPr/>
              <w:t>8</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 投标文件封面</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合同签订后2024年10月1日前完成内存升级改造，90日历日提交交付验收申请，交付验收通过后正式提供服务365个日历日。</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第一次付款：签订合同后15个工作日内，由中标人书面提出支付申请函及拟支付金额等额的符合采购人财务管理要求的相应发票，采购人确认后启动支付流程，支付金额约占合同总金额的30%。 第二次付款：项目交付验收通过后，由中标人书面提出支付申请函及拟支付金额等额的符合采购人财务管理要求的相应发票，采购人确认后启动进度款支付流程，支付金额约占合同总金额的30%。 第三次付款：项目最终验收通过后15个工作日内，供应商出具项目中使用的所有数据库型号提供安全可靠要求的证明材料并加盖公章，符合《陕西省省级政务信息化项目竣工验收管理办法(试行)》（陕政数局〔2023〕6号）要求。根据服务单价、服务内容数量以及服务考核结果，综合确定支付金额，在合同总金额以内据实结算。由中标人书面提出支付申请函及拟支付金额等额的符合采购人财务管理要求的相应发票，采购人确认后启动尾款支付流程。 如因政府财政部门审查、财政支付管理流程及预算下达导致支付延期，支付期限自动顺延，采购人不承担责任，中标人不得以此为由迟延履行或不履行合同义务。</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国产化要求</w:t>
            </w:r>
          </w:p>
        </w:tc>
        <w:tc>
          <w:tcPr>
            <w:tcW w:type="dxa" w:w="3322"/>
          </w:tcPr>
          <w:p>
            <w:pPr>
              <w:pStyle w:val="null3"/>
            </w:pPr>
            <w:r>
              <w:rPr/>
              <w:t>提供集中式和分布式数据库服务，供应商出具数据库满足国产化相关政策和标准要求的承诺函。</w:t>
            </w:r>
          </w:p>
        </w:tc>
        <w:tc>
          <w:tcPr>
            <w:tcW w:type="dxa" w:w="1661"/>
          </w:tcPr>
          <w:p>
            <w:pPr>
              <w:pStyle w:val="null3"/>
            </w:pPr>
            <w:r>
              <w:rPr/>
              <w:t>商务及技术偏离表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内存扩容方案</w:t>
            </w:r>
          </w:p>
        </w:tc>
        <w:tc>
          <w:tcPr>
            <w:tcW w:type="dxa" w:w="2492"/>
          </w:tcPr>
          <w:p>
            <w:pPr>
              <w:pStyle w:val="null3"/>
            </w:pPr>
            <w:r>
              <w:rPr/>
              <w:t>供应商提供针对本项目的内存扩容方案。方案内容至少包括: 1、对西咸信创云现状的分析及评估； 2、扩容前针对原有内容的迁移方案；3、针对本项目的扩容方案，并根据西咸信创云现有物理机制定详细内存扩容计划；4、扩容过程中的风险分析及防范、解决措施； 5、扩容完成后对系统的调试方案。 方案所涉及的服务内容周密健全完善，项目工作成果科学严谨，项目服务全流程具体可行，运作流程流畅，能有效保障本项目实施得满分，每有一项缺项扣2分，每有一处内容存在缺陷，扣1分，扣完为止。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基础软件能力提升方案</w:t>
            </w:r>
          </w:p>
        </w:tc>
        <w:tc>
          <w:tcPr>
            <w:tcW w:type="dxa" w:w="2492"/>
          </w:tcPr>
          <w:p>
            <w:pPr>
              <w:pStyle w:val="null3"/>
            </w:pPr>
            <w:r>
              <w:rPr/>
              <w:t>供应商提供针对本项目的基础软件能力提升方案。方案内容至少包括: 1、现有基础软件的分析及评估； 2、针对PaaS组件及中间件的分配及使用方案；3、对中间件及数据库使用状态的监测方案；4、数据库能力提升方案；5、对软件性能的保证方案。 方案所涉及的服务内容周密健全完善，项目工作成果科学严谨，项目服务全流程具体可行，运作流程流畅，能有效保障本项目实施得满分，每有一项缺项扣2分，每有一处内容存在缺陷，扣1分，扣完为止。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资源分配与使用效率提升服务方案</w:t>
            </w:r>
          </w:p>
        </w:tc>
        <w:tc>
          <w:tcPr>
            <w:tcW w:type="dxa" w:w="2492"/>
          </w:tcPr>
          <w:p>
            <w:pPr>
              <w:pStyle w:val="null3"/>
            </w:pPr>
            <w:r>
              <w:rPr/>
              <w:t>供应商提供针对本项目的资源分配与使用效率提升服务方案。方案内容至少包括: 1、云平台资源使用现状的分析及评估； 2、业务系统性能使用评估方案；3、对业务系统的性能优化方案；4、对优化后的业务系统性能测试方案；5、性能优化结果分析方案。 方案所涉及的服务内容周密健全完善，项目工作成果科学严谨，项目服务全流程具体可行，运作流程流畅，能有效保障本项目实施得满分，每有一项缺项扣2分，每有一处内容存在缺陷，扣1分，扣完为止。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动态测试区服务方案</w:t>
            </w:r>
          </w:p>
        </w:tc>
        <w:tc>
          <w:tcPr>
            <w:tcW w:type="dxa" w:w="2492"/>
          </w:tcPr>
          <w:p>
            <w:pPr>
              <w:pStyle w:val="null3"/>
            </w:pPr>
            <w:r>
              <w:rPr/>
              <w:t>供应商提供针对本项目的动态测试区服务方案。方案内容至少包括: 1、现有云资源测试区开通、建设方案； 2、新业务上线后测试区开通、建设方案；3、业务系统性能测试方案；4、测试资源转生产资源策略方案。 方案所涉及的服务内容周密健全完善，项目工作成果科学严谨，项目服务全流程具体可行，运作流程流畅，能有效保障本项目实施得满分，每有一项缺项扣2分，每有一处内容存在缺陷，扣1分，扣完为止。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一体化资源监管与管理平台对接方案</w:t>
            </w:r>
          </w:p>
        </w:tc>
        <w:tc>
          <w:tcPr>
            <w:tcW w:type="dxa" w:w="2492"/>
          </w:tcPr>
          <w:p>
            <w:pPr>
              <w:pStyle w:val="null3"/>
            </w:pPr>
            <w:r>
              <w:rPr/>
              <w:t>供应商提供针对本项目的一体化资源监管与管理平台对接方案。方案内容至少包括: 1、接口开发方案； 2、接口测试方案；方案所涉及的服务内容周密健全完善，项目工作成果科学严谨，项目服务全流程具体可行，运作流程流畅，能有效保障本项目实施得满分，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人员配置方案</w:t>
            </w:r>
          </w:p>
        </w:tc>
        <w:tc>
          <w:tcPr>
            <w:tcW w:type="dxa" w:w="2492"/>
          </w:tcPr>
          <w:p>
            <w:pPr>
              <w:pStyle w:val="null3"/>
            </w:pPr>
            <w:r>
              <w:rPr/>
              <w:t>供应商提供针对本项目拟投入的工作组成员的情况。方案内容至少包含: 1、工作组成员管理组织架构、人员分工； 2、工作职责划分、业务管理流程等内容。 方案所涉及的拟投入的工作组成员管理组织架构清晰，人员分工和工作职责划分明确，能有效保障本项目实施得满分，每有一项缺项扣3分，每有一处内容存在缺陷，扣1分，扣完为止。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项目成员</w:t>
            </w:r>
          </w:p>
        </w:tc>
        <w:tc>
          <w:tcPr>
            <w:tcW w:type="dxa" w:w="2492"/>
          </w:tcPr>
          <w:p>
            <w:pPr>
              <w:pStyle w:val="null3"/>
            </w:pPr>
            <w:r>
              <w:rPr/>
              <w:t>2024年度西咸信创云升级改造服务采购团队关键核心人员专业技术证书得分情况 服务团队不得少于5人，并配备专职项目经理 1）项目经理：具备信息系统项目管理师资质，提供得2分，共计2分。 2）团队人员具备以下能力： 具备计算机软件资格考试网络工程师证书，每提供1个得1分， 共计2分； 具备计算机软件资格考试信息安全工程师证书，每提供1个得1分，共计2分； 具备计算机软件资格考试数据库系统工程师证书，每提供1个得1分，共计2分； 相同人员不重复计分。团队人员需提供身份证及社保证明。</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服务能力保障证明</w:t>
            </w:r>
          </w:p>
        </w:tc>
        <w:tc>
          <w:tcPr>
            <w:tcW w:type="dxa" w:w="2492"/>
          </w:tcPr>
          <w:p>
            <w:pPr>
              <w:pStyle w:val="null3"/>
            </w:pPr>
            <w:r>
              <w:rPr/>
              <w:t>1、供应商具备信息技术服务-云服务资质认证证书，得2分； 2、供应商具备信息技术服务管理体系资质认证证书，得2分； 3、供应商具备信息系统安全运维资质认证证书，得2分。 （提供有效期内的企业相关资质证书复印件加盖公章，要求证书清晰可辨，不提供或提供证书不满足要求不得分）。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供应商提供对本项目的质量保证措施方案，方案至少包含：1、结合实际情况制定质量控制目标及措施；2、制定进度控制目标及措施；3、过程质量控制；4、成果质量控制等。 对项目的需求理解内容详实、可行性强，服务定位、难点分析完善，能有效保障本项目实施得满分，每有一项缺项扣2分，每有一处内容存在缺陷，扣1分，扣完为止。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供应商提供针对本项目的应急方案，方案至少包含： 1、对后期服务的保证措施、能够处理各类紧急事项的措施；2、保证项目实施，能够保证在规定的时间解决问题。 切合项目具体情况，提出责任明确，服务定位，能有效保障本项目实施得满分，每有一项缺项扣3分，每有一处内容存在缺陷，扣1分，扣完为止。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成果管理制度方案</w:t>
            </w:r>
          </w:p>
        </w:tc>
        <w:tc>
          <w:tcPr>
            <w:tcW w:type="dxa" w:w="2492"/>
          </w:tcPr>
          <w:p>
            <w:pPr>
              <w:pStyle w:val="null3"/>
            </w:pPr>
            <w:r>
              <w:rPr/>
              <w:t>供应商提供成果管理制度方案，方案至少包含：1、成果资料管理制度；2、移交工作制度。 方案各项内容全面详细、阐述条理清晰，制度可操作性强，具体细致，内容贴合实际。能有效保障本项目实施得满分，每有一项缺项扣3分，每有一处内容存在缺陷，扣1分，扣完为止。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提供2021年1月1日以来同类（云平台类）项目业绩，每提供一个得1分，满分6分。以合同签订日期为准，提供合同复印件（包括首页、签字盖章页，金额等，金额不得涂抹）加盖公章。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详见附件：开标一览表及分项报价表</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