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主院区对外租赁地下车位项目</w:t>
      </w:r>
    </w:p>
    <w:p>
      <w:pPr>
        <w:pStyle w:val="null3"/>
        <w:jc w:val="center"/>
        <w:outlineLvl w:val="5"/>
      </w:pPr>
      <w:r>
        <w:rPr>
          <w:sz w:val="15"/>
          <w:b/>
        </w:rPr>
        <w:t xml:space="preserve">采购项目编号: </w:t>
      </w:r>
      <w:r>
        <w:rPr>
          <w:sz w:val="15"/>
          <w:b/>
        </w:rPr>
        <w:t>SZT2024-SN-SC-ZC-FW-0795</w:t>
      </w:r>
      <w:r>
        <w:br/>
      </w:r>
      <w:r>
        <w:br/>
      </w:r>
      <w:r>
        <w:br/>
      </w:r>
    </w:p>
    <w:p>
      <w:pPr>
        <w:pStyle w:val="null3"/>
        <w:jc w:val="center"/>
        <w:outlineLvl w:val="5"/>
      </w:pPr>
      <w:r>
        <w:rPr>
          <w:sz w:val="15"/>
          <w:b/>
        </w:rPr>
        <w:t>陕西省人民医院</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2024年08月19日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陕西省人民医院</w:t>
      </w:r>
      <w:r>
        <w:rPr/>
        <w:t>委托，拟对</w:t>
      </w:r>
      <w:r>
        <w:rPr/>
        <w:t>主院区对外租赁地下车位项目</w:t>
      </w:r>
      <w:r>
        <w:rPr/>
        <w:t>采用单一来源方式进行采购，现邀请贵公司参加该项目的协商。</w:t>
      </w:r>
    </w:p>
    <w:p>
      <w:pPr>
        <w:pStyle w:val="null3"/>
        <w:outlineLvl w:val="2"/>
      </w:pPr>
      <w:r>
        <w:rPr>
          <w:sz w:val="28"/>
          <w:b/>
        </w:rPr>
        <w:t xml:space="preserve"> 一、采购项目编号：</w:t>
      </w:r>
      <w:r>
        <w:rPr>
          <w:sz w:val="28"/>
          <w:b/>
        </w:rPr>
        <w:t>SZT2024-SN-SC-ZC-FW-0795</w:t>
      </w:r>
    </w:p>
    <w:p>
      <w:pPr>
        <w:pStyle w:val="null3"/>
        <w:outlineLvl w:val="2"/>
      </w:pPr>
      <w:r>
        <w:rPr>
          <w:sz w:val="28"/>
          <w:b/>
        </w:rPr>
        <w:t xml:space="preserve"> 二、采购项目名称：</w:t>
      </w:r>
      <w:r>
        <w:rPr>
          <w:sz w:val="28"/>
          <w:b/>
        </w:rPr>
        <w:t>主院区对外租赁地下车位项目</w:t>
      </w:r>
    </w:p>
    <w:p>
      <w:pPr>
        <w:pStyle w:val="null3"/>
        <w:outlineLvl w:val="2"/>
      </w:pPr>
      <w:r>
        <w:rPr>
          <w:sz w:val="28"/>
          <w:b/>
        </w:rPr>
        <w:t>三、协商项目简介：</w:t>
      </w:r>
    </w:p>
    <w:p>
      <w:pPr>
        <w:pStyle w:val="null3"/>
        <w:ind w:firstLine="480"/>
      </w:pPr>
      <w:r>
        <w:rPr/>
        <w:t>主院区对外租赁地下车位租赁</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采购包1（主院区对外租赁地下车位）：属于专门面向中小企业采购。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种老师</w:t>
      </w:r>
    </w:p>
    <w:p>
      <w:pPr>
        <w:pStyle w:val="null3"/>
      </w:pPr>
      <w:r>
        <w:rPr/>
        <w:t xml:space="preserve"> 联系电话： </w:t>
      </w:r>
      <w:r>
        <w:rPr/>
        <w:t>85251331-3458</w:t>
      </w:r>
    </w:p>
    <w:p>
      <w:pPr>
        <w:pStyle w:val="null3"/>
        <w:outlineLvl w:val="2"/>
      </w:pPr>
      <w:r>
        <w:rPr>
          <w:sz w:val="28"/>
          <w:b/>
        </w:rPr>
        <w:t xml:space="preserve"> 代理机构：</w:t>
      </w:r>
      <w:r>
        <w:rPr>
          <w:sz w:val="28"/>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采购包1：2,550,000.00元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采购包1：2,550,000.00元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开户名称：陕西中技招标有限公司（向我公司转账时，请备注清楚项目编号后四位和包号）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预算金额差额定率累进法计算后*服务期限计取（预算金额≤100万元的，正常计取；100＜预算金额≤500万元的，下浮20%计取；500＜预算金额≤1000万元的，下浮25%计取；1000＞预算金额的，下浮30%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⑵谈判文件、响应文件、澄清表（函）；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主院区对外租赁地下车位项目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2,550,000.00</w:t>
      </w:r>
    </w:p>
    <w:p>
      <w:pPr>
        <w:pStyle w:val="null3"/>
      </w:pPr>
      <w:r>
        <w:rPr/>
        <w:t>采购包最高限价（元）: 2,550,000.00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主院区对外租赁地下车位</w:t>
            </w:r>
          </w:p>
        </w:tc>
        <w:tc>
          <w:tcPr>
            <w:tcW w:type="dxa" w:w="831"/>
          </w:tcPr>
          <w:p>
            <w:pPr>
              <w:pStyle w:val="null3"/>
              <w:jc w:val="right"/>
            </w:pPr>
            <w:r>
              <w:rPr/>
              <w:t>1.00</w:t>
            </w:r>
          </w:p>
        </w:tc>
        <w:tc>
          <w:tcPr>
            <w:tcW w:type="dxa" w:w="831"/>
          </w:tcPr>
          <w:p>
            <w:pPr>
              <w:pStyle w:val="null3"/>
              <w:jc w:val="right"/>
            </w:pPr>
            <w:r>
              <w:rPr/>
              <w:t>2,550,000.00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标的名称：主院区对外租赁地下车位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一、需求参数</w:t>
            </w:r>
            <w:r>
              <w:br/>
            </w:r>
            <w:r>
              <w:rPr/>
              <w:t xml:space="preserve"> 项目名称:主院区对外租赁地下车位项目</w:t>
            </w:r>
            <w:r>
              <w:br/>
            </w:r>
            <w:r>
              <w:rPr/>
              <w:t xml:space="preserve"> 项目预算:255万元</w:t>
            </w:r>
            <w:r>
              <w:br/>
            </w:r>
            <w:r>
              <w:rPr/>
              <w:t xml:space="preserve"> 白天时段:早7:00-晚19:00</w:t>
            </w:r>
            <w:r>
              <w:br/>
            </w:r>
            <w:r>
              <w:rPr/>
              <w:t xml:space="preserve"> 地下普通车位共计472个:本次招标招白天时段车位472个。</w:t>
            </w:r>
            <w:r>
              <w:br/>
            </w:r>
            <w:r>
              <w:rPr/>
              <w:t xml:space="preserve"> 白天时段车位 450 元/个/月。</w:t>
            </w:r>
            <w:r>
              <w:br/>
            </w:r>
            <w:r>
              <w:rPr/>
              <w:t xml:space="preserve"> 二、服务要求</w:t>
            </w:r>
            <w:r>
              <w:br/>
            </w:r>
            <w:r>
              <w:rPr/>
              <w:t xml:space="preserve"> 1.我院有特殊任务时，需乙方提供免费临时停车服务。</w:t>
            </w:r>
            <w:r>
              <w:br/>
            </w:r>
            <w:r>
              <w:rPr/>
              <w:t xml:space="preserve"> 2.所投标车位均为地下车位。</w:t>
            </w:r>
            <w:r>
              <w:br/>
            </w:r>
            <w:r>
              <w:rPr/>
              <w:t xml:space="preserve"> 3.提供20%夜间车位使用权:</w:t>
            </w:r>
            <w:r>
              <w:br/>
            </w:r>
            <w:r>
              <w:rPr/>
              <w:t xml:space="preserve"> 4.费用含有车位费、管理费等一切费用。</w:t>
            </w:r>
            <w:r>
              <w:br/>
            </w:r>
            <w:r>
              <w:rPr/>
              <w:t xml:space="preserve"> 5.地上车位需要设置围栏、车辆道闸等设施，进行相对封闭管理。</w:t>
            </w:r>
            <w:r>
              <w:br/>
            </w:r>
            <w:r>
              <w:rPr/>
              <w:t xml:space="preserve"> 6.增加计时计费功能。</w:t>
            </w:r>
            <w:r>
              <w:br/>
            </w:r>
            <w:r>
              <w:rPr/>
              <w:t xml:space="preserve"> 7.供应商需保证车辆及人员安全。</w:t>
            </w:r>
            <w:r>
              <w:br/>
            </w:r>
            <w:r>
              <w:rPr/>
              <w:t xml:space="preserve"> 8.安排专业人员管理，租赁停车场内发生车辆损坏、丢失或车内物品被盗情况，由公安机关或保险公司处理，租赁方全力配合。具有监控设施，在车辆受损时能第一时间提供证据9.其他服务可协商解决。</w:t>
            </w:r>
          </w:p>
        </w:tc>
      </w:tr>
    </w:tbl>
    <w:p>
      <w:pPr>
        <w:pStyle w:val="null3"/>
        <w:outlineLvl w:val="3"/>
      </w:pPr>
      <w:r>
        <w:rPr>
          <w:sz w:val="24"/>
          <w:b/>
        </w:rPr>
        <w:t>3.2.3人员配置要求</w:t>
      </w:r>
    </w:p>
    <w:p>
      <w:pPr>
        <w:pStyle w:val="null3"/>
      </w:pPr>
      <w:r>
        <w:rPr/>
        <w:t>采购包1：</w:t>
      </w:r>
    </w:p>
    <w:p>
      <w:pPr>
        <w:pStyle w:val="null3"/>
      </w:pPr>
      <w:r>
        <w:rPr/>
        <w:t>满足采购方服务要求。</w:t>
      </w:r>
    </w:p>
    <w:p>
      <w:pPr>
        <w:pStyle w:val="null3"/>
        <w:outlineLvl w:val="3"/>
      </w:pPr>
      <w:r>
        <w:rPr>
          <w:sz w:val="24"/>
          <w:b/>
        </w:rPr>
        <w:t>3.2.4设施设备要求</w:t>
      </w:r>
    </w:p>
    <w:p>
      <w:pPr>
        <w:pStyle w:val="null3"/>
      </w:pPr>
      <w:r>
        <w:rPr/>
        <w:t>采购包1：</w:t>
      </w:r>
    </w:p>
    <w:p>
      <w:pPr>
        <w:pStyle w:val="null3"/>
      </w:pPr>
      <w:r>
        <w:rPr/>
        <w:t>满足采购方服务要求。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3年</w:t>
      </w:r>
    </w:p>
    <w:p>
      <w:pPr>
        <w:pStyle w:val="null3"/>
        <w:outlineLvl w:val="3"/>
      </w:pPr>
      <w:r>
        <w:rPr>
          <w:sz w:val="24"/>
          <w:b/>
        </w:rPr>
        <w:t>3.3.2服务地点</w:t>
      </w:r>
    </w:p>
    <w:p>
      <w:pPr>
        <w:pStyle w:val="null3"/>
      </w:pPr>
      <w:r>
        <w:rPr/>
        <w:t>采购包1：</w:t>
      </w:r>
    </w:p>
    <w:p>
      <w:pPr>
        <w:pStyle w:val="null3"/>
      </w:pPr>
      <w:r>
        <w:rPr/>
        <w:t>陕西省人民医院主院区</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按季度据实结算</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3.3.6违约责任及解决争议的方法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outlineLvl w:val="2"/>
      </w:pPr>
      <w:r>
        <w:rPr>
          <w:sz w:val="28"/>
          <w:b/>
        </w:rPr>
        <w:t>3.4其他要求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参与的供应商（联合体）提供的服务全部由符合政策要求的中小企业制造。</w:t>
            </w:r>
          </w:p>
        </w:tc>
        <w:tc>
          <w:tcPr>
            <w:tcW w:type="dxa" w:w="1661"/>
          </w:tcPr>
          <w:p>
            <w:pPr>
              <w:pStyle w:val="null3"/>
            </w:pPr>
            <w:r>
              <w:rPr/>
              <w:t>中小企业声明函 残疾人福利性单位声明函 报价表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标的清单 响应函 报价表及分项报价表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按季度据实结算</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3年</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90日历日</w:t>
            </w:r>
          </w:p>
        </w:tc>
        <w:tc>
          <w:tcPr>
            <w:tcW w:type="dxa" w:w="1661"/>
          </w:tcPr>
          <w:p>
            <w:pPr>
              <w:pStyle w:val="null3"/>
            </w:pPr>
            <w:r>
              <w:rPr/>
              <w:t>商务偏离表</w:t>
            </w:r>
          </w:p>
        </w:tc>
      </w:tr>
      <w:tr>
        <w:tc>
          <w:tcPr>
            <w:tcW w:type="dxa" w:w="831"/>
          </w:tcPr>
          <w:p>
            <w:pPr>
              <w:pStyle w:val="null3"/>
            </w:pPr>
            <w:r>
              <w:rPr/>
              <w:t>7</w:t>
            </w:r>
          </w:p>
        </w:tc>
        <w:tc>
          <w:tcPr>
            <w:tcW w:type="dxa" w:w="2492"/>
          </w:tcPr>
          <w:p>
            <w:pPr>
              <w:pStyle w:val="null3"/>
            </w:pPr>
            <w:r>
              <w:rPr/>
              <w:t>技术条款</w:t>
            </w:r>
          </w:p>
        </w:tc>
        <w:tc>
          <w:tcPr>
            <w:tcW w:type="dxa" w:w="3322"/>
          </w:tcPr>
          <w:p>
            <w:pPr>
              <w:pStyle w:val="null3"/>
            </w:pPr>
            <w:r>
              <w:rPr/>
              <w:t>响应内容满足谈判文件要求，无重大偏离、服务内容明确，满足采购人使用需求、谈判文件规定的其他要求</w:t>
            </w:r>
          </w:p>
        </w:tc>
        <w:tc>
          <w:tcPr>
            <w:tcW w:type="dxa" w:w="1661"/>
          </w:tcPr>
          <w:p>
            <w:pPr>
              <w:pStyle w:val="null3"/>
            </w:pPr>
            <w:r>
              <w:rPr/>
              <w:t>服务方案及承诺 规格、技术参数偏离表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详见附件：报价表</w:t>
      </w:r>
    </w:p>
    <w:p>
      <w:pPr>
        <w:pStyle w:val="null3"/>
        <w:ind w:firstLine="960"/>
      </w:pPr>
      <w:r>
        <w:rPr/>
        <w:t>详见附件：服务方案及承诺</w:t>
      </w:r>
    </w:p>
    <w:p>
      <w:pPr>
        <w:pStyle w:val="null3"/>
        <w:ind w:firstLine="960"/>
      </w:pPr>
      <w:r>
        <w:rPr/>
        <w:t>详见附件：规格、技术参数偏离表</w:t>
      </w:r>
    </w:p>
    <w:p>
      <w:pPr>
        <w:pStyle w:val="null3"/>
        <w:ind w:firstLine="960"/>
      </w:pPr>
      <w:r>
        <w:rPr/>
        <w:t>详见附件：商务偏离表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