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版本号：240830001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高水平专业群建设—智慧运营管理综合实训基地项目</w:t>
      </w:r>
    </w:p>
    <w:p>
      <w:pPr>
        <w:pStyle w:val="null3"/>
        <w:jc w:val="center"/>
        <w:outlineLvl w:val="2"/>
      </w:pPr>
      <w:r>
        <w:rPr>
          <w:sz w:val="28"/>
          <w:b/>
        </w:rPr>
        <w:t>采购项目编号：</w:t>
      </w:r>
      <w:r>
        <w:rPr>
          <w:sz w:val="28"/>
          <w:b/>
        </w:rPr>
        <w:t>SZT2024-SN-SC-ZC-HW-0823</w:t>
      </w:r>
      <w:r>
        <w:br/>
      </w:r>
      <w:r>
        <w:br/>
      </w:r>
      <w:r>
        <w:br/>
      </w:r>
    </w:p>
    <w:p>
      <w:pPr>
        <w:pStyle w:val="null3"/>
        <w:jc w:val="center"/>
        <w:outlineLvl w:val="2"/>
      </w:pPr>
      <w:r>
        <w:rPr>
          <w:sz w:val="28"/>
          <w:b/>
        </w:rPr>
        <w:t>陕西机电职业技术学院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2024年08月30日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陕西机电职业技术学院</w:t>
      </w:r>
      <w:r>
        <w:rPr/>
        <w:t>委托，拟对</w:t>
      </w:r>
      <w:r>
        <w:rPr/>
        <w:t>高水平专业群建设—智慧运营管理综合实训基地项目</w:t>
      </w:r>
      <w:r>
        <w:rPr/>
        <w:t>进行国内公开招标，兹邀请符合本次招标要求的供应商参加投标。</w:t>
      </w:r>
    </w:p>
    <w:p>
      <w:pPr>
        <w:pStyle w:val="null3"/>
        <w:outlineLvl w:val="2"/>
      </w:pPr>
      <w:r>
        <w:rPr>
          <w:sz w:val="28"/>
          <w:b/>
        </w:rPr>
        <w:t>一、采购项目编号：</w:t>
      </w:r>
      <w:r>
        <w:rPr>
          <w:sz w:val="28"/>
          <w:b/>
        </w:rPr>
        <w:t>SZT2024-SN-SC-ZC-HW-0823</w:t>
      </w:r>
    </w:p>
    <w:p>
      <w:pPr>
        <w:pStyle w:val="null3"/>
        <w:outlineLvl w:val="2"/>
      </w:pPr>
      <w:r>
        <w:rPr>
          <w:sz w:val="28"/>
          <w:b/>
        </w:rPr>
        <w:t>二、采购项目名称：</w:t>
      </w:r>
      <w:r>
        <w:rPr>
          <w:sz w:val="28"/>
          <w:b/>
        </w:rPr>
        <w:t>高水平专业群建设—智慧运营管理综合实训基地项目</w:t>
      </w:r>
    </w:p>
    <w:p>
      <w:pPr>
        <w:pStyle w:val="null3"/>
        <w:outlineLvl w:val="2"/>
      </w:pPr>
      <w:r>
        <w:rPr>
          <w:sz w:val="28"/>
          <w:b/>
        </w:rPr>
        <w:t>三、招标项目简介</w:t>
      </w:r>
    </w:p>
    <w:p>
      <w:pPr>
        <w:pStyle w:val="null3"/>
        <w:ind w:firstLine="480"/>
      </w:pPr>
      <w:r>
        <w:rPr/>
        <w:t>高水平专业群建设—智慧运营管理综合实训基地</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陕西机电职业技术学院</w:t>
      </w:r>
    </w:p>
    <w:p>
      <w:pPr>
        <w:pStyle w:val="null3"/>
      </w:pPr>
      <w:r>
        <w:rPr/>
        <w:t xml:space="preserve"> 地址： </w:t>
      </w:r>
      <w:r>
        <w:rPr/>
        <w:t>宝鸡市宝福路56号</w:t>
      </w:r>
    </w:p>
    <w:p>
      <w:pPr>
        <w:pStyle w:val="null3"/>
      </w:pPr>
      <w:r>
        <w:rPr/>
        <w:t xml:space="preserve"> 邮编： </w:t>
      </w:r>
      <w:r>
        <w:rPr/>
        <w:t>721000</w:t>
      </w:r>
    </w:p>
    <w:p>
      <w:pPr>
        <w:pStyle w:val="null3"/>
      </w:pPr>
      <w:r>
        <w:rPr/>
        <w:t xml:space="preserve"> 联系人： </w:t>
      </w:r>
      <w:r>
        <w:rPr/>
        <w:t>韩老师</w:t>
      </w:r>
    </w:p>
    <w:p>
      <w:pPr>
        <w:pStyle w:val="null3"/>
      </w:pPr>
      <w:r>
        <w:rPr/>
        <w:t xml:space="preserve"> 联系电话： </w:t>
      </w:r>
      <w:r>
        <w:rPr/>
        <w:t>0917-3633960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 xml:space="preserve"> 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采购代理服务费的收取参照国家计委颁布的《招标代理服务费收费管理暂行办法》（计价格[2002]1980号）中货物的收费标准，按照中标金额差额定率累进法下浮20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陕西机电职业技术学院</w:t>
      </w:r>
      <w:r>
        <w:rPr/>
        <w:t>和</w:t>
      </w:r>
      <w:r>
        <w:rPr/>
        <w:t>陕西中技招标有限公司</w:t>
      </w:r>
      <w:r>
        <w:rPr/>
        <w:t>享有。对招标文件中供应商参加本次政府采购活动应当具备的条件，招标项目技术、服务、商务及其他要求，评标细则及标准由</w:t>
      </w:r>
      <w:r>
        <w:rPr/>
        <w:t>陕西机电职业技术学院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陕西机电职业技术学院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项目按实训功能包含铁路调车作业虚拟仿真实训系统、铁路接发列车仿真实训系统、装配式建筑智能建造综合实训及城轨智能运输综合实训平台四个实训功能模块，以及1个网络机房，同时配套铁道运营管理专业、铁道信号自动控制专业和智能建造技术专业的教学资源。</w:t>
      </w:r>
    </w:p>
    <w:p>
      <w:pPr>
        <w:pStyle w:val="null3"/>
        <w:outlineLvl w:val="2"/>
      </w:pPr>
      <w:r>
        <w:rPr>
          <w:sz w:val="28"/>
          <w:b/>
        </w:rPr>
        <w:t>3.2采购内容</w:t>
      </w:r>
    </w:p>
    <w:p>
      <w:pPr>
        <w:pStyle w:val="null3"/>
      </w:pPr>
      <w:r>
        <w:rPr/>
        <w:t>采购包1：</w:t>
      </w:r>
    </w:p>
    <w:p>
      <w:pPr>
        <w:pStyle w:val="null3"/>
      </w:pPr>
      <w:r>
        <w:rPr/>
        <w:t>采购包预算金额（元）: 1,900,000.00</w:t>
      </w:r>
    </w:p>
    <w:p>
      <w:pPr>
        <w:pStyle w:val="null3"/>
      </w:pPr>
      <w:r>
        <w:rPr/>
        <w:t>采购包最高限价（元）: 1,900,000.00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智慧运营管理综合实训基地项目</w:t>
            </w:r>
          </w:p>
        </w:tc>
        <w:tc>
          <w:tcPr>
            <w:tcW w:type="dxa" w:w="831"/>
          </w:tcPr>
          <w:p>
            <w:pPr>
              <w:pStyle w:val="null3"/>
              <w:jc w:val="right"/>
            </w:pPr>
            <w:r>
              <w:rPr/>
              <w:t>1.00</w:t>
            </w:r>
          </w:p>
        </w:tc>
        <w:tc>
          <w:tcPr>
            <w:tcW w:type="dxa" w:w="831"/>
          </w:tcPr>
          <w:p>
            <w:pPr>
              <w:pStyle w:val="null3"/>
              <w:jc w:val="right"/>
            </w:pPr>
            <w:r>
              <w:rPr/>
              <w:t>1,900,000.00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标的名称：智慧运营管理综合实训基地项目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750"/>
              <w:gridCol w:w="986"/>
              <w:gridCol w:w="420"/>
              <w:gridCol w:w="395"/>
            </w:tblGrid>
            <w:tr>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产品</w:t>
                  </w:r>
                  <w:r>
                    <w:rPr>
                      <w:rFonts w:ascii="calibri" w:hAnsi="calibri" w:cs="calibri" w:eastAsia="calibri"/>
                      <w:sz w:val="20"/>
                      <w:color w:val="000000"/>
                    </w:rPr>
                    <w:t>/</w:t>
                  </w:r>
                  <w:r>
                    <w:rPr>
                      <w:rFonts w:ascii="宋体" w:hAnsi="宋体" w:cs="宋体" w:eastAsia="宋体"/>
                      <w:sz w:val="20"/>
                      <w:color w:val="000000"/>
                    </w:rPr>
                    <w:t>服务名称</w:t>
                  </w:r>
                </w:p>
              </w:tc>
              <w:tc>
                <w:tcPr>
                  <w:tcW w:type="dxa" w:w="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技术规格及功能要求</w:t>
                  </w:r>
                </w:p>
              </w:tc>
              <w:tc>
                <w:tcPr>
                  <w:tcW w:type="dxa" w:w="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数量</w:t>
                  </w:r>
                  <w:r>
                    <w:rPr>
                      <w:rFonts w:ascii="宋体" w:hAnsi="宋体" w:cs="宋体" w:eastAsia="宋体"/>
                      <w:sz w:val="20"/>
                      <w:color w:val="000000"/>
                    </w:rPr>
                    <w:t>(台/套)</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备注</w:t>
                  </w: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铁路调车作业仿真实训系统</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采用三维建模技术、三维交互技术构建出虚拟仿真的调车作业环境，演练人员通过鼠标、键盘可在</w:t>
                  </w:r>
                  <w:r>
                    <w:rPr>
                      <w:rFonts w:ascii="宋体" w:hAnsi="宋体" w:cs="宋体" w:eastAsia="宋体"/>
                      <w:sz w:val="20"/>
                      <w:color w:val="000000"/>
                    </w:rPr>
                    <w:t>3D站场中漫游，实现人机交互，满足对调车长、连结员的培训及考核，能够实现真实站场的平面牵出线作业、取送车作业、编组列车作业、列车摘挂作业的全过程、标准化演练，能够演练无线调车灯显设备试验、联控、要道、还道、牵出、推进、现场检查、扒乘作业、观速观距、手信号显示、过轨作业、扳道作业、一度停车、十五三车确认、徒步领车、对位摘挂车、摘结制动软管、防溜施撤等标准化作业内容。特别是可在没有人身、行车安全风险的前提下，演练现场作业常见的应急处置及非正常作业情况。</w:t>
                  </w:r>
                  <w:r>
                    <w:br/>
                  </w:r>
                  <w:r>
                    <w:rPr>
                      <w:rFonts w:ascii="宋体" w:hAnsi="宋体" w:cs="宋体" w:eastAsia="宋体"/>
                      <w:sz w:val="20"/>
                      <w:color w:val="000000"/>
                    </w:rPr>
                    <w:t>可实现单人单项任务演练，多人协同作业演练，且具有调车作业引导教学和考核评价功能。并附带以下教学课件：</w:t>
                  </w:r>
                  <w:r>
                    <w:br/>
                  </w:r>
                  <w:r>
                    <w:rPr>
                      <w:rFonts w:ascii="宋体" w:hAnsi="宋体" w:cs="宋体" w:eastAsia="宋体"/>
                      <w:sz w:val="20"/>
                      <w:color w:val="000000"/>
                    </w:rPr>
                    <w:t>▲1、调车作业联控标准教学课件：车站调车作业过程，包括学习项目和练习项目两大部分。具体项目有：准备（试机）、单机出行、牵出车列、列车摘挂、推送车列、摘车后牵出单机、专用线取车、专用线送车。</w:t>
                  </w:r>
                  <w:r>
                    <w:rPr>
                      <w:rFonts w:ascii="宋体" w:hAnsi="宋体" w:cs="宋体" w:eastAsia="宋体"/>
                      <w:sz w:val="20"/>
                    </w:rPr>
                    <w:t>投标人需对</w:t>
                  </w:r>
                  <w:r>
                    <w:rPr>
                      <w:rFonts w:ascii="宋体" w:hAnsi="宋体" w:cs="宋体" w:eastAsia="宋体"/>
                      <w:sz w:val="20"/>
                    </w:rPr>
                    <w:t>准备（试机）、单机出行、牵出车列、列车摘挂、推送车列、摘车后牵出单机、专用线取车、专用线送车</w:t>
                  </w:r>
                  <w:r>
                    <w:rPr>
                      <w:rFonts w:ascii="宋体" w:hAnsi="宋体" w:cs="宋体" w:eastAsia="宋体"/>
                      <w:sz w:val="20"/>
                    </w:rPr>
                    <w:t>相关功能在投标文件中提供相关软件截图证明</w:t>
                  </w:r>
                  <w:r>
                    <w:rPr>
                      <w:rFonts w:ascii="宋体" w:hAnsi="宋体" w:cs="宋体" w:eastAsia="宋体"/>
                      <w:sz w:val="20"/>
                    </w:rPr>
                    <w:t>。</w:t>
                  </w:r>
                </w:p>
                <w:p>
                  <w:pPr>
                    <w:pStyle w:val="null3"/>
                    <w:jc w:val="left"/>
                  </w:pPr>
                  <w:r>
                    <w:rPr>
                      <w:rFonts w:ascii="宋体" w:hAnsi="宋体" w:cs="宋体" w:eastAsia="宋体"/>
                      <w:sz w:val="20"/>
                      <w:color w:val="000000"/>
                    </w:rPr>
                    <w:t xml:space="preserve">2、调车作业人身安全标准教学课件：行车作业人身安全通用标准、调车作业人身安全标准                                  </w:t>
                  </w:r>
                  <w:r>
                    <w:rPr>
                      <w:rFonts w:ascii="calibri" w:hAnsi="calibri" w:cs="calibri" w:eastAsia="calibri"/>
                      <w:sz w:val="21"/>
                    </w:rPr>
                    <w:t xml:space="preserve">                                                                                                                                     </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铁路接发列车仿真实训系统</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按照</w:t>
                  </w:r>
                  <w:r>
                    <w:rPr>
                      <w:rFonts w:ascii="宋体" w:hAnsi="宋体" w:cs="宋体" w:eastAsia="宋体"/>
                      <w:sz w:val="21"/>
                      <w:color w:val="000000"/>
                    </w:rPr>
                    <w:t>3站2区间的模式进行设置，涵盖教员管理模块、学员实训辅助模块以及多种制式的联锁、TDCS、CTC仿真模块，可进行基本功能按钮的使用教学、事故案例回放以及标准接发列车、应急处置作业的演练和考评。信息化管理平台可对理论和实操知识点进行管理，能够自动生成摸底试卷，根据学员摸底情况和遗忘曲线原理自动生成培训计划，并跟踪学员知识点掌握以及培训计划完成情况。</w:t>
                  </w:r>
                  <w:r>
                    <w:br/>
                  </w:r>
                  <w:r>
                    <w:rPr>
                      <w:rFonts w:ascii="宋体" w:hAnsi="宋体" w:cs="宋体" w:eastAsia="宋体"/>
                      <w:sz w:val="21"/>
                      <w:color w:val="000000"/>
                    </w:rPr>
                    <w:t>▲对仿真DS6-K5B、ILOCK、EI32-JD、TYJL-TR9、TYJL-ADX 、6502计算机仿真联锁软件在投标文件中进行截图，每种联锁软件能实现排列进路和调车作业。</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城轨智能运输综合实训平台（核心产品）</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城轨智能运输综合实训平台以《城市轨道交通服务员国家职业技能标准》、《轨道交通信号工国家职业技能标准》、《城市轨道交通行车调度员技能和素质要求第</w:t>
                  </w:r>
                  <w:r>
                    <w:rPr>
                      <w:rFonts w:ascii="宋体" w:hAnsi="宋体" w:cs="宋体" w:eastAsia="宋体"/>
                      <w:sz w:val="21"/>
                      <w:color w:val="000000"/>
                    </w:rPr>
                    <w:t>1部分：地铁、轻轨和单轨》等标准为设计依据，并结合城市轨道交通运营管理、城市轨道交通通信信号技术专业的主要实训内容进行设计。</w:t>
                  </w:r>
                  <w:r>
                    <w:br/>
                  </w:r>
                  <w:r>
                    <w:rPr>
                      <w:rFonts w:ascii="宋体" w:hAnsi="宋体" w:cs="宋体" w:eastAsia="宋体"/>
                      <w:sz w:val="21"/>
                      <w:color w:val="000000"/>
                    </w:rPr>
                    <w:t>▲以高职组赛项《城市智能运输赛项规程》和样题为要求进行设计，满足赛项要求</w:t>
                  </w:r>
                  <w:r>
                    <w:rPr>
                      <w:rFonts w:ascii="宋体" w:hAnsi="宋体" w:cs="宋体" w:eastAsia="宋体"/>
                      <w:sz w:val="21"/>
                    </w:rPr>
                    <w:t>，并提供相关证明材料。</w:t>
                  </w:r>
                </w:p>
                <w:p>
                  <w:pPr>
                    <w:pStyle w:val="null3"/>
                    <w:jc w:val="both"/>
                  </w:pPr>
                  <w:r>
                    <w:rPr>
                      <w:rFonts w:ascii="宋体" w:hAnsi="宋体" w:cs="宋体" w:eastAsia="宋体"/>
                      <w:sz w:val="21"/>
                      <w:color w:val="000000"/>
                    </w:rPr>
                    <w:t>平台由模块</w:t>
                  </w:r>
                  <w:r>
                    <w:rPr>
                      <w:rFonts w:ascii="宋体" w:hAnsi="宋体" w:cs="宋体" w:eastAsia="宋体"/>
                      <w:sz w:val="21"/>
                      <w:color w:val="000000"/>
                    </w:rPr>
                    <w:t>A智慧城轨运营、模块B智慧城轨信号两部分组成。采用三维建模技术、语音识别技术、虚拟机器人技术以及任务情景显示等先进技术。</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满足城轨智能运输赛项省赛</w:t>
                  </w:r>
                  <w:r>
                    <w:rPr>
                      <w:rFonts w:ascii="宋体" w:hAnsi="宋体" w:cs="宋体" w:eastAsia="宋体"/>
                      <w:sz w:val="20"/>
                      <w:color w:val="000000"/>
                    </w:rPr>
                    <w:t>+国赛</w:t>
                  </w: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教师端管理系统</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系统由教员系统组织训练，并对训练过程进行监控。教员控制计算机通过网络系统与各学员终端相连。教员能够通过教员控制台完成对系统的维护、用户管理、成绩评判、成绩管理、任务设置、编制考核任务、通知学员考试等功能。</w:t>
                  </w:r>
                  <w:r>
                    <w:br/>
                  </w:r>
                  <w:r>
                    <w:rPr>
                      <w:rFonts w:ascii="宋体" w:hAnsi="宋体" w:cs="宋体" w:eastAsia="宋体"/>
                      <w:sz w:val="21"/>
                      <w:color w:val="000000"/>
                    </w:rPr>
                    <w:t>▲为确保系统可靠稳定运行，满足教学实训需求，系统需具备控制所有学员端、学员管理、成绩查询等相关功能。</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电源管理系统</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可以对所有学员终端主机进行批量开机、关机、重启和设定延迟开机功能，也可以选择不同的学员，按照设定好的顺序，对学员主机进行开机、关机、重启和设定延迟开机功能。</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数据统计分析系统</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▲系统能够对学员的各种作业数据、成绩结果进行统计与分析，包括基础信息统计以及职业能力评估数据统计分析两部分。数据分析实现对演练及考核的多种数据多维度进行分析显示，通过数据分析指导教学。</w:t>
                  </w:r>
                </w:p>
                <w:p>
                  <w:pPr>
                    <w:pStyle w:val="null3"/>
                    <w:jc w:val="both"/>
                  </w:pPr>
                  <w:r>
                    <w:rPr>
                      <w:rFonts w:ascii="宋体" w:hAnsi="宋体" w:cs="宋体" w:eastAsia="宋体"/>
                      <w:sz w:val="21"/>
                    </w:rPr>
                    <w:t>▲数据统计分析系统可将训练数据（个人成绩、班级成绩、某一特定任务成绩）进行分类统计，形成走势图，</w:t>
                  </w:r>
                  <w:r>
                    <w:rPr>
                      <w:rFonts w:ascii="宋体" w:hAnsi="宋体" w:cs="宋体" w:eastAsia="宋体"/>
                      <w:sz w:val="21"/>
                    </w:rPr>
                    <w:t>教师根据分析结果有</w:t>
                  </w:r>
                  <w:r>
                    <w:rPr>
                      <w:rFonts w:ascii="宋体" w:hAnsi="宋体" w:cs="宋体" w:eastAsia="宋体"/>
                      <w:sz w:val="21"/>
                    </w:rPr>
                    <w:t>针对性的为学员提供系统有效的培训课程。</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学员工作站</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Intel酷睿I7 12代以上、6G独立显卡（GTX1060）/内存≥16G、DDR3 / ≥250G固态。显示器1台，≥24英寸液晶显示器，分辨率≥1920*1080。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48</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学员桌椅</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定制电脑桌椅，采用优质冷轧钢板，表面经酸洗、磷化、防腐、防锈处理后静电喷涂，采用环保静电喷粉工艺；学员椅：皮质靠背椅。</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48</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教学大屏显示系统</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2*3共6块47英寸液晶拼接屏、控制矩阵、线缆、支架，每个拼接屏分辨率3480*2160，对比度≥4500:1，亮度：≥500cd/m2，可视角水平178</w:t>
                  </w:r>
                  <w:r>
                    <w:rPr>
                      <w:rFonts w:ascii="宋体" w:hAnsi="宋体" w:cs="宋体" w:eastAsia="宋体"/>
                      <w:sz w:val="21"/>
                      <w:color w:val="FF0000"/>
                    </w:rPr>
                    <w:t>°</w:t>
                  </w:r>
                  <w:r>
                    <w:rPr>
                      <w:rFonts w:ascii="宋体" w:hAnsi="宋体" w:cs="宋体" w:eastAsia="宋体"/>
                      <w:sz w:val="21"/>
                      <w:color w:val="000000"/>
                    </w:rPr>
                    <w:t>，垂直</w:t>
                  </w:r>
                  <w:r>
                    <w:rPr>
                      <w:rFonts w:ascii="宋体" w:hAnsi="宋体" w:cs="宋体" w:eastAsia="宋体"/>
                      <w:sz w:val="21"/>
                      <w:color w:val="000000"/>
                    </w:rPr>
                    <w:t>178°。配套大屏控制终端。</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教员终端</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Intel酷睿I7 12代以上、6G独立显卡（GTX1060）/内存≥16G、DDR3 / ≥250G固态。显示器1台，≥24英寸液晶显示器，分辨率≥1920*1080。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教师桌椅</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定制设备，成套设备，桌子长度：约</w:t>
                  </w:r>
                  <w:r>
                    <w:rPr>
                      <w:rFonts w:ascii="宋体" w:hAnsi="宋体" w:cs="宋体" w:eastAsia="宋体"/>
                      <w:sz w:val="21"/>
                      <w:color w:val="000000"/>
                    </w:rPr>
                    <w:t>1.6米，携带抽屉或储物柜；教师椅：皮质靠背椅。</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数据库服务器</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CPU：I5,4G内存，120G固态硬盘。</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机柜</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32U服务器机柜</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配套教学用多媒体</w:t>
                  </w:r>
                </w:p>
              </w:tc>
              <w:tc>
                <w:tcPr>
                  <w:tcW w:type="dxa" w:w="9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接发车作业标准：双线自动闭塞电气集中联锁（设信号员）接发列车作业标准全过程、双线自动闭塞电气集中联锁（无信号员）接发列车作业标准全过程、单双线半自动闭塞集中联锁（设信号员）接发列车作业标准全过程、单双线半自动闭塞电气集中联锁（无信号员）接发列车作业标准全过程、单双线半自动闭塞色灯电锁器联锁接发列车作业标准全过程、单线电话闭塞无联锁接发列车</w:t>
                  </w:r>
                  <w:r>
                    <w:rPr>
                      <w:rFonts w:ascii="宋体" w:hAnsi="宋体" w:cs="宋体" w:eastAsia="宋体"/>
                      <w:sz w:val="22"/>
                      <w:color w:val="000000"/>
                    </w:rPr>
                    <w:t>作业标准全过程、单线自动站间闭塞集中联锁接发列车作业标准全过程、单线自动站间闭塞集中联锁接发列车作业标准全过程；车站接发车作业人身安全标准：行车作业人身安全通用标准、接发列车作业人身安全标准；</w:t>
                  </w:r>
                  <w:r>
                    <w:br/>
                  </w:r>
                  <w:r>
                    <w:rPr>
                      <w:rFonts w:ascii="宋体" w:hAnsi="宋体" w:cs="宋体" w:eastAsia="宋体"/>
                      <w:sz w:val="22"/>
                      <w:color w:val="000000"/>
                    </w:rPr>
                    <w:t>道岔十大病害：对车站道岔十大病害现象、危害及防范措施进行详细的说明等；</w:t>
                  </w:r>
                  <w:r>
                    <w:br/>
                  </w:r>
                  <w:r>
                    <w:rPr>
                      <w:rFonts w:ascii="宋体" w:hAnsi="宋体" w:cs="宋体" w:eastAsia="宋体"/>
                      <w:sz w:val="22"/>
                      <w:color w:val="000000"/>
                    </w:rPr>
                    <w:t>非正常情况接发列车作业标准：</w:t>
                  </w:r>
                  <w:r>
                    <w:rPr>
                      <w:rFonts w:ascii="宋体" w:hAnsi="宋体" w:cs="宋体" w:eastAsia="宋体"/>
                      <w:sz w:val="22"/>
                      <w:color w:val="000000"/>
                    </w:rPr>
                    <w:t>1种非正常情况接发车作业标准全过程动画模拟、演练等。包括以下：01自动闭塞区段电气集中车站出站信号机故障-发车、02半自动闭塞区段电气集中车站出站信号机故障-发车、03电话中断发车、04电话中断接车、05双线自动闭塞区段继电联锁设备车站（设信号员）双线反方向引导手信号接车、06双线自动闭塞区段继电联锁设备车站（设信号员）站内临时停电引导手信号接车、07双线自动闭塞区段继电联锁设备车站（设信号员）进站（进路）信号机故障引导进路接车、08双线自动闭塞区段继电联锁设备车站（设信号员）进站（进路）信号机临时关闭引导进路接车、09站内无空闲线路接车；</w:t>
                  </w:r>
                  <w:r>
                    <w:br/>
                  </w:r>
                  <w:r>
                    <w:rPr>
                      <w:rFonts w:ascii="宋体" w:hAnsi="宋体" w:cs="宋体" w:eastAsia="宋体"/>
                      <w:sz w:val="22"/>
                      <w:color w:val="000000"/>
                    </w:rPr>
                    <w:t>调车作业联控标准：车站调车作业过程；调车作业人身安全标准：行车作业人身安全通用标准、调车作业人身安全标准；</w:t>
                  </w:r>
                  <w:r>
                    <w:br/>
                  </w:r>
                  <w:r>
                    <w:rPr>
                      <w:rFonts w:ascii="宋体" w:hAnsi="宋体" w:cs="宋体" w:eastAsia="宋体"/>
                      <w:sz w:val="22"/>
                      <w:color w:val="000000"/>
                    </w:rPr>
                    <w:t>铁道运输、车务系统典型事故案例汇编：发生在全路各局有关供电系统责任的重大事故、人身伤亡等案例汇编，用多媒体三维动画虚拟现实技术再现历史，模拟事故发生经过、原因分析、防范措施等。</w:t>
                  </w:r>
                  <w:r>
                    <w:br/>
                  </w:r>
                  <w:r>
                    <w:rPr>
                      <w:rFonts w:ascii="宋体" w:hAnsi="宋体" w:cs="宋体" w:eastAsia="宋体"/>
                      <w:sz w:val="22"/>
                      <w:color w:val="000000"/>
                    </w:rPr>
                    <w:t>▲投标人需在投标文件中提供满足接发车作业标准、道岔十大病害、非正常情况接发列车作业标准、调车作业联控标准的</w:t>
                  </w:r>
                  <w:r>
                    <w:rPr>
                      <w:rFonts w:ascii="宋体" w:hAnsi="宋体" w:cs="宋体" w:eastAsia="宋体"/>
                      <w:sz w:val="22"/>
                      <w:color w:val="000000"/>
                    </w:rPr>
                    <w:t>截图</w:t>
                  </w:r>
                  <w:r>
                    <w:rPr>
                      <w:rFonts w:ascii="宋体" w:hAnsi="宋体" w:cs="宋体" w:eastAsia="宋体"/>
                      <w:sz w:val="22"/>
                      <w:color w:val="000000"/>
                    </w:rPr>
                    <w:t>。</w:t>
                  </w:r>
                </w:p>
              </w:tc>
              <w:tc>
                <w:tcPr>
                  <w:tcW w:type="dxa" w:w="4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vMerge/>
                  <w:tcBorders>
                    <w:top w:val="none" w:color="000000" w:sz="4"/>
                    <w:left w:val="single" w:color="000000" w:sz="4"/>
                    <w:bottom w:val="single" w:color="000000" w:sz="4"/>
                    <w:right w:val="single" w:color="000000" w:sz="4"/>
                  </w:tcBorders>
                </w:tcPr>
                <w:p/>
              </w:tc>
              <w:tc>
                <w:tcPr>
                  <w:tcW w:type="dxa" w:w="986"/>
                  <w:vMerge/>
                  <w:tcBorders>
                    <w:top w:val="none" w:color="000000" w:sz="4"/>
                    <w:left w:val="none" w:color="000000" w:sz="4"/>
                    <w:bottom w:val="single" w:color="000000" w:sz="4"/>
                    <w:right w:val="single" w:color="000000" w:sz="4"/>
                  </w:tcBorders>
                </w:tcPr>
                <w:p/>
              </w:tc>
              <w:tc>
                <w:tcPr>
                  <w:tcW w:type="dxa" w:w="420"/>
                  <w:vMerge/>
                  <w:tcBorders>
                    <w:top w:val="none" w:color="000000" w:sz="4"/>
                    <w:left w:val="non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r>
            <w:tr>
              <w:tc>
                <w:tcPr>
                  <w:tcW w:type="dxa" w:w="750"/>
                  <w:vMerge/>
                  <w:tcBorders>
                    <w:top w:val="none" w:color="000000" w:sz="4"/>
                    <w:left w:val="single" w:color="000000" w:sz="4"/>
                    <w:bottom w:val="single" w:color="000000" w:sz="4"/>
                    <w:right w:val="single" w:color="000000" w:sz="4"/>
                  </w:tcBorders>
                </w:tcPr>
                <w:p/>
              </w:tc>
              <w:tc>
                <w:tcPr>
                  <w:tcW w:type="dxa" w:w="986"/>
                  <w:vMerge/>
                  <w:tcBorders>
                    <w:top w:val="none" w:color="000000" w:sz="4"/>
                    <w:left w:val="none" w:color="000000" w:sz="4"/>
                    <w:bottom w:val="single" w:color="000000" w:sz="4"/>
                    <w:right w:val="single" w:color="000000" w:sz="4"/>
                  </w:tcBorders>
                </w:tcPr>
                <w:p/>
              </w:tc>
              <w:tc>
                <w:tcPr>
                  <w:tcW w:type="dxa" w:w="420"/>
                  <w:vMerge/>
                  <w:tcBorders>
                    <w:top w:val="none" w:color="000000" w:sz="4"/>
                    <w:left w:val="non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实训室装修</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实训室装修，中央空调</w:t>
                  </w:r>
                  <w:r>
                    <w:br/>
                  </w:r>
                  <w:r>
                    <w:rPr>
                      <w:rFonts w:ascii="宋体" w:hAnsi="宋体" w:cs="宋体" w:eastAsia="宋体"/>
                      <w:sz w:val="21"/>
                      <w:color w:val="000000"/>
                    </w:rPr>
                    <w:t>空调制冷量：</w:t>
                  </w:r>
                  <w:r>
                    <w:rPr>
                      <w:rFonts w:ascii="宋体" w:hAnsi="宋体" w:cs="宋体" w:eastAsia="宋体"/>
                      <w:sz w:val="21"/>
                      <w:color w:val="000000"/>
                    </w:rPr>
                    <w:t>≥10000W</w:t>
                  </w:r>
                  <w:r>
                    <w:br/>
                  </w:r>
                  <w:r>
                    <w:rPr>
                      <w:rFonts w:ascii="宋体" w:hAnsi="宋体" w:cs="宋体" w:eastAsia="宋体"/>
                      <w:sz w:val="21"/>
                      <w:color w:val="000000"/>
                    </w:rPr>
                    <w:t>空调制热量：</w:t>
                  </w:r>
                  <w:r>
                    <w:rPr>
                      <w:rFonts w:ascii="宋体" w:hAnsi="宋体" w:cs="宋体" w:eastAsia="宋体"/>
                      <w:sz w:val="21"/>
                      <w:color w:val="000000"/>
                    </w:rPr>
                    <w:t>≥10000W</w:t>
                  </w:r>
                  <w:r>
                    <w:br/>
                  </w:r>
                  <w:r>
                    <w:rPr>
                      <w:rFonts w:ascii="宋体" w:hAnsi="宋体" w:cs="宋体" w:eastAsia="宋体"/>
                      <w:sz w:val="21"/>
                      <w:color w:val="000000"/>
                    </w:rPr>
                    <w:t>实训室面积：</w:t>
                  </w:r>
                  <w:r>
                    <w:rPr>
                      <w:rFonts w:ascii="宋体" w:hAnsi="宋体" w:cs="宋体" w:eastAsia="宋体"/>
                      <w:sz w:val="21"/>
                      <w:color w:val="000000"/>
                    </w:rPr>
                    <w:t>120m</w:t>
                  </w:r>
                  <w:r>
                    <w:rPr>
                      <w:rFonts w:ascii="宋体" w:hAnsi="宋体" w:cs="宋体" w:eastAsia="宋体"/>
                      <w:sz w:val="22"/>
                      <w:color w:val="000000"/>
                      <w:vertAlign w:val="superscript"/>
                    </w:rPr>
                    <w:t>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网络布线及施工</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交换机、网线、水晶头等设备</w:t>
                  </w:r>
                  <w:r>
                    <w:rPr>
                      <w:rFonts w:ascii="宋体" w:hAnsi="宋体" w:cs="宋体" w:eastAsia="宋体"/>
                      <w:sz w:val="21"/>
                      <w:color w:val="000000"/>
                    </w:rPr>
                    <w:t>, 网线种类: 六类双绞线</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装配式实操设备</w:t>
                  </w:r>
                </w:p>
              </w:tc>
              <w:tc>
                <w:tcPr>
                  <w:tcW w:type="dxa" w:w="9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 xml:space="preserve">1.筏板底座；尺寸：不小于4590mm×2980mm×60mm; </w:t>
                  </w:r>
                  <w:r>
                    <w:br/>
                  </w:r>
                  <w:r>
                    <w:rPr>
                      <w:rFonts w:ascii="宋体" w:hAnsi="宋体" w:cs="宋体" w:eastAsia="宋体"/>
                      <w:sz w:val="21"/>
                      <w:color w:val="000000"/>
                    </w:rPr>
                    <w:t xml:space="preserve">2.预制剪力墙外墙板:  1）预制剪力墙墙板设计符合国家装配式标准图集要求，底部预留灌浆套筒，预埋吊钉，预留斜支撑螺母、模板通孔，关键节点喷绘标记，剪力墙组合可用于“L型”、“T型”节点现浇连接训练;2）材质为轻质材料制作；YWQ2:尺寸不小于2580*1250*290mm； </w:t>
                  </w:r>
                  <w:r>
                    <w:br/>
                  </w:r>
                  <w:r>
                    <w:rPr>
                      <w:rFonts w:ascii="宋体" w:hAnsi="宋体" w:cs="宋体" w:eastAsia="宋体"/>
                      <w:sz w:val="21"/>
                      <w:color w:val="000000"/>
                    </w:rPr>
                    <w:t>3.预制剪力墙内墙板;1)预制剪力墙墙板设计符合国家装配式标准图集要求，底部预留灌浆套筒，预埋吊钉，预留斜支撑螺母、模板通孔，关键节点喷绘标记;2)材质为轻质材料制作。YNQ1：尺寸不小于1000*1250*200mm；</w:t>
                  </w:r>
                  <w:r>
                    <w:br/>
                  </w:r>
                  <w:r>
                    <w:rPr>
                      <w:rFonts w:ascii="宋体" w:hAnsi="宋体" w:cs="宋体" w:eastAsia="宋体"/>
                      <w:sz w:val="21"/>
                      <w:color w:val="000000"/>
                    </w:rPr>
                    <w:t>4.预制叠合板,1)叠合楼板设计符合国家装配式标准图集要求，预埋吊点附加筋，关键节点喷绘标记;2)材质为钢制材料。尺寸不小于2420*1110*60mm;</w:t>
                  </w:r>
                  <w:r>
                    <w:br/>
                  </w:r>
                  <w:r>
                    <w:rPr>
                      <w:rFonts w:ascii="宋体" w:hAnsi="宋体" w:cs="宋体" w:eastAsia="宋体"/>
                      <w:sz w:val="21"/>
                      <w:color w:val="000000"/>
                    </w:rPr>
                    <w:t>5.后浇段配件,由金属面板（一字形1套、L形2套，丁字形1套）、面板支架（一字形1套、L形2套，丁字形1套）、对拉螺杆18对，配筋（φ16钢筋56根、φ6箍筋54根）1套、保护层卡20个、垫片10个等组成。面板采用金属材料制作，尺寸以设计图纸为准；面板支架采用钢制，L型尺寸以设计图纸为准，一字型尺寸以设计图纸为准。保护层卡为塑料卡，不容易发生位移，支撑钢筋稳定，不容易脱落。垫片要求耐磨平整，高效抗压;</w:t>
                  </w:r>
                  <w:r>
                    <w:br/>
                  </w:r>
                  <w:r>
                    <w:rPr>
                      <w:rFonts w:ascii="宋体" w:hAnsi="宋体" w:cs="宋体" w:eastAsia="宋体"/>
                      <w:sz w:val="21"/>
                      <w:color w:val="000000"/>
                    </w:rPr>
                    <w:t>6.斜支撑、独立支撑、墙板存放架、其他配套设备及劳保用品7.龙门吊1台；1）要求高度≥3.5米，起吊高度≥2.5米，跨度≥4.5米；2）起重量≥1吨，采用电动控制装置；3）轨道长度不小于14m；4）龙门吊整机总功率≥1.5kW，配电 220V;8.配套装配式算量产品。</w:t>
                  </w:r>
                  <w:r>
                    <w:br/>
                  </w:r>
                  <w:r>
                    <w:rPr>
                      <w:rFonts w:ascii="宋体" w:hAnsi="宋体" w:cs="宋体" w:eastAsia="宋体"/>
                      <w:sz w:val="21"/>
                      <w:color w:val="000000"/>
                    </w:rPr>
                    <w:t>▲</w:t>
                  </w:r>
                  <w:r>
                    <w:rPr>
                      <w:rFonts w:ascii="宋体" w:hAnsi="宋体" w:cs="宋体" w:eastAsia="宋体"/>
                      <w:sz w:val="22"/>
                      <w:color w:val="000000"/>
                    </w:rPr>
                    <w:t>系统需按照全国职业院校技能大赛装配式建筑智能建造赛项的技术要求进行功能开发，满足教学实训、技能竞赛的功能要求</w:t>
                  </w:r>
                  <w:r>
                    <w:rPr>
                      <w:rFonts w:ascii="宋体" w:hAnsi="宋体" w:cs="宋体" w:eastAsia="宋体"/>
                      <w:sz w:val="22"/>
                      <w:color w:val="000000"/>
                    </w:rPr>
                    <w:t>。</w:t>
                  </w:r>
                </w:p>
              </w:tc>
              <w:tc>
                <w:tcPr>
                  <w:tcW w:type="dxa" w:w="4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1套</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（满足装配式建筑智能建造赛项省赛</w:t>
                  </w:r>
                  <w:r>
                    <w:rPr>
                      <w:rFonts w:ascii="宋体" w:hAnsi="宋体" w:cs="宋体" w:eastAsia="宋体"/>
                      <w:sz w:val="22"/>
                      <w:color w:val="000000"/>
                    </w:rPr>
                    <w:t>+国赛）</w:t>
                  </w:r>
                </w:p>
              </w:tc>
            </w:tr>
            <w:tr>
              <w:tc>
                <w:tcPr>
                  <w:tcW w:type="dxa" w:w="750"/>
                  <w:vMerge/>
                  <w:tcBorders>
                    <w:top w:val="none" w:color="000000" w:sz="4"/>
                    <w:left w:val="single" w:color="000000" w:sz="4"/>
                    <w:bottom w:val="single" w:color="000000" w:sz="4"/>
                    <w:right w:val="single" w:color="000000" w:sz="4"/>
                  </w:tcBorders>
                </w:tcPr>
                <w:p/>
              </w:tc>
              <w:tc>
                <w:tcPr>
                  <w:tcW w:type="dxa" w:w="986"/>
                  <w:vMerge/>
                  <w:tcBorders>
                    <w:top w:val="none" w:color="000000" w:sz="4"/>
                    <w:left w:val="none" w:color="000000" w:sz="4"/>
                    <w:bottom w:val="single" w:color="000000" w:sz="4"/>
                    <w:right w:val="single" w:color="000000" w:sz="4"/>
                  </w:tcBorders>
                </w:tcPr>
                <w:p/>
              </w:tc>
              <w:tc>
                <w:tcPr>
                  <w:tcW w:type="dxa" w:w="420"/>
                  <w:vMerge/>
                  <w:tcBorders>
                    <w:top w:val="none" w:color="000000" w:sz="4"/>
                    <w:left w:val="non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r>
            <w:tr>
              <w:tc>
                <w:tcPr>
                  <w:tcW w:type="dxa" w:w="7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装配式建</w:t>
                  </w:r>
                  <w:r>
                    <w:br/>
                  </w:r>
                  <w:r>
                    <w:rPr>
                      <w:rFonts w:ascii="宋体" w:hAnsi="宋体" w:cs="宋体" w:eastAsia="宋体"/>
                      <w:sz w:val="20"/>
                      <w:color w:val="000000"/>
                    </w:rPr>
                    <w:t>筑深化设</w:t>
                  </w:r>
                  <w:r>
                    <w:br/>
                  </w:r>
                  <w:r>
                    <w:rPr>
                      <w:rFonts w:ascii="宋体" w:hAnsi="宋体" w:cs="宋体" w:eastAsia="宋体"/>
                      <w:sz w:val="20"/>
                      <w:color w:val="000000"/>
                    </w:rPr>
                    <w:t>计软件</w:t>
                  </w:r>
                </w:p>
              </w:tc>
              <w:tc>
                <w:tcPr>
                  <w:tcW w:type="dxa" w:w="9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1.提供相配套的教材、软件教学视频；</w:t>
                  </w:r>
                  <w:r>
                    <w:br/>
                  </w:r>
                  <w:r>
                    <w:rPr>
                      <w:rFonts w:ascii="宋体" w:hAnsi="宋体" w:cs="宋体" w:eastAsia="宋体"/>
                      <w:sz w:val="22"/>
                      <w:color w:val="000000"/>
                    </w:rPr>
                    <w:t>2.提供与 CAD 软件图纸对接的端口， BIM 软件和算量软件提供标准的 IFC 接口和指定的数据端口；</w:t>
                  </w:r>
                  <w:r>
                    <w:br/>
                  </w:r>
                  <w:r>
                    <w:rPr>
                      <w:rFonts w:ascii="宋体" w:hAnsi="宋体" w:cs="宋体" w:eastAsia="宋体"/>
                      <w:sz w:val="22"/>
                      <w:color w:val="000000"/>
                    </w:rPr>
                    <w:t>3.具有直接在软件中创建平面图及 3D 模型的功能，可以创建多种类型的构件；</w:t>
                  </w:r>
                  <w:r>
                    <w:br/>
                  </w:r>
                  <w:r>
                    <w:rPr>
                      <w:rFonts w:ascii="宋体" w:hAnsi="宋体" w:cs="宋体" w:eastAsia="宋体"/>
                      <w:sz w:val="22"/>
                      <w:color w:val="000000"/>
                    </w:rPr>
                    <w:t>4.满足对混凝土预制构件（柱、梁、板、墙、楼梯、阳台板）的深化设计具备一键出图功能，且图纸中至少应含模板图、配筋图、必要剖面图、三维图及明细表。明细表至少包含构件尺寸表、钢筋下料表、预埋件统计表；</w:t>
                  </w:r>
                  <w:r>
                    <w:br/>
                  </w:r>
                  <w:r>
                    <w:rPr>
                      <w:rFonts w:ascii="宋体" w:hAnsi="宋体" w:cs="宋体" w:eastAsia="宋体"/>
                      <w:sz w:val="22"/>
                      <w:color w:val="000000"/>
                    </w:rPr>
                    <w:t xml:space="preserve">5.具有对混凝土预制构件（柱、梁、板、墙、楼梯、阳台板）的深化设计具备可自定义出图的功能。即在出图过程中可设置图纸布局，支持设置图纸图框、图纸比例、图纸显示字体、图纸名称的前缀并能控制图纸所包含信息的有无、信息的位置、显示的大小等； </w:t>
                  </w:r>
                  <w:r>
                    <w:br/>
                  </w:r>
                  <w:r>
                    <w:rPr>
                      <w:rFonts w:ascii="宋体" w:hAnsi="宋体" w:cs="宋体" w:eastAsia="宋体"/>
                      <w:sz w:val="22"/>
                      <w:color w:val="000000"/>
                    </w:rPr>
                    <w:t>6.在软件中可实现对构件模型创建渲染图、动画并导出保存；</w:t>
                  </w:r>
                  <w:r>
                    <w:br/>
                  </w:r>
                  <w:r>
                    <w:rPr>
                      <w:rFonts w:ascii="宋体" w:hAnsi="宋体" w:cs="宋体" w:eastAsia="宋体"/>
                      <w:sz w:val="22"/>
                      <w:color w:val="000000"/>
                    </w:rPr>
                    <w:t>7.拥有钢筋和钢筋网片的定义以及布置方式；</w:t>
                  </w:r>
                  <w:r>
                    <w:br/>
                  </w:r>
                  <w:r>
                    <w:rPr>
                      <w:rFonts w:ascii="宋体" w:hAnsi="宋体" w:cs="宋体" w:eastAsia="宋体"/>
                      <w:sz w:val="22"/>
                      <w:color w:val="000000"/>
                    </w:rPr>
                    <w:t>8.具有物料统计功能，可自定义修改或创建构件、钢筋、预埋件等统计清单；</w:t>
                  </w:r>
                  <w:r>
                    <w:br/>
                  </w:r>
                  <w:r>
                    <w:rPr>
                      <w:rFonts w:ascii="宋体" w:hAnsi="宋体" w:cs="宋体" w:eastAsia="宋体"/>
                      <w:sz w:val="22"/>
                      <w:color w:val="000000"/>
                    </w:rPr>
                    <w:t xml:space="preserve">9.物料清单可直接导出（导出的文件支持 word、excel、pdf 等格式）； </w:t>
                  </w:r>
                  <w:r>
                    <w:br/>
                  </w:r>
                  <w:r>
                    <w:rPr>
                      <w:rFonts w:ascii="宋体" w:hAnsi="宋体" w:cs="宋体" w:eastAsia="宋体"/>
                      <w:sz w:val="22"/>
                      <w:color w:val="000000"/>
                    </w:rPr>
                    <w:t>10.要求可直接引进其他软件的 IFC 模型；</w:t>
                  </w:r>
                  <w:r>
                    <w:br/>
                  </w:r>
                  <w:r>
                    <w:rPr>
                      <w:rFonts w:ascii="宋体" w:hAnsi="宋体" w:cs="宋体" w:eastAsia="宋体"/>
                      <w:sz w:val="22"/>
                      <w:color w:val="000000"/>
                    </w:rPr>
                    <w:t>11.提供以下输入、输出接口：AutoCAD、MicroStation、PDF、IFC、Sketchup 等；</w:t>
                  </w:r>
                  <w:r>
                    <w:br/>
                  </w:r>
                  <w:r>
                    <w:rPr>
                      <w:rFonts w:ascii="宋体" w:hAnsi="宋体" w:cs="宋体" w:eastAsia="宋体"/>
                      <w:sz w:val="22"/>
                      <w:color w:val="000000"/>
                    </w:rPr>
                    <w:t xml:space="preserve">12.需至少支持 3 种一般钢筋筛选方式（钢筋等级、钢筋直径、钢筋标记号等），支持 2 种桁架钢筋筛选方式； </w:t>
                  </w:r>
                  <w:r>
                    <w:br/>
                  </w:r>
                  <w:r>
                    <w:rPr>
                      <w:rFonts w:ascii="宋体" w:hAnsi="宋体" w:cs="宋体" w:eastAsia="宋体"/>
                      <w:sz w:val="22"/>
                      <w:color w:val="000000"/>
                    </w:rPr>
                    <w:t xml:space="preserve">13.可通过编程语言根据软件提供的 API 创建 3D 智能构件实现高效率建模； </w:t>
                  </w:r>
                  <w:r>
                    <w:br/>
                  </w:r>
                  <w:r>
                    <w:rPr>
                      <w:rFonts w:ascii="宋体" w:hAnsi="宋体" w:cs="宋体" w:eastAsia="宋体"/>
                      <w:sz w:val="22"/>
                      <w:color w:val="000000"/>
                    </w:rPr>
                    <w:t xml:space="preserve">14.软件可通过 IFC 等数据接口实现模型包括钢筋的传递； </w:t>
                  </w:r>
                  <w:r>
                    <w:br/>
                  </w:r>
                  <w:r>
                    <w:rPr>
                      <w:rFonts w:ascii="宋体" w:hAnsi="宋体" w:cs="宋体" w:eastAsia="宋体"/>
                      <w:sz w:val="22"/>
                      <w:color w:val="000000"/>
                    </w:rPr>
                    <w:t>15.具有图模联动功能，满足构件模型与图纸可以同时在操作界面显示、并对一方修改另一方同步改变的功能。</w:t>
                  </w:r>
                </w:p>
              </w:tc>
              <w:tc>
                <w:tcPr>
                  <w:tcW w:type="dxa" w:w="4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1套（不少于15节点）</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（满足装配式建筑智能建造赛项省赛</w:t>
                  </w:r>
                  <w:r>
                    <w:rPr>
                      <w:rFonts w:ascii="宋体" w:hAnsi="宋体" w:cs="宋体" w:eastAsia="宋体"/>
                      <w:sz w:val="22"/>
                      <w:color w:val="000000"/>
                    </w:rPr>
                    <w:t>+国赛）</w:t>
                  </w:r>
                </w:p>
              </w:tc>
            </w:tr>
            <w:tr>
              <w:tc>
                <w:tcPr>
                  <w:tcW w:type="dxa" w:w="750"/>
                  <w:vMerge/>
                  <w:tcBorders>
                    <w:top w:val="none" w:color="000000" w:sz="4"/>
                    <w:left w:val="single" w:color="000000" w:sz="4"/>
                    <w:bottom w:val="single" w:color="000000" w:sz="4"/>
                    <w:right w:val="single" w:color="000000" w:sz="4"/>
                  </w:tcBorders>
                </w:tcPr>
                <w:p/>
              </w:tc>
              <w:tc>
                <w:tcPr>
                  <w:tcW w:type="dxa" w:w="986"/>
                  <w:vMerge/>
                  <w:tcBorders>
                    <w:top w:val="none" w:color="000000" w:sz="4"/>
                    <w:left w:val="none" w:color="000000" w:sz="4"/>
                    <w:bottom w:val="single" w:color="000000" w:sz="4"/>
                    <w:right w:val="single" w:color="000000" w:sz="4"/>
                  </w:tcBorders>
                </w:tcPr>
                <w:p/>
              </w:tc>
              <w:tc>
                <w:tcPr>
                  <w:tcW w:type="dxa" w:w="420"/>
                  <w:vMerge/>
                  <w:tcBorders>
                    <w:top w:val="none" w:color="000000" w:sz="4"/>
                    <w:left w:val="non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r>
            <w:tr>
              <w:tc>
                <w:tcPr>
                  <w:tcW w:type="dxa" w:w="750"/>
                  <w:vMerge/>
                  <w:tcBorders>
                    <w:top w:val="none" w:color="000000" w:sz="4"/>
                    <w:left w:val="single" w:color="000000" w:sz="4"/>
                    <w:bottom w:val="single" w:color="000000" w:sz="4"/>
                    <w:right w:val="single" w:color="000000" w:sz="4"/>
                  </w:tcBorders>
                </w:tcPr>
                <w:p/>
              </w:tc>
              <w:tc>
                <w:tcPr>
                  <w:tcW w:type="dxa" w:w="986"/>
                  <w:vMerge/>
                  <w:tcBorders>
                    <w:top w:val="none" w:color="000000" w:sz="4"/>
                    <w:left w:val="none" w:color="000000" w:sz="4"/>
                    <w:bottom w:val="single" w:color="000000" w:sz="4"/>
                    <w:right w:val="single" w:color="000000" w:sz="4"/>
                  </w:tcBorders>
                </w:tcPr>
                <w:p/>
              </w:tc>
              <w:tc>
                <w:tcPr>
                  <w:tcW w:type="dxa" w:w="420"/>
                  <w:vMerge/>
                  <w:tcBorders>
                    <w:top w:val="none" w:color="000000" w:sz="4"/>
                    <w:left w:val="non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合同签订后90日</w:t>
      </w:r>
    </w:p>
    <w:p>
      <w:pPr>
        <w:pStyle w:val="null3"/>
        <w:outlineLvl w:val="3"/>
      </w:pPr>
      <w:r>
        <w:rPr>
          <w:sz w:val="24"/>
          <w:b/>
        </w:rPr>
        <w:t>3.4.2交货地点</w:t>
      </w:r>
    </w:p>
    <w:p>
      <w:pPr>
        <w:pStyle w:val="null3"/>
      </w:pPr>
      <w:r>
        <w:rPr/>
        <w:t>采购包1：</w:t>
      </w:r>
    </w:p>
    <w:p>
      <w:pPr>
        <w:pStyle w:val="null3"/>
      </w:pPr>
      <w:r>
        <w:rPr/>
        <w:t>陕西机电职业技术学院</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验收合格后，于30日之内一次性支付合同总额的100%</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本项目质保期要求不低于2年。质保期以整个项目为单位进行响应。</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商务及技术偏离表 标的清单</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合同签订后90日。</w:t>
            </w:r>
          </w:p>
        </w:tc>
        <w:tc>
          <w:tcPr>
            <w:tcW w:type="dxa" w:w="1661"/>
          </w:tcPr>
          <w:p>
            <w:pPr>
              <w:pStyle w:val="null3"/>
            </w:pPr>
            <w:r>
              <w:rPr/>
              <w:t>商务及技术偏离表 投标文件封面</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本项目质保期要求不低于2年。质保期从验收合格后开始计算。质保期以整个项目为单位进行响应。</w:t>
            </w:r>
          </w:p>
        </w:tc>
        <w:tc>
          <w:tcPr>
            <w:tcW w:type="dxa" w:w="1661"/>
          </w:tcPr>
          <w:p>
            <w:pPr>
              <w:pStyle w:val="null3"/>
            </w:pPr>
            <w:r>
              <w:rPr/>
              <w:t>商务及技术偏离表 投标文件封面</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验收合格后，于30日之内一次性支付合同总额的100%</w:t>
            </w:r>
          </w:p>
        </w:tc>
        <w:tc>
          <w:tcPr>
            <w:tcW w:type="dxa" w:w="1661"/>
          </w:tcPr>
          <w:p>
            <w:pPr>
              <w:pStyle w:val="null3"/>
            </w:pPr>
            <w:r>
              <w:rPr/>
              <w:t>商务及技术偏离表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招标文件要求的，得满分16分；其中“▲”标注参数为重要技术参数。每负偏离一项扣2分，直至本项扣完为止；非“▲”参数为一般参数，每负偏离一项扣1分，直至本项扣完为止。 注：带“▲”参数需提供佐证材料。 （佐证材料不限于：功能截图等内容，未提供相关证明材料不得分。）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投标文件制作注意事项（必看）</w:t>
            </w:r>
          </w:p>
        </w:tc>
      </w:tr>
      <w:tr>
        <w:tc>
          <w:tcPr>
            <w:tcW w:type="dxa" w:w="831"/>
            <w:vMerge/>
          </w:tcPr>
          <w:p/>
        </w:tc>
        <w:tc>
          <w:tcPr>
            <w:tcW w:type="dxa" w:w="1661"/>
          </w:tcPr>
          <w:p>
            <w:pPr>
              <w:pStyle w:val="null3"/>
            </w:pPr>
            <w:r>
              <w:rPr/>
              <w:t>配置方案</w:t>
            </w:r>
          </w:p>
        </w:tc>
        <w:tc>
          <w:tcPr>
            <w:tcW w:type="dxa" w:w="2492"/>
          </w:tcPr>
          <w:p>
            <w:pPr>
              <w:pStyle w:val="null3"/>
            </w:pPr>
            <w:r>
              <w:rPr/>
              <w:t>供应商提供针对本项目的配置方案。至少包含：1、操作系统技术、配置；2、对后期兼容性、扩展性考虑；3、配套设施；4、软件无版权纠纷。 方案各项内容全面详细、阐述条理清晰、技术先进、功能配置合理，能有效保障本项目实施，每有一项缺项扣3分，每有一处内容存在缺陷，扣1分，扣完为止。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至少包含：1系统的安装调试；2、教学系统对接实施方案的合理性、可行性；3、对不可预见因素的预测；4、实施步骤、进度计划和保证措施；5、质量，安全控制方案及措施；6、重点、难点分析并给出相应的解决方案、项目组人员配置、协调能力等。 方案各项内容全面详细、阐述条理清晰、技术先进、功能配置合理，能有效保障本项目实施，每有一项缺项扣2分，每有一处内容存在缺陷，扣1分，扣完为止。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1、提供了内容完整、详实可行，有针对性的方案，可行性强，拟投入软件性能稳定，具有较好的使用效果；符合相关标准或行业标准得6分； 2、提供的方案，虽结合需求进行了分析，但内容有待完善一得4分; 3、提供的方案简单、有欠缺的，得2分;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售后服务方案</w:t>
            </w:r>
          </w:p>
        </w:tc>
        <w:tc>
          <w:tcPr>
            <w:tcW w:type="dxa" w:w="2492"/>
          </w:tcPr>
          <w:p>
            <w:pPr>
              <w:pStyle w:val="null3"/>
            </w:pPr>
            <w:r>
              <w:rPr/>
              <w:t>根据各供应商针对本项目的售后服务方案，至少包含：1、售后服务内容及承诺；2、现有服务体系；3、服务网点固定场所、产品故障解决方案、响应时间、人员安排等。 方案各项内容全面详细、阐述条理清晰、能有效保障本项目实施，每有一项缺项扣2分，每有一处内容存在缺陷，扣1分，扣完为止。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根据各供应商提供针对本项目的培训方案，至少包含：1、提供详尽的培训方案、2、培训计划；3、列 出培训的具体内容及方式；4、确保使用人员能够独立熟练操作、维护和正常使用得承诺函等。 方案各项内容全面详细、阐述条理清晰，每有一项缺项扣2分，每有一处内容存在缺陷，扣1分，扣完为止。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开标一览表及分项报价表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详见附件：开标一览表及分项报价表</w:t>
      </w:r>
    </w:p>
    <w:p>
      <w:pPr>
        <w:pStyle w:val="null3"/>
        <w:ind w:firstLine="960"/>
      </w:pPr>
      <w:r>
        <w:rPr/>
        <w:t>详见附件：投标文件制作注意事项（必看）</w:t>
      </w:r>
    </w:p>
    <w:p>
      <w:pPr>
        <w:pStyle w:val="null3"/>
        <w:ind w:firstLine="960"/>
      </w:pPr>
      <w:r>
        <w:rPr/>
        <w:t>详见附件：商务及技术偏离表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