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1C265B">
      <w:pPr>
        <w:spacing w:line="300" w:lineRule="auto"/>
        <w:ind w:firstLine="400" w:firstLineChars="200"/>
        <w:rPr>
          <w:rFonts w:hint="eastAsia" w:cs="仿宋" w:asciiTheme="minorEastAsia" w:hAnsiTheme="minorEastAsia"/>
          <w:bCs/>
          <w:sz w:val="20"/>
          <w:szCs w:val="20"/>
        </w:rPr>
      </w:pPr>
      <w:r>
        <w:rPr>
          <w:rFonts w:hint="eastAsia" w:cs="仿宋" w:asciiTheme="minorEastAsia" w:hAnsiTheme="minorEastAsia"/>
          <w:bCs/>
          <w:sz w:val="20"/>
          <w:szCs w:val="20"/>
        </w:rPr>
        <w:t>甲  方：</w:t>
      </w:r>
      <w:r>
        <w:rPr>
          <w:rFonts w:hint="eastAsia" w:cs="仿宋" w:asciiTheme="minorEastAsia" w:hAnsiTheme="minorEastAsia"/>
          <w:b/>
          <w:bCs/>
          <w:sz w:val="20"/>
          <w:szCs w:val="20"/>
          <w:u w:val="single"/>
        </w:rPr>
        <w:t>西安市疾病预防控制中心</w:t>
      </w:r>
    </w:p>
    <w:p w14:paraId="44F823C9">
      <w:pPr>
        <w:spacing w:line="300" w:lineRule="auto"/>
        <w:ind w:firstLine="400" w:firstLineChars="200"/>
        <w:rPr>
          <w:rFonts w:hint="eastAsia" w:cs="仿宋" w:asciiTheme="minorEastAsia" w:hAnsiTheme="minorEastAsia"/>
          <w:bCs/>
          <w:sz w:val="20"/>
          <w:szCs w:val="20"/>
        </w:rPr>
      </w:pPr>
      <w:r>
        <w:rPr>
          <w:rFonts w:hint="eastAsia" w:cs="仿宋" w:asciiTheme="minorEastAsia" w:hAnsiTheme="minorEastAsia"/>
          <w:bCs/>
          <w:sz w:val="20"/>
          <w:szCs w:val="20"/>
        </w:rPr>
        <w:t>乙  方：</w:t>
      </w:r>
      <w:r>
        <w:rPr>
          <w:rFonts w:cs="仿宋" w:asciiTheme="minorEastAsia" w:hAnsiTheme="minorEastAsia"/>
          <w:b/>
          <w:bCs/>
          <w:sz w:val="20"/>
          <w:szCs w:val="20"/>
          <w:u w:val="single"/>
        </w:rPr>
        <w:t xml:space="preserve">                      </w:t>
      </w:r>
    </w:p>
    <w:p w14:paraId="7E81AEBB">
      <w:pPr>
        <w:spacing w:line="300" w:lineRule="auto"/>
        <w:ind w:firstLine="400" w:firstLineChars="200"/>
        <w:rPr>
          <w:rFonts w:hint="eastAsia" w:cs="仿宋" w:asciiTheme="minorEastAsia" w:hAnsiTheme="minorEastAsia"/>
          <w:bCs/>
          <w:sz w:val="20"/>
          <w:szCs w:val="20"/>
        </w:rPr>
      </w:pPr>
      <w:r>
        <w:rPr>
          <w:rFonts w:hint="eastAsia" w:cs="仿宋" w:asciiTheme="minorEastAsia" w:hAnsiTheme="minorEastAsia"/>
          <w:bCs/>
          <w:sz w:val="20"/>
          <w:szCs w:val="20"/>
        </w:rPr>
        <w:t>鉴证方：</w:t>
      </w:r>
      <w:r>
        <w:rPr>
          <w:rFonts w:hint="eastAsia" w:cs="仿宋" w:asciiTheme="minorEastAsia" w:hAnsiTheme="minorEastAsia"/>
          <w:b/>
          <w:bCs/>
          <w:sz w:val="20"/>
          <w:szCs w:val="20"/>
          <w:u w:val="single"/>
        </w:rPr>
        <w:t xml:space="preserve">                        </w:t>
      </w:r>
    </w:p>
    <w:p w14:paraId="50193E88">
      <w:pPr>
        <w:tabs>
          <w:tab w:val="left" w:pos="480"/>
        </w:tabs>
        <w:spacing w:line="300" w:lineRule="auto"/>
        <w:ind w:firstLine="400" w:firstLineChars="200"/>
        <w:rPr>
          <w:rFonts w:hint="eastAsia" w:cs="仿宋" w:asciiTheme="minorEastAsia" w:hAnsiTheme="minorEastAsia"/>
          <w:bCs/>
          <w:sz w:val="20"/>
          <w:szCs w:val="20"/>
        </w:rPr>
      </w:pPr>
      <w:r>
        <w:rPr>
          <w:rFonts w:hint="eastAsia" w:cs="仿宋" w:asciiTheme="minorEastAsia" w:hAnsiTheme="minorEastAsia"/>
          <w:bCs/>
          <w:sz w:val="20"/>
          <w:szCs w:val="20"/>
        </w:rPr>
        <w:t>根据《中华人民共和国政府采购法》及实施条例、《中华人民共和国民法典》和甲方采购项目：</w:t>
      </w:r>
      <w:r>
        <w:rPr>
          <w:rFonts w:hint="eastAsia" w:cs="仿宋" w:asciiTheme="minorEastAsia" w:hAnsiTheme="minorEastAsia"/>
          <w:bCs/>
          <w:sz w:val="20"/>
          <w:szCs w:val="20"/>
          <w:u w:val="single"/>
        </w:rPr>
        <w:t>西安市疾病预防控制中心xxxx项目1</w:t>
      </w:r>
      <w:r>
        <w:rPr>
          <w:rFonts w:hint="eastAsia" w:cs="仿宋" w:asciiTheme="minorEastAsia" w:hAnsiTheme="minorEastAsia"/>
          <w:bCs/>
          <w:sz w:val="20"/>
          <w:szCs w:val="20"/>
        </w:rPr>
        <w:t>（采购项目编号：</w:t>
      </w:r>
      <w:r>
        <w:rPr>
          <w:rFonts w:hint="eastAsia" w:asciiTheme="minorEastAsia" w:hAnsiTheme="minorEastAsia"/>
          <w:sz w:val="20"/>
          <w:szCs w:val="20"/>
        </w:rPr>
        <w:t xml:space="preserve">    </w:t>
      </w:r>
      <w:r>
        <w:rPr>
          <w:rFonts w:hint="eastAsia" w:cs="仿宋" w:asciiTheme="minorEastAsia" w:hAnsiTheme="minorEastAsia"/>
          <w:bCs/>
          <w:sz w:val="20"/>
          <w:szCs w:val="20"/>
        </w:rPr>
        <w:t>）的招标文件、投标文件等有关规定，为确保甲方采购项目的顺利实施，甲、乙双方在平等自愿原则下签订本合同，并共同遵守如下条款：</w:t>
      </w:r>
    </w:p>
    <w:p w14:paraId="7380D852">
      <w:pPr>
        <w:tabs>
          <w:tab w:val="left" w:pos="480"/>
        </w:tabs>
        <w:spacing w:line="300" w:lineRule="auto"/>
        <w:ind w:firstLine="402" w:firstLineChars="200"/>
        <w:rPr>
          <w:rFonts w:hint="eastAsia" w:cs="仿宋" w:asciiTheme="minorEastAsia" w:hAnsiTheme="minorEastAsia"/>
          <w:bCs/>
          <w:sz w:val="20"/>
          <w:szCs w:val="20"/>
        </w:rPr>
      </w:pPr>
      <w:r>
        <w:rPr>
          <w:rFonts w:hint="eastAsia" w:cs="仿宋" w:asciiTheme="minorEastAsia" w:hAnsiTheme="minorEastAsia"/>
          <w:b/>
          <w:sz w:val="20"/>
          <w:szCs w:val="20"/>
        </w:rPr>
        <w:t>一、合同标的物内容及数量</w:t>
      </w:r>
    </w:p>
    <w:tbl>
      <w:tblPr>
        <w:tblStyle w:val="4"/>
        <w:tblW w:w="9369" w:type="dxa"/>
        <w:jc w:val="center"/>
        <w:tblLayout w:type="autofit"/>
        <w:tblCellMar>
          <w:top w:w="0" w:type="dxa"/>
          <w:left w:w="108" w:type="dxa"/>
          <w:bottom w:w="0" w:type="dxa"/>
          <w:right w:w="108" w:type="dxa"/>
        </w:tblCellMar>
      </w:tblPr>
      <w:tblGrid>
        <w:gridCol w:w="621"/>
        <w:gridCol w:w="1080"/>
        <w:gridCol w:w="1080"/>
        <w:gridCol w:w="1080"/>
        <w:gridCol w:w="1308"/>
        <w:gridCol w:w="852"/>
        <w:gridCol w:w="1080"/>
        <w:gridCol w:w="1080"/>
        <w:gridCol w:w="1188"/>
      </w:tblGrid>
      <w:tr w14:paraId="14CA3C2B">
        <w:tblPrEx>
          <w:tblCellMar>
            <w:top w:w="0" w:type="dxa"/>
            <w:left w:w="108" w:type="dxa"/>
            <w:bottom w:w="0" w:type="dxa"/>
            <w:right w:w="108" w:type="dxa"/>
          </w:tblCellMar>
        </w:tblPrEx>
        <w:trPr>
          <w:trHeight w:val="585" w:hRule="atLeast"/>
          <w:jc w:val="center"/>
        </w:trPr>
        <w:tc>
          <w:tcPr>
            <w:tcW w:w="621" w:type="dxa"/>
            <w:tcBorders>
              <w:top w:val="single" w:color="auto" w:sz="8" w:space="0"/>
              <w:left w:val="single" w:color="auto" w:sz="8" w:space="0"/>
              <w:bottom w:val="single" w:color="auto" w:sz="8" w:space="0"/>
              <w:right w:val="single" w:color="auto" w:sz="8" w:space="0"/>
            </w:tcBorders>
            <w:vAlign w:val="center"/>
          </w:tcPr>
          <w:p w14:paraId="30F7B7BA">
            <w:pPr>
              <w:rPr>
                <w:rFonts w:hint="eastAsia" w:asciiTheme="minorEastAsia" w:hAnsiTheme="minorEastAsia"/>
                <w:sz w:val="20"/>
                <w:szCs w:val="20"/>
              </w:rPr>
            </w:pPr>
            <w:r>
              <w:rPr>
                <w:rFonts w:hint="eastAsia" w:asciiTheme="minorEastAsia" w:hAnsiTheme="minorEastAsia"/>
                <w:sz w:val="20"/>
                <w:szCs w:val="20"/>
              </w:rPr>
              <w:t>序号</w:t>
            </w:r>
          </w:p>
        </w:tc>
        <w:tc>
          <w:tcPr>
            <w:tcW w:w="1080" w:type="dxa"/>
            <w:tcBorders>
              <w:top w:val="single" w:color="auto" w:sz="8" w:space="0"/>
              <w:left w:val="nil"/>
              <w:bottom w:val="single" w:color="auto" w:sz="8" w:space="0"/>
              <w:right w:val="single" w:color="auto" w:sz="8" w:space="0"/>
            </w:tcBorders>
            <w:vAlign w:val="center"/>
          </w:tcPr>
          <w:p w14:paraId="2A5030D0">
            <w:pPr>
              <w:rPr>
                <w:rFonts w:hint="eastAsia" w:asciiTheme="minorEastAsia" w:hAnsiTheme="minorEastAsia"/>
                <w:sz w:val="20"/>
                <w:szCs w:val="20"/>
              </w:rPr>
            </w:pPr>
            <w:r>
              <w:rPr>
                <w:rFonts w:hint="eastAsia" w:asciiTheme="minorEastAsia" w:hAnsiTheme="minorEastAsia"/>
                <w:sz w:val="20"/>
                <w:szCs w:val="20"/>
              </w:rPr>
              <w:t>名称</w:t>
            </w:r>
          </w:p>
        </w:tc>
        <w:tc>
          <w:tcPr>
            <w:tcW w:w="1080" w:type="dxa"/>
            <w:tcBorders>
              <w:top w:val="single" w:color="auto" w:sz="8" w:space="0"/>
              <w:left w:val="nil"/>
              <w:bottom w:val="single" w:color="auto" w:sz="8" w:space="0"/>
              <w:right w:val="single" w:color="auto" w:sz="8" w:space="0"/>
            </w:tcBorders>
            <w:vAlign w:val="center"/>
          </w:tcPr>
          <w:p w14:paraId="616D7806">
            <w:pPr>
              <w:rPr>
                <w:rFonts w:hint="eastAsia" w:asciiTheme="minorEastAsia" w:hAnsiTheme="minorEastAsia"/>
                <w:sz w:val="20"/>
                <w:szCs w:val="20"/>
              </w:rPr>
            </w:pPr>
            <w:r>
              <w:rPr>
                <w:rFonts w:hint="eastAsia" w:asciiTheme="minorEastAsia" w:hAnsiTheme="minorEastAsia"/>
                <w:sz w:val="20"/>
                <w:szCs w:val="20"/>
              </w:rPr>
              <w:t>规格型号</w:t>
            </w:r>
          </w:p>
        </w:tc>
        <w:tc>
          <w:tcPr>
            <w:tcW w:w="1080" w:type="dxa"/>
            <w:tcBorders>
              <w:top w:val="single" w:color="auto" w:sz="8" w:space="0"/>
              <w:left w:val="nil"/>
              <w:bottom w:val="single" w:color="auto" w:sz="8" w:space="0"/>
              <w:right w:val="single" w:color="auto" w:sz="8" w:space="0"/>
            </w:tcBorders>
            <w:vAlign w:val="center"/>
          </w:tcPr>
          <w:p w14:paraId="3FA25D90">
            <w:pPr>
              <w:rPr>
                <w:rFonts w:hint="eastAsia" w:asciiTheme="minorEastAsia" w:hAnsiTheme="minorEastAsia"/>
                <w:sz w:val="20"/>
                <w:szCs w:val="20"/>
              </w:rPr>
            </w:pPr>
            <w:r>
              <w:rPr>
                <w:rFonts w:hint="eastAsia" w:asciiTheme="minorEastAsia" w:hAnsiTheme="minorEastAsia"/>
                <w:sz w:val="20"/>
                <w:szCs w:val="20"/>
              </w:rPr>
              <w:t>产地</w:t>
            </w:r>
          </w:p>
        </w:tc>
        <w:tc>
          <w:tcPr>
            <w:tcW w:w="1308" w:type="dxa"/>
            <w:tcBorders>
              <w:top w:val="single" w:color="auto" w:sz="8" w:space="0"/>
              <w:left w:val="nil"/>
              <w:bottom w:val="single" w:color="auto" w:sz="8" w:space="0"/>
              <w:right w:val="single" w:color="auto" w:sz="8" w:space="0"/>
            </w:tcBorders>
            <w:vAlign w:val="center"/>
          </w:tcPr>
          <w:p w14:paraId="52EC3FEB">
            <w:pPr>
              <w:rPr>
                <w:rFonts w:hint="eastAsia" w:asciiTheme="minorEastAsia" w:hAnsiTheme="minorEastAsia"/>
                <w:sz w:val="20"/>
                <w:szCs w:val="20"/>
              </w:rPr>
            </w:pPr>
            <w:r>
              <w:rPr>
                <w:rFonts w:hint="eastAsia" w:asciiTheme="minorEastAsia" w:hAnsiTheme="minorEastAsia"/>
                <w:sz w:val="20"/>
                <w:szCs w:val="20"/>
              </w:rPr>
              <w:t>生产厂家</w:t>
            </w:r>
          </w:p>
        </w:tc>
        <w:tc>
          <w:tcPr>
            <w:tcW w:w="852" w:type="dxa"/>
            <w:tcBorders>
              <w:top w:val="single" w:color="auto" w:sz="8" w:space="0"/>
              <w:left w:val="nil"/>
              <w:bottom w:val="single" w:color="auto" w:sz="8" w:space="0"/>
              <w:right w:val="single" w:color="auto" w:sz="8" w:space="0"/>
            </w:tcBorders>
            <w:vAlign w:val="center"/>
          </w:tcPr>
          <w:p w14:paraId="4C5CF5B5">
            <w:pPr>
              <w:rPr>
                <w:rFonts w:hint="eastAsia" w:asciiTheme="minorEastAsia" w:hAnsiTheme="minorEastAsia"/>
                <w:sz w:val="20"/>
                <w:szCs w:val="20"/>
              </w:rPr>
            </w:pPr>
            <w:r>
              <w:rPr>
                <w:rFonts w:hint="eastAsia" w:asciiTheme="minorEastAsia" w:hAnsiTheme="minorEastAsia"/>
                <w:sz w:val="20"/>
                <w:szCs w:val="20"/>
              </w:rPr>
              <w:t>单位</w:t>
            </w:r>
          </w:p>
        </w:tc>
        <w:tc>
          <w:tcPr>
            <w:tcW w:w="1080" w:type="dxa"/>
            <w:tcBorders>
              <w:top w:val="single" w:color="auto" w:sz="8" w:space="0"/>
              <w:left w:val="nil"/>
              <w:bottom w:val="single" w:color="auto" w:sz="8" w:space="0"/>
              <w:right w:val="single" w:color="auto" w:sz="8" w:space="0"/>
            </w:tcBorders>
            <w:vAlign w:val="center"/>
          </w:tcPr>
          <w:p w14:paraId="254B0AB4">
            <w:pPr>
              <w:rPr>
                <w:rFonts w:hint="eastAsia" w:asciiTheme="minorEastAsia" w:hAnsiTheme="minorEastAsia"/>
                <w:sz w:val="20"/>
                <w:szCs w:val="20"/>
              </w:rPr>
            </w:pPr>
            <w:r>
              <w:rPr>
                <w:rFonts w:hint="eastAsia" w:asciiTheme="minorEastAsia" w:hAnsiTheme="minorEastAsia"/>
                <w:sz w:val="20"/>
                <w:szCs w:val="20"/>
              </w:rPr>
              <w:t>数量</w:t>
            </w:r>
          </w:p>
        </w:tc>
        <w:tc>
          <w:tcPr>
            <w:tcW w:w="1080" w:type="dxa"/>
            <w:tcBorders>
              <w:top w:val="single" w:color="auto" w:sz="8" w:space="0"/>
              <w:left w:val="nil"/>
              <w:bottom w:val="single" w:color="auto" w:sz="8" w:space="0"/>
              <w:right w:val="single" w:color="auto" w:sz="8" w:space="0"/>
            </w:tcBorders>
            <w:vAlign w:val="center"/>
          </w:tcPr>
          <w:p w14:paraId="4AE66F16">
            <w:pPr>
              <w:rPr>
                <w:rFonts w:hint="eastAsia" w:asciiTheme="minorEastAsia" w:hAnsiTheme="minorEastAsia"/>
                <w:sz w:val="20"/>
                <w:szCs w:val="20"/>
              </w:rPr>
            </w:pPr>
            <w:r>
              <w:rPr>
                <w:rFonts w:hint="eastAsia" w:asciiTheme="minorEastAsia" w:hAnsiTheme="minorEastAsia"/>
                <w:sz w:val="20"/>
                <w:szCs w:val="20"/>
              </w:rPr>
              <w:t>单价（元）</w:t>
            </w:r>
          </w:p>
        </w:tc>
        <w:tc>
          <w:tcPr>
            <w:tcW w:w="1188" w:type="dxa"/>
            <w:tcBorders>
              <w:top w:val="single" w:color="auto" w:sz="8" w:space="0"/>
              <w:left w:val="nil"/>
              <w:bottom w:val="single" w:color="auto" w:sz="8" w:space="0"/>
              <w:right w:val="single" w:color="auto" w:sz="8" w:space="0"/>
            </w:tcBorders>
            <w:vAlign w:val="center"/>
          </w:tcPr>
          <w:p w14:paraId="054074B7">
            <w:pPr>
              <w:rPr>
                <w:rFonts w:hint="eastAsia" w:asciiTheme="minorEastAsia" w:hAnsiTheme="minorEastAsia"/>
                <w:sz w:val="20"/>
                <w:szCs w:val="20"/>
              </w:rPr>
            </w:pPr>
            <w:r>
              <w:rPr>
                <w:rFonts w:hint="eastAsia" w:asciiTheme="minorEastAsia" w:hAnsiTheme="minorEastAsia"/>
                <w:sz w:val="20"/>
                <w:szCs w:val="20"/>
              </w:rPr>
              <w:t>总价（元）</w:t>
            </w:r>
          </w:p>
        </w:tc>
      </w:tr>
      <w:tr w14:paraId="3A1CD398">
        <w:tblPrEx>
          <w:tblCellMar>
            <w:top w:w="0" w:type="dxa"/>
            <w:left w:w="108" w:type="dxa"/>
            <w:bottom w:w="0" w:type="dxa"/>
            <w:right w:w="108" w:type="dxa"/>
          </w:tblCellMar>
        </w:tblPrEx>
        <w:trPr>
          <w:trHeight w:val="300" w:hRule="atLeast"/>
          <w:jc w:val="center"/>
        </w:trPr>
        <w:tc>
          <w:tcPr>
            <w:tcW w:w="621" w:type="dxa"/>
            <w:tcBorders>
              <w:top w:val="nil"/>
              <w:left w:val="single" w:color="auto" w:sz="8" w:space="0"/>
              <w:bottom w:val="single" w:color="auto" w:sz="8" w:space="0"/>
              <w:right w:val="single" w:color="auto" w:sz="8" w:space="0"/>
            </w:tcBorders>
            <w:vAlign w:val="center"/>
          </w:tcPr>
          <w:p w14:paraId="2D72ED21">
            <w:pPr>
              <w:widowControl/>
              <w:spacing w:line="300" w:lineRule="auto"/>
              <w:ind w:firstLine="200"/>
              <w:rPr>
                <w:rFonts w:hint="eastAsia" w:cs="宋体" w:asciiTheme="minorEastAsia" w:hAnsiTheme="minorEastAsia"/>
                <w:kern w:val="0"/>
                <w:sz w:val="20"/>
                <w:szCs w:val="20"/>
              </w:rPr>
            </w:pPr>
          </w:p>
        </w:tc>
        <w:tc>
          <w:tcPr>
            <w:tcW w:w="1080" w:type="dxa"/>
            <w:tcBorders>
              <w:top w:val="nil"/>
              <w:left w:val="nil"/>
              <w:bottom w:val="single" w:color="auto" w:sz="8" w:space="0"/>
              <w:right w:val="single" w:color="auto" w:sz="8" w:space="0"/>
            </w:tcBorders>
            <w:vAlign w:val="center"/>
          </w:tcPr>
          <w:p w14:paraId="2CFFC49C">
            <w:pPr>
              <w:pStyle w:val="3"/>
              <w:spacing w:line="300" w:lineRule="auto"/>
              <w:ind w:firstLine="200"/>
              <w:rPr>
                <w:rFonts w:hint="eastAsia" w:cs="宋体" w:asciiTheme="minorEastAsia" w:hAnsiTheme="minorEastAsia"/>
                <w:kern w:val="0"/>
                <w:sz w:val="20"/>
              </w:rPr>
            </w:pPr>
          </w:p>
        </w:tc>
        <w:tc>
          <w:tcPr>
            <w:tcW w:w="1080" w:type="dxa"/>
            <w:tcBorders>
              <w:top w:val="nil"/>
              <w:left w:val="nil"/>
              <w:bottom w:val="single" w:color="auto" w:sz="8" w:space="0"/>
              <w:right w:val="single" w:color="auto" w:sz="8" w:space="0"/>
            </w:tcBorders>
            <w:vAlign w:val="center"/>
          </w:tcPr>
          <w:p w14:paraId="6B26624C">
            <w:pPr>
              <w:pStyle w:val="3"/>
              <w:spacing w:line="300" w:lineRule="auto"/>
              <w:ind w:firstLine="200"/>
              <w:rPr>
                <w:rFonts w:hint="eastAsia" w:cs="宋体" w:asciiTheme="minorEastAsia" w:hAnsiTheme="minorEastAsia"/>
                <w:kern w:val="0"/>
                <w:sz w:val="20"/>
              </w:rPr>
            </w:pPr>
          </w:p>
        </w:tc>
        <w:tc>
          <w:tcPr>
            <w:tcW w:w="1080" w:type="dxa"/>
            <w:tcBorders>
              <w:top w:val="nil"/>
              <w:left w:val="nil"/>
              <w:bottom w:val="single" w:color="auto" w:sz="8" w:space="0"/>
              <w:right w:val="single" w:color="auto" w:sz="8" w:space="0"/>
            </w:tcBorders>
            <w:vAlign w:val="center"/>
          </w:tcPr>
          <w:p w14:paraId="3A95DE58">
            <w:pPr>
              <w:pStyle w:val="3"/>
              <w:spacing w:line="300" w:lineRule="auto"/>
              <w:ind w:firstLine="200"/>
              <w:rPr>
                <w:rFonts w:hint="eastAsia" w:cs="宋体" w:asciiTheme="minorEastAsia" w:hAnsiTheme="minorEastAsia"/>
                <w:kern w:val="0"/>
                <w:sz w:val="20"/>
              </w:rPr>
            </w:pPr>
          </w:p>
        </w:tc>
        <w:tc>
          <w:tcPr>
            <w:tcW w:w="1308" w:type="dxa"/>
            <w:tcBorders>
              <w:top w:val="nil"/>
              <w:left w:val="nil"/>
              <w:bottom w:val="single" w:color="auto" w:sz="8" w:space="0"/>
              <w:right w:val="single" w:color="auto" w:sz="8" w:space="0"/>
            </w:tcBorders>
            <w:vAlign w:val="center"/>
          </w:tcPr>
          <w:p w14:paraId="227F9CA1">
            <w:pPr>
              <w:pStyle w:val="3"/>
              <w:spacing w:line="300" w:lineRule="auto"/>
              <w:ind w:firstLine="200"/>
              <w:rPr>
                <w:rFonts w:hint="eastAsia" w:cs="宋体" w:asciiTheme="minorEastAsia" w:hAnsiTheme="minorEastAsia"/>
                <w:kern w:val="0"/>
                <w:sz w:val="20"/>
              </w:rPr>
            </w:pPr>
          </w:p>
        </w:tc>
        <w:tc>
          <w:tcPr>
            <w:tcW w:w="852" w:type="dxa"/>
            <w:tcBorders>
              <w:top w:val="nil"/>
              <w:left w:val="nil"/>
              <w:bottom w:val="single" w:color="auto" w:sz="8" w:space="0"/>
              <w:right w:val="single" w:color="auto" w:sz="8" w:space="0"/>
            </w:tcBorders>
            <w:vAlign w:val="center"/>
          </w:tcPr>
          <w:p w14:paraId="14A88AFB">
            <w:pPr>
              <w:widowControl/>
              <w:spacing w:line="300" w:lineRule="auto"/>
              <w:ind w:firstLine="200"/>
              <w:rPr>
                <w:rFonts w:hint="eastAsia" w:cs="宋体" w:asciiTheme="minorEastAsia" w:hAnsiTheme="minorEastAsia"/>
                <w:kern w:val="0"/>
                <w:sz w:val="20"/>
                <w:szCs w:val="20"/>
              </w:rPr>
            </w:pPr>
          </w:p>
        </w:tc>
        <w:tc>
          <w:tcPr>
            <w:tcW w:w="1080" w:type="dxa"/>
            <w:tcBorders>
              <w:top w:val="nil"/>
              <w:left w:val="nil"/>
              <w:bottom w:val="single" w:color="auto" w:sz="8" w:space="0"/>
              <w:right w:val="single" w:color="auto" w:sz="8" w:space="0"/>
            </w:tcBorders>
            <w:vAlign w:val="center"/>
          </w:tcPr>
          <w:p w14:paraId="20E88565">
            <w:pPr>
              <w:widowControl/>
              <w:spacing w:line="300" w:lineRule="auto"/>
              <w:ind w:firstLine="200"/>
              <w:rPr>
                <w:rFonts w:hint="eastAsia" w:cs="宋体" w:asciiTheme="minorEastAsia" w:hAnsiTheme="minorEastAsia"/>
                <w:kern w:val="0"/>
                <w:sz w:val="20"/>
                <w:szCs w:val="20"/>
              </w:rPr>
            </w:pPr>
          </w:p>
        </w:tc>
        <w:tc>
          <w:tcPr>
            <w:tcW w:w="1080" w:type="dxa"/>
            <w:tcBorders>
              <w:top w:val="nil"/>
              <w:left w:val="nil"/>
              <w:bottom w:val="single" w:color="auto" w:sz="8" w:space="0"/>
              <w:right w:val="single" w:color="auto" w:sz="8" w:space="0"/>
            </w:tcBorders>
            <w:vAlign w:val="center"/>
          </w:tcPr>
          <w:p w14:paraId="13522EBD">
            <w:pPr>
              <w:spacing w:line="300" w:lineRule="auto"/>
              <w:ind w:firstLine="200"/>
              <w:rPr>
                <w:rFonts w:hint="eastAsia" w:cs="宋体" w:asciiTheme="minorEastAsia" w:hAnsiTheme="minorEastAsia"/>
                <w:kern w:val="0"/>
                <w:sz w:val="20"/>
                <w:szCs w:val="20"/>
              </w:rPr>
            </w:pPr>
          </w:p>
        </w:tc>
        <w:tc>
          <w:tcPr>
            <w:tcW w:w="1188" w:type="dxa"/>
            <w:tcBorders>
              <w:top w:val="nil"/>
              <w:left w:val="nil"/>
              <w:bottom w:val="single" w:color="auto" w:sz="8" w:space="0"/>
              <w:right w:val="single" w:color="auto" w:sz="8" w:space="0"/>
            </w:tcBorders>
            <w:vAlign w:val="center"/>
          </w:tcPr>
          <w:p w14:paraId="52D7C13B">
            <w:pPr>
              <w:spacing w:line="300" w:lineRule="auto"/>
              <w:ind w:firstLine="200"/>
              <w:rPr>
                <w:rFonts w:hint="eastAsia" w:cs="宋体" w:asciiTheme="minorEastAsia" w:hAnsiTheme="minorEastAsia"/>
                <w:kern w:val="0"/>
                <w:sz w:val="20"/>
                <w:szCs w:val="20"/>
              </w:rPr>
            </w:pPr>
          </w:p>
        </w:tc>
      </w:tr>
      <w:tr w14:paraId="73AEDE5A">
        <w:tblPrEx>
          <w:tblCellMar>
            <w:top w:w="0" w:type="dxa"/>
            <w:left w:w="108" w:type="dxa"/>
            <w:bottom w:w="0" w:type="dxa"/>
            <w:right w:w="108" w:type="dxa"/>
          </w:tblCellMar>
        </w:tblPrEx>
        <w:trPr>
          <w:trHeight w:val="300" w:hRule="atLeast"/>
          <w:jc w:val="center"/>
        </w:trPr>
        <w:tc>
          <w:tcPr>
            <w:tcW w:w="621" w:type="dxa"/>
            <w:tcBorders>
              <w:top w:val="nil"/>
              <w:left w:val="single" w:color="auto" w:sz="8" w:space="0"/>
              <w:bottom w:val="single" w:color="auto" w:sz="8" w:space="0"/>
              <w:right w:val="single" w:color="auto" w:sz="8" w:space="0"/>
            </w:tcBorders>
            <w:vAlign w:val="center"/>
          </w:tcPr>
          <w:p w14:paraId="7EEE3BEA">
            <w:pPr>
              <w:widowControl/>
              <w:spacing w:line="300" w:lineRule="auto"/>
              <w:ind w:firstLine="200"/>
              <w:rPr>
                <w:rFonts w:hint="eastAsia" w:cs="宋体" w:asciiTheme="minorEastAsia" w:hAnsiTheme="minorEastAsia"/>
                <w:kern w:val="0"/>
                <w:sz w:val="20"/>
                <w:szCs w:val="20"/>
              </w:rPr>
            </w:pPr>
          </w:p>
        </w:tc>
        <w:tc>
          <w:tcPr>
            <w:tcW w:w="1080" w:type="dxa"/>
            <w:tcBorders>
              <w:top w:val="nil"/>
              <w:left w:val="nil"/>
              <w:bottom w:val="single" w:color="auto" w:sz="8" w:space="0"/>
              <w:right w:val="single" w:color="auto" w:sz="8" w:space="0"/>
            </w:tcBorders>
            <w:vAlign w:val="center"/>
          </w:tcPr>
          <w:p w14:paraId="147D8E13">
            <w:pPr>
              <w:pStyle w:val="3"/>
              <w:spacing w:line="300" w:lineRule="auto"/>
              <w:ind w:firstLine="200"/>
              <w:rPr>
                <w:rFonts w:hint="eastAsia" w:cs="宋体" w:asciiTheme="minorEastAsia" w:hAnsiTheme="minorEastAsia"/>
                <w:kern w:val="0"/>
                <w:sz w:val="20"/>
              </w:rPr>
            </w:pPr>
          </w:p>
        </w:tc>
        <w:tc>
          <w:tcPr>
            <w:tcW w:w="1080" w:type="dxa"/>
            <w:tcBorders>
              <w:top w:val="nil"/>
              <w:left w:val="nil"/>
              <w:bottom w:val="single" w:color="auto" w:sz="8" w:space="0"/>
              <w:right w:val="single" w:color="auto" w:sz="8" w:space="0"/>
            </w:tcBorders>
            <w:vAlign w:val="center"/>
          </w:tcPr>
          <w:p w14:paraId="2FC0315D">
            <w:pPr>
              <w:pStyle w:val="3"/>
              <w:spacing w:line="300" w:lineRule="auto"/>
              <w:ind w:firstLine="200"/>
              <w:rPr>
                <w:rFonts w:hint="eastAsia" w:cs="宋体" w:asciiTheme="minorEastAsia" w:hAnsiTheme="minorEastAsia"/>
                <w:kern w:val="0"/>
                <w:sz w:val="20"/>
              </w:rPr>
            </w:pPr>
          </w:p>
        </w:tc>
        <w:tc>
          <w:tcPr>
            <w:tcW w:w="1080" w:type="dxa"/>
            <w:tcBorders>
              <w:top w:val="nil"/>
              <w:left w:val="nil"/>
              <w:bottom w:val="single" w:color="auto" w:sz="8" w:space="0"/>
              <w:right w:val="single" w:color="auto" w:sz="8" w:space="0"/>
            </w:tcBorders>
            <w:vAlign w:val="center"/>
          </w:tcPr>
          <w:p w14:paraId="7B329B0B">
            <w:pPr>
              <w:pStyle w:val="3"/>
              <w:spacing w:line="300" w:lineRule="auto"/>
              <w:ind w:firstLine="200"/>
              <w:rPr>
                <w:rFonts w:hint="eastAsia" w:cs="宋体" w:asciiTheme="minorEastAsia" w:hAnsiTheme="minorEastAsia"/>
                <w:kern w:val="0"/>
                <w:sz w:val="20"/>
              </w:rPr>
            </w:pPr>
          </w:p>
        </w:tc>
        <w:tc>
          <w:tcPr>
            <w:tcW w:w="1308" w:type="dxa"/>
            <w:tcBorders>
              <w:top w:val="nil"/>
              <w:left w:val="nil"/>
              <w:bottom w:val="single" w:color="auto" w:sz="8" w:space="0"/>
              <w:right w:val="single" w:color="auto" w:sz="8" w:space="0"/>
            </w:tcBorders>
            <w:vAlign w:val="center"/>
          </w:tcPr>
          <w:p w14:paraId="5F72E22A">
            <w:pPr>
              <w:pStyle w:val="3"/>
              <w:spacing w:line="300" w:lineRule="auto"/>
              <w:ind w:firstLine="200"/>
              <w:rPr>
                <w:rFonts w:hint="eastAsia" w:cs="宋体" w:asciiTheme="minorEastAsia" w:hAnsiTheme="minorEastAsia"/>
                <w:kern w:val="0"/>
                <w:sz w:val="20"/>
              </w:rPr>
            </w:pPr>
          </w:p>
        </w:tc>
        <w:tc>
          <w:tcPr>
            <w:tcW w:w="852" w:type="dxa"/>
            <w:tcBorders>
              <w:top w:val="nil"/>
              <w:left w:val="nil"/>
              <w:bottom w:val="single" w:color="auto" w:sz="8" w:space="0"/>
              <w:right w:val="single" w:color="auto" w:sz="8" w:space="0"/>
            </w:tcBorders>
            <w:vAlign w:val="center"/>
          </w:tcPr>
          <w:p w14:paraId="555B581F">
            <w:pPr>
              <w:widowControl/>
              <w:spacing w:line="300" w:lineRule="auto"/>
              <w:ind w:firstLine="200"/>
              <w:rPr>
                <w:rFonts w:hint="eastAsia" w:cs="宋体" w:asciiTheme="minorEastAsia" w:hAnsiTheme="minorEastAsia"/>
                <w:kern w:val="0"/>
                <w:sz w:val="20"/>
                <w:szCs w:val="20"/>
              </w:rPr>
            </w:pPr>
          </w:p>
        </w:tc>
        <w:tc>
          <w:tcPr>
            <w:tcW w:w="1080" w:type="dxa"/>
            <w:tcBorders>
              <w:top w:val="nil"/>
              <w:left w:val="nil"/>
              <w:bottom w:val="single" w:color="auto" w:sz="8" w:space="0"/>
              <w:right w:val="single" w:color="auto" w:sz="8" w:space="0"/>
            </w:tcBorders>
            <w:vAlign w:val="center"/>
          </w:tcPr>
          <w:p w14:paraId="2C508890">
            <w:pPr>
              <w:widowControl/>
              <w:spacing w:line="300" w:lineRule="auto"/>
              <w:ind w:firstLine="200"/>
              <w:rPr>
                <w:rFonts w:hint="eastAsia" w:cs="宋体" w:asciiTheme="minorEastAsia" w:hAnsiTheme="minorEastAsia"/>
                <w:kern w:val="0"/>
                <w:sz w:val="20"/>
                <w:szCs w:val="20"/>
              </w:rPr>
            </w:pPr>
          </w:p>
        </w:tc>
        <w:tc>
          <w:tcPr>
            <w:tcW w:w="1080" w:type="dxa"/>
            <w:tcBorders>
              <w:top w:val="nil"/>
              <w:left w:val="nil"/>
              <w:bottom w:val="single" w:color="auto" w:sz="8" w:space="0"/>
              <w:right w:val="single" w:color="auto" w:sz="8" w:space="0"/>
            </w:tcBorders>
            <w:vAlign w:val="center"/>
          </w:tcPr>
          <w:p w14:paraId="2893B3FC">
            <w:pPr>
              <w:spacing w:line="300" w:lineRule="auto"/>
              <w:ind w:firstLine="200"/>
              <w:rPr>
                <w:rFonts w:hint="eastAsia" w:cs="宋体" w:asciiTheme="minorEastAsia" w:hAnsiTheme="minorEastAsia"/>
                <w:kern w:val="0"/>
                <w:sz w:val="20"/>
                <w:szCs w:val="20"/>
              </w:rPr>
            </w:pPr>
          </w:p>
        </w:tc>
        <w:tc>
          <w:tcPr>
            <w:tcW w:w="1188" w:type="dxa"/>
            <w:tcBorders>
              <w:top w:val="nil"/>
              <w:left w:val="nil"/>
              <w:bottom w:val="single" w:color="auto" w:sz="8" w:space="0"/>
              <w:right w:val="single" w:color="auto" w:sz="8" w:space="0"/>
            </w:tcBorders>
            <w:vAlign w:val="center"/>
          </w:tcPr>
          <w:p w14:paraId="456CA2D0">
            <w:pPr>
              <w:spacing w:line="300" w:lineRule="auto"/>
              <w:ind w:firstLine="200"/>
              <w:rPr>
                <w:rFonts w:hint="eastAsia" w:cs="宋体" w:asciiTheme="minorEastAsia" w:hAnsiTheme="minorEastAsia"/>
                <w:kern w:val="0"/>
                <w:sz w:val="20"/>
                <w:szCs w:val="20"/>
              </w:rPr>
            </w:pPr>
          </w:p>
        </w:tc>
      </w:tr>
      <w:tr w14:paraId="6E103546">
        <w:tblPrEx>
          <w:tblCellMar>
            <w:top w:w="0" w:type="dxa"/>
            <w:left w:w="108" w:type="dxa"/>
            <w:bottom w:w="0" w:type="dxa"/>
            <w:right w:w="108" w:type="dxa"/>
          </w:tblCellMar>
        </w:tblPrEx>
        <w:trPr>
          <w:trHeight w:val="300" w:hRule="atLeast"/>
          <w:jc w:val="center"/>
        </w:trPr>
        <w:tc>
          <w:tcPr>
            <w:tcW w:w="9369" w:type="dxa"/>
            <w:gridSpan w:val="9"/>
            <w:tcBorders>
              <w:top w:val="single" w:color="auto" w:sz="8" w:space="0"/>
              <w:left w:val="single" w:color="auto" w:sz="8" w:space="0"/>
              <w:bottom w:val="single" w:color="auto" w:sz="8" w:space="0"/>
              <w:right w:val="single" w:color="000000" w:sz="8" w:space="0"/>
            </w:tcBorders>
            <w:vAlign w:val="center"/>
          </w:tcPr>
          <w:p w14:paraId="169505E7">
            <w:pPr>
              <w:widowControl/>
              <w:spacing w:line="300" w:lineRule="auto"/>
              <w:ind w:firstLine="200"/>
              <w:rPr>
                <w:rFonts w:hint="eastAsia" w:cs="宋体" w:asciiTheme="minorEastAsia" w:hAnsiTheme="minorEastAsia"/>
                <w:kern w:val="0"/>
                <w:sz w:val="20"/>
                <w:szCs w:val="20"/>
              </w:rPr>
            </w:pPr>
            <w:r>
              <w:rPr>
                <w:rFonts w:hint="eastAsia" w:cs="宋体" w:asciiTheme="minorEastAsia" w:hAnsiTheme="minorEastAsia"/>
                <w:kern w:val="0"/>
                <w:sz w:val="20"/>
                <w:szCs w:val="20"/>
              </w:rPr>
              <w:t>合计：</w:t>
            </w:r>
            <w:r>
              <w:rPr>
                <w:rFonts w:hint="eastAsia" w:cs="宋体" w:asciiTheme="minorEastAsia" w:hAnsiTheme="minorEastAsia"/>
                <w:b/>
                <w:bCs/>
                <w:kern w:val="0"/>
                <w:sz w:val="20"/>
                <w:szCs w:val="20"/>
              </w:rPr>
              <w:t>人民币（大写）：</w:t>
            </w:r>
            <w:r>
              <w:rPr>
                <w:rFonts w:cs="宋体" w:asciiTheme="minorEastAsia" w:hAnsiTheme="minorEastAsia"/>
                <w:b/>
                <w:bCs/>
                <w:kern w:val="0"/>
                <w:sz w:val="20"/>
                <w:szCs w:val="20"/>
              </w:rPr>
              <w:t xml:space="preserve">          </w:t>
            </w:r>
            <w:r>
              <w:rPr>
                <w:rFonts w:hint="eastAsia" w:cs="宋体" w:asciiTheme="minorEastAsia" w:hAnsiTheme="minorEastAsia"/>
                <w:b/>
                <w:bCs/>
                <w:kern w:val="0"/>
                <w:sz w:val="20"/>
                <w:szCs w:val="20"/>
              </w:rPr>
              <w:t>元整（</w:t>
            </w:r>
            <w:r>
              <w:rPr>
                <w:rFonts w:hint="eastAsia" w:cs="Calibri" w:asciiTheme="minorEastAsia" w:hAnsiTheme="minorEastAsia"/>
                <w:b/>
                <w:bCs/>
                <w:kern w:val="0"/>
                <w:sz w:val="20"/>
                <w:szCs w:val="20"/>
              </w:rPr>
              <w:t>¥</w:t>
            </w:r>
            <w:r>
              <w:rPr>
                <w:rFonts w:hint="eastAsia" w:cs="宋体" w:asciiTheme="minorEastAsia" w:hAnsiTheme="minorEastAsia"/>
                <w:b/>
                <w:bCs/>
                <w:kern w:val="0"/>
                <w:sz w:val="20"/>
                <w:szCs w:val="20"/>
              </w:rPr>
              <w:t>:</w:t>
            </w:r>
            <w:r>
              <w:rPr>
                <w:rFonts w:cs="宋体" w:asciiTheme="minorEastAsia" w:hAnsiTheme="minorEastAsia"/>
                <w:b/>
                <w:bCs/>
                <w:kern w:val="0"/>
                <w:sz w:val="20"/>
                <w:szCs w:val="20"/>
              </w:rPr>
              <w:t xml:space="preserve">         </w:t>
            </w:r>
            <w:r>
              <w:rPr>
                <w:rFonts w:hint="eastAsia" w:cs="宋体" w:asciiTheme="minorEastAsia" w:hAnsiTheme="minorEastAsia"/>
                <w:b/>
                <w:bCs/>
                <w:kern w:val="0"/>
                <w:sz w:val="20"/>
                <w:szCs w:val="20"/>
              </w:rPr>
              <w:t>元）</w:t>
            </w:r>
          </w:p>
        </w:tc>
      </w:tr>
    </w:tbl>
    <w:p w14:paraId="7ED8ADC5">
      <w:pPr>
        <w:tabs>
          <w:tab w:val="left" w:pos="480"/>
        </w:tabs>
        <w:spacing w:line="300" w:lineRule="auto"/>
        <w:ind w:firstLine="402" w:firstLineChars="200"/>
        <w:rPr>
          <w:rFonts w:hint="eastAsia" w:cs="仿宋" w:asciiTheme="minorEastAsia" w:hAnsiTheme="minorEastAsia"/>
          <w:b/>
          <w:sz w:val="20"/>
          <w:szCs w:val="20"/>
        </w:rPr>
      </w:pPr>
      <w:r>
        <w:rPr>
          <w:rFonts w:hint="eastAsia" w:cs="仿宋" w:asciiTheme="minorEastAsia" w:hAnsiTheme="minorEastAsia"/>
          <w:b/>
          <w:sz w:val="20"/>
          <w:szCs w:val="20"/>
        </w:rPr>
        <w:t>二、合同价款</w:t>
      </w:r>
    </w:p>
    <w:p w14:paraId="598F5BC5">
      <w:pPr>
        <w:tabs>
          <w:tab w:val="left" w:pos="480"/>
        </w:tabs>
        <w:spacing w:line="300" w:lineRule="auto"/>
        <w:ind w:firstLine="200"/>
        <w:rPr>
          <w:rFonts w:hint="eastAsia" w:cs="仿宋" w:asciiTheme="minorEastAsia" w:hAnsiTheme="minorEastAsia"/>
          <w:sz w:val="20"/>
          <w:szCs w:val="20"/>
        </w:rPr>
      </w:pPr>
      <w:r>
        <w:rPr>
          <w:rFonts w:hint="eastAsia" w:cs="仿宋" w:asciiTheme="minorEastAsia" w:hAnsiTheme="minorEastAsia"/>
          <w:sz w:val="20"/>
          <w:szCs w:val="20"/>
        </w:rPr>
        <w:t>（一）合同总价款为人民币（大写）</w:t>
      </w:r>
      <w:r>
        <w:rPr>
          <w:rFonts w:cs="仿宋" w:asciiTheme="minorEastAsia" w:hAnsiTheme="minorEastAsia"/>
          <w:sz w:val="20"/>
          <w:szCs w:val="20"/>
          <w:u w:val="single"/>
        </w:rPr>
        <w:t xml:space="preserve"> ：        </w:t>
      </w:r>
      <w:r>
        <w:rPr>
          <w:rFonts w:hint="eastAsia" w:cs="仿宋" w:asciiTheme="minorEastAsia" w:hAnsiTheme="minorEastAsia"/>
          <w:sz w:val="20"/>
          <w:szCs w:val="20"/>
          <w:u w:val="single"/>
        </w:rPr>
        <w:t>元整（</w:t>
      </w:r>
      <w:r>
        <w:rPr>
          <w:rFonts w:hint="eastAsia" w:cs="Calibri" w:asciiTheme="minorEastAsia" w:hAnsiTheme="minorEastAsia"/>
          <w:sz w:val="20"/>
          <w:szCs w:val="20"/>
          <w:u w:val="single"/>
        </w:rPr>
        <w:t>¥</w:t>
      </w:r>
      <w:r>
        <w:rPr>
          <w:rFonts w:cs="仿宋" w:asciiTheme="minorEastAsia" w:hAnsiTheme="minorEastAsia"/>
          <w:sz w:val="20"/>
          <w:szCs w:val="20"/>
          <w:u w:val="single"/>
        </w:rPr>
        <w:t xml:space="preserve">          </w:t>
      </w:r>
      <w:r>
        <w:rPr>
          <w:rFonts w:hint="eastAsia" w:cs="仿宋" w:asciiTheme="minorEastAsia" w:hAnsiTheme="minorEastAsia"/>
          <w:sz w:val="20"/>
          <w:szCs w:val="20"/>
          <w:u w:val="single"/>
        </w:rPr>
        <w:t>元）</w:t>
      </w:r>
      <w:r>
        <w:rPr>
          <w:rFonts w:hint="eastAsia" w:cs="仿宋" w:asciiTheme="minorEastAsia" w:hAnsiTheme="minorEastAsia"/>
          <w:sz w:val="20"/>
          <w:szCs w:val="20"/>
        </w:rPr>
        <w:t>。</w:t>
      </w:r>
    </w:p>
    <w:p w14:paraId="6BC0827C">
      <w:pPr>
        <w:tabs>
          <w:tab w:val="left" w:pos="480"/>
        </w:tabs>
        <w:spacing w:line="300" w:lineRule="auto"/>
        <w:ind w:firstLine="200"/>
        <w:rPr>
          <w:rFonts w:hint="eastAsia" w:cs="仿宋" w:asciiTheme="minorEastAsia" w:hAnsiTheme="minorEastAsia"/>
          <w:sz w:val="20"/>
          <w:szCs w:val="20"/>
        </w:rPr>
      </w:pPr>
      <w:r>
        <w:rPr>
          <w:rFonts w:hint="eastAsia" w:cs="仿宋" w:asciiTheme="minorEastAsia" w:hAnsiTheme="minorEastAsia"/>
          <w:sz w:val="20"/>
          <w:szCs w:val="20"/>
        </w:rPr>
        <w:t>（二）合同总价包括：货物费、运输费（含保险费）、装卸费、检测验收、税金（含关税）、培训费、技术服务及其它费用。</w:t>
      </w:r>
    </w:p>
    <w:p w14:paraId="535ABACB">
      <w:pPr>
        <w:tabs>
          <w:tab w:val="left" w:pos="480"/>
        </w:tabs>
        <w:spacing w:line="300" w:lineRule="auto"/>
        <w:ind w:firstLine="200"/>
        <w:rPr>
          <w:rFonts w:hint="eastAsia" w:cs="仿宋" w:asciiTheme="minorEastAsia" w:hAnsiTheme="minorEastAsia"/>
          <w:sz w:val="20"/>
          <w:szCs w:val="20"/>
        </w:rPr>
      </w:pPr>
      <w:r>
        <w:rPr>
          <w:rFonts w:hint="eastAsia" w:cs="仿宋" w:asciiTheme="minorEastAsia" w:hAnsiTheme="minorEastAsia"/>
          <w:sz w:val="20"/>
          <w:szCs w:val="20"/>
        </w:rPr>
        <w:t>（三）合同总价一次性包死，不受市场价格变化因素的影响。</w:t>
      </w:r>
    </w:p>
    <w:p w14:paraId="5ABCDF60">
      <w:pPr>
        <w:tabs>
          <w:tab w:val="left" w:pos="480"/>
        </w:tabs>
        <w:spacing w:line="300" w:lineRule="auto"/>
        <w:ind w:firstLine="402" w:firstLineChars="200"/>
        <w:rPr>
          <w:rFonts w:hint="eastAsia" w:cs="仿宋" w:asciiTheme="minorEastAsia" w:hAnsiTheme="minorEastAsia"/>
          <w:sz w:val="20"/>
          <w:szCs w:val="20"/>
        </w:rPr>
      </w:pPr>
      <w:r>
        <w:rPr>
          <w:rFonts w:hint="eastAsia" w:cs="仿宋" w:asciiTheme="minorEastAsia" w:hAnsiTheme="minorEastAsia"/>
          <w:b/>
          <w:sz w:val="20"/>
          <w:szCs w:val="20"/>
        </w:rPr>
        <w:t>三、款项结算</w:t>
      </w:r>
    </w:p>
    <w:p w14:paraId="1AD259B7">
      <w:pPr>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合同签订后，乙方须按其投标文件中响应的供货期按时交货并提供全额合规发票，保证“货票同行”。货物到达甲方指定地点，验收合格后，达到付款条件起30日内，甲方一次性支付合同总价款，即人民币（大写）：</w:t>
      </w:r>
      <w:r>
        <w:rPr>
          <w:rFonts w:cs="仿宋" w:asciiTheme="minorEastAsia" w:hAnsiTheme="minorEastAsia"/>
          <w:sz w:val="20"/>
          <w:szCs w:val="20"/>
          <w:u w:val="single"/>
        </w:rPr>
        <w:t xml:space="preserve">         </w:t>
      </w:r>
      <w:r>
        <w:rPr>
          <w:rFonts w:hint="eastAsia" w:cs="仿宋" w:asciiTheme="minorEastAsia" w:hAnsiTheme="minorEastAsia"/>
          <w:sz w:val="20"/>
          <w:szCs w:val="20"/>
        </w:rPr>
        <w:t>元整（</w:t>
      </w:r>
      <w:r>
        <w:rPr>
          <w:rFonts w:hint="eastAsia" w:cs="Calibri" w:asciiTheme="minorEastAsia" w:hAnsiTheme="minorEastAsia"/>
          <w:sz w:val="20"/>
          <w:szCs w:val="20"/>
        </w:rPr>
        <w:t>¥</w:t>
      </w:r>
      <w:r>
        <w:rPr>
          <w:rFonts w:cs="仿宋" w:asciiTheme="minorEastAsia" w:hAnsiTheme="minorEastAsia"/>
          <w:sz w:val="20"/>
          <w:szCs w:val="20"/>
          <w:u w:val="single"/>
        </w:rPr>
        <w:t xml:space="preserve">         </w:t>
      </w:r>
      <w:r>
        <w:rPr>
          <w:rFonts w:hint="eastAsia" w:cs="仿宋" w:asciiTheme="minorEastAsia" w:hAnsiTheme="minorEastAsia"/>
          <w:sz w:val="20"/>
          <w:szCs w:val="20"/>
        </w:rPr>
        <w:t>元）。</w:t>
      </w:r>
    </w:p>
    <w:p w14:paraId="12C89448">
      <w:pPr>
        <w:spacing w:line="300" w:lineRule="auto"/>
        <w:ind w:firstLine="402" w:firstLineChars="200"/>
        <w:rPr>
          <w:rFonts w:hint="eastAsia" w:cs="仿宋" w:asciiTheme="minorEastAsia" w:hAnsiTheme="minorEastAsia"/>
          <w:b/>
          <w:sz w:val="20"/>
          <w:szCs w:val="20"/>
        </w:rPr>
      </w:pPr>
      <w:r>
        <w:rPr>
          <w:rFonts w:hint="eastAsia" w:cs="仿宋" w:asciiTheme="minorEastAsia" w:hAnsiTheme="minorEastAsia"/>
          <w:b/>
          <w:sz w:val="20"/>
          <w:szCs w:val="20"/>
        </w:rPr>
        <w:t>四、交货条件：</w:t>
      </w:r>
    </w:p>
    <w:p w14:paraId="33ED369E">
      <w:pPr>
        <w:tabs>
          <w:tab w:val="left" w:pos="480"/>
        </w:tabs>
        <w:spacing w:line="300" w:lineRule="auto"/>
        <w:ind w:firstLine="200"/>
        <w:rPr>
          <w:rFonts w:hint="eastAsia" w:cs="仿宋" w:asciiTheme="minorEastAsia" w:hAnsiTheme="minorEastAsia"/>
          <w:sz w:val="20"/>
          <w:szCs w:val="20"/>
        </w:rPr>
      </w:pPr>
      <w:r>
        <w:rPr>
          <w:rFonts w:hint="eastAsia" w:cs="仿宋" w:asciiTheme="minorEastAsia" w:hAnsiTheme="minorEastAsia"/>
          <w:sz w:val="20"/>
          <w:szCs w:val="20"/>
        </w:rPr>
        <w:t>（一）交货地点：</w:t>
      </w:r>
      <w:r>
        <w:rPr>
          <w:rFonts w:hint="eastAsia" w:cs="仿宋" w:asciiTheme="minorEastAsia" w:hAnsiTheme="minorEastAsia"/>
          <w:b/>
          <w:bCs/>
          <w:sz w:val="20"/>
          <w:szCs w:val="20"/>
        </w:rPr>
        <w:t>西安市疾病预防控制中心指定地点</w:t>
      </w:r>
      <w:r>
        <w:rPr>
          <w:rFonts w:hint="eastAsia" w:cs="仿宋" w:asciiTheme="minorEastAsia" w:hAnsiTheme="minorEastAsia"/>
          <w:bCs/>
          <w:sz w:val="20"/>
          <w:szCs w:val="20"/>
        </w:rPr>
        <w:t>。</w:t>
      </w:r>
    </w:p>
    <w:p w14:paraId="2E552889">
      <w:pPr>
        <w:tabs>
          <w:tab w:val="left" w:pos="480"/>
        </w:tabs>
        <w:spacing w:line="300" w:lineRule="auto"/>
        <w:ind w:firstLine="200"/>
        <w:rPr>
          <w:rFonts w:hint="eastAsia" w:cs="仿宋" w:asciiTheme="minorEastAsia" w:hAnsiTheme="minorEastAsia"/>
          <w:b/>
          <w:bCs/>
          <w:sz w:val="20"/>
          <w:szCs w:val="20"/>
          <w:u w:val="single"/>
        </w:rPr>
      </w:pPr>
      <w:r>
        <w:rPr>
          <w:rFonts w:hint="eastAsia" w:cs="仿宋" w:asciiTheme="minorEastAsia" w:hAnsiTheme="minorEastAsia"/>
          <w:sz w:val="20"/>
          <w:szCs w:val="20"/>
        </w:rPr>
        <w:t>（二）供货期限：</w:t>
      </w:r>
      <w:r>
        <w:rPr>
          <w:rFonts w:hint="eastAsia" w:cs="仿宋" w:asciiTheme="minorEastAsia" w:hAnsiTheme="minorEastAsia"/>
          <w:b/>
          <w:bCs/>
          <w:sz w:val="20"/>
          <w:szCs w:val="20"/>
        </w:rPr>
        <w:t>接到采购人送货通知后，30天内送达采购人指定地点。</w:t>
      </w:r>
    </w:p>
    <w:p w14:paraId="1400E125">
      <w:pPr>
        <w:tabs>
          <w:tab w:val="left" w:pos="480"/>
        </w:tabs>
        <w:spacing w:line="300" w:lineRule="auto"/>
        <w:ind w:firstLine="402" w:firstLineChars="200"/>
        <w:rPr>
          <w:rFonts w:hint="eastAsia" w:cs="仿宋" w:asciiTheme="minorEastAsia" w:hAnsiTheme="minorEastAsia"/>
          <w:b/>
          <w:sz w:val="20"/>
          <w:szCs w:val="20"/>
        </w:rPr>
      </w:pPr>
      <w:r>
        <w:rPr>
          <w:rFonts w:hint="eastAsia" w:cs="仿宋" w:asciiTheme="minorEastAsia" w:hAnsiTheme="minorEastAsia"/>
          <w:b/>
          <w:sz w:val="20"/>
          <w:szCs w:val="20"/>
        </w:rPr>
        <w:t>五、运输</w:t>
      </w:r>
    </w:p>
    <w:p w14:paraId="00CA05F6">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（一）运输由乙方负责，运杂费已包含在合同总价内，包括从货物供应地点至交货地点所含的运输费、装卸费、仓储费、保险费等。</w:t>
      </w:r>
    </w:p>
    <w:p w14:paraId="615366B6">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（二）运输方式由乙方自行选择，但必须保证按期交货。</w:t>
      </w:r>
    </w:p>
    <w:p w14:paraId="579844BC">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（三）因运输产生的一切风险及质量问题均由乙方承担。</w:t>
      </w:r>
    </w:p>
    <w:p w14:paraId="0791C5D4">
      <w:pPr>
        <w:tabs>
          <w:tab w:val="left" w:pos="480"/>
        </w:tabs>
        <w:spacing w:line="300" w:lineRule="auto"/>
        <w:ind w:firstLine="402" w:firstLineChars="200"/>
        <w:rPr>
          <w:rFonts w:hint="eastAsia" w:cs="仿宋" w:asciiTheme="minorEastAsia" w:hAnsiTheme="minorEastAsia"/>
          <w:b/>
          <w:sz w:val="20"/>
          <w:szCs w:val="20"/>
        </w:rPr>
      </w:pPr>
      <w:r>
        <w:rPr>
          <w:rFonts w:hint="eastAsia" w:cs="仿宋" w:asciiTheme="minorEastAsia" w:hAnsiTheme="minorEastAsia"/>
          <w:b/>
          <w:sz w:val="20"/>
          <w:szCs w:val="20"/>
        </w:rPr>
        <w:t>六、质量保证</w:t>
      </w:r>
    </w:p>
    <w:p w14:paraId="7E5F0E35">
      <w:pPr>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乙方保证合同项下所供货物是合同规定厂家供货生产的，全新未使用过的，并完全符合合同规定的质量、规格等要求。提供的货物必须保证质量可靠，进货渠道正常，全面满足招标内容的要求，招标文件未明确要求的内容，乙方均按甲方的补充要求为准。所供货物工艺质量应严格按国家最新发布的规范标准执行，如发生质量问题由乙方承担全部责任。</w:t>
      </w:r>
    </w:p>
    <w:p w14:paraId="1FB1104D">
      <w:pPr>
        <w:spacing w:line="300" w:lineRule="auto"/>
        <w:ind w:firstLine="402" w:firstLineChars="200"/>
        <w:rPr>
          <w:rFonts w:hint="eastAsia" w:cs="仿宋" w:asciiTheme="minorEastAsia" w:hAnsiTheme="minorEastAsia"/>
          <w:b/>
          <w:sz w:val="20"/>
          <w:szCs w:val="20"/>
        </w:rPr>
      </w:pPr>
      <w:r>
        <w:rPr>
          <w:rFonts w:hint="eastAsia" w:cs="仿宋" w:asciiTheme="minorEastAsia" w:hAnsiTheme="minorEastAsia"/>
          <w:b/>
          <w:sz w:val="20"/>
          <w:szCs w:val="20"/>
        </w:rPr>
        <w:t>七、售后服务</w:t>
      </w:r>
    </w:p>
    <w:p w14:paraId="66CB15FD">
      <w:pPr>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乙方为甲方所供货物须提供以下售后服务：</w:t>
      </w:r>
    </w:p>
    <w:p w14:paraId="181777B5">
      <w:pPr>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1.</w:t>
      </w:r>
      <w:r>
        <w:rPr>
          <w:rFonts w:hint="eastAsia" w:asciiTheme="minorEastAsia" w:hAnsiTheme="minorEastAsia"/>
          <w:sz w:val="20"/>
          <w:szCs w:val="20"/>
        </w:rPr>
        <w:t xml:space="preserve"> </w:t>
      </w:r>
      <w:r>
        <w:rPr>
          <w:rFonts w:hint="eastAsia" w:cs="仿宋" w:asciiTheme="minorEastAsia" w:hAnsiTheme="minorEastAsia"/>
          <w:sz w:val="20"/>
          <w:szCs w:val="20"/>
        </w:rPr>
        <w:t>自货物验收合格之日起计算,质保不少于12个月。</w:t>
      </w:r>
    </w:p>
    <w:p w14:paraId="57582AB4">
      <w:pPr>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2.</w:t>
      </w:r>
      <w:r>
        <w:rPr>
          <w:rFonts w:hint="eastAsia" w:asciiTheme="minorEastAsia" w:hAnsiTheme="minorEastAsia"/>
          <w:sz w:val="20"/>
          <w:szCs w:val="20"/>
        </w:rPr>
        <w:t xml:space="preserve"> </w:t>
      </w:r>
      <w:r>
        <w:rPr>
          <w:rFonts w:hint="eastAsia" w:cs="仿宋" w:asciiTheme="minorEastAsia" w:hAnsiTheme="minorEastAsia"/>
          <w:sz w:val="20"/>
          <w:szCs w:val="20"/>
        </w:rPr>
        <w:t>在质量保证期内，乙方对由于设计、工艺或材料的缺陷或运输、保存而产生的事故负责（负责解决并承担全部费用）。</w:t>
      </w:r>
    </w:p>
    <w:p w14:paraId="6C6B0DF6">
      <w:pPr>
        <w:tabs>
          <w:tab w:val="left" w:pos="480"/>
        </w:tabs>
        <w:spacing w:line="300" w:lineRule="auto"/>
        <w:ind w:firstLine="402" w:firstLineChars="200"/>
        <w:rPr>
          <w:rFonts w:hint="eastAsia" w:cs="仿宋" w:asciiTheme="minorEastAsia" w:hAnsiTheme="minorEastAsia"/>
          <w:b/>
          <w:sz w:val="20"/>
          <w:szCs w:val="20"/>
        </w:rPr>
      </w:pPr>
      <w:r>
        <w:rPr>
          <w:rFonts w:hint="eastAsia" w:cs="仿宋" w:asciiTheme="minorEastAsia" w:hAnsiTheme="minorEastAsia"/>
          <w:b/>
          <w:sz w:val="20"/>
          <w:szCs w:val="20"/>
        </w:rPr>
        <w:t>八、技术与服务</w:t>
      </w:r>
    </w:p>
    <w:p w14:paraId="620376A6">
      <w:pPr>
        <w:tabs>
          <w:tab w:val="left" w:pos="480"/>
        </w:tabs>
        <w:spacing w:line="300" w:lineRule="auto"/>
        <w:ind w:firstLine="200"/>
        <w:rPr>
          <w:rFonts w:hint="eastAsia" w:cs="仿宋" w:asciiTheme="minorEastAsia" w:hAnsiTheme="minorEastAsia"/>
          <w:bCs/>
          <w:sz w:val="20"/>
          <w:szCs w:val="20"/>
        </w:rPr>
      </w:pPr>
      <w:r>
        <w:rPr>
          <w:rFonts w:hint="eastAsia" w:cs="仿宋" w:asciiTheme="minorEastAsia" w:hAnsiTheme="minorEastAsia"/>
          <w:bCs/>
          <w:sz w:val="20"/>
          <w:szCs w:val="20"/>
        </w:rPr>
        <w:t>（一）技术资料：</w:t>
      </w:r>
    </w:p>
    <w:p w14:paraId="39EBA7E1">
      <w:pPr>
        <w:tabs>
          <w:tab w:val="left" w:pos="480"/>
        </w:tabs>
        <w:spacing w:line="300" w:lineRule="auto"/>
        <w:ind w:firstLine="200"/>
        <w:rPr>
          <w:rFonts w:hint="eastAsia" w:cs="仿宋" w:asciiTheme="minorEastAsia" w:hAnsiTheme="minorEastAsia"/>
          <w:bCs/>
          <w:sz w:val="20"/>
          <w:szCs w:val="20"/>
        </w:rPr>
      </w:pPr>
      <w:r>
        <w:rPr>
          <w:rFonts w:hint="eastAsia" w:cs="仿宋" w:asciiTheme="minorEastAsia" w:hAnsiTheme="minorEastAsia"/>
          <w:bCs/>
          <w:sz w:val="20"/>
          <w:szCs w:val="20"/>
        </w:rPr>
        <w:t>1.操作使用说明和保存条件。</w:t>
      </w:r>
    </w:p>
    <w:p w14:paraId="209439F5">
      <w:pPr>
        <w:tabs>
          <w:tab w:val="left" w:pos="480"/>
        </w:tabs>
        <w:spacing w:line="300" w:lineRule="auto"/>
        <w:ind w:firstLine="200"/>
        <w:rPr>
          <w:rFonts w:hint="eastAsia" w:cs="仿宋" w:asciiTheme="minorEastAsia" w:hAnsiTheme="minorEastAsia"/>
          <w:bCs/>
          <w:sz w:val="20"/>
          <w:szCs w:val="20"/>
        </w:rPr>
      </w:pPr>
      <w:r>
        <w:rPr>
          <w:rFonts w:hint="eastAsia" w:cs="仿宋" w:asciiTheme="minorEastAsia" w:hAnsiTheme="minorEastAsia"/>
          <w:bCs/>
          <w:sz w:val="20"/>
          <w:szCs w:val="20"/>
        </w:rPr>
        <w:t>2.制造厂商的检验、测试报告、检验合格证书，质量保证书等文件须验收时一并提供。</w:t>
      </w:r>
    </w:p>
    <w:p w14:paraId="71802FF6">
      <w:pPr>
        <w:tabs>
          <w:tab w:val="left" w:pos="480"/>
        </w:tabs>
        <w:spacing w:line="300" w:lineRule="auto"/>
        <w:ind w:firstLine="200"/>
        <w:rPr>
          <w:rFonts w:hint="eastAsia" w:cs="仿宋" w:asciiTheme="minorEastAsia" w:hAnsiTheme="minorEastAsia"/>
          <w:bCs/>
          <w:sz w:val="20"/>
          <w:szCs w:val="20"/>
        </w:rPr>
      </w:pPr>
      <w:r>
        <w:rPr>
          <w:rFonts w:hint="eastAsia" w:cs="仿宋" w:asciiTheme="minorEastAsia" w:hAnsiTheme="minorEastAsia"/>
          <w:bCs/>
          <w:sz w:val="20"/>
          <w:szCs w:val="20"/>
        </w:rPr>
        <w:t xml:space="preserve">3.货物验收标准      </w:t>
      </w:r>
    </w:p>
    <w:p w14:paraId="5DBCE6E7">
      <w:pPr>
        <w:tabs>
          <w:tab w:val="left" w:pos="480"/>
        </w:tabs>
        <w:spacing w:line="300" w:lineRule="auto"/>
        <w:ind w:firstLine="200"/>
        <w:rPr>
          <w:rFonts w:hint="eastAsia" w:cs="仿宋" w:asciiTheme="minorEastAsia" w:hAnsiTheme="minorEastAsia"/>
          <w:bCs/>
          <w:sz w:val="20"/>
          <w:szCs w:val="20"/>
        </w:rPr>
      </w:pPr>
      <w:r>
        <w:rPr>
          <w:rFonts w:hint="eastAsia" w:cs="仿宋" w:asciiTheme="minorEastAsia" w:hAnsiTheme="minorEastAsia"/>
          <w:bCs/>
          <w:sz w:val="20"/>
          <w:szCs w:val="20"/>
        </w:rPr>
        <w:t xml:space="preserve">4.使用说明书                </w:t>
      </w:r>
    </w:p>
    <w:p w14:paraId="32F3138B">
      <w:pPr>
        <w:tabs>
          <w:tab w:val="left" w:pos="480"/>
        </w:tabs>
        <w:spacing w:line="300" w:lineRule="auto"/>
        <w:ind w:firstLine="200"/>
        <w:rPr>
          <w:rFonts w:hint="eastAsia" w:cs="仿宋" w:asciiTheme="minorEastAsia" w:hAnsiTheme="minorEastAsia"/>
          <w:bCs/>
          <w:sz w:val="20"/>
          <w:szCs w:val="20"/>
        </w:rPr>
      </w:pPr>
      <w:r>
        <w:rPr>
          <w:rFonts w:hint="eastAsia" w:cs="仿宋" w:asciiTheme="minorEastAsia" w:hAnsiTheme="minorEastAsia"/>
          <w:bCs/>
          <w:sz w:val="20"/>
          <w:szCs w:val="20"/>
        </w:rPr>
        <w:t xml:space="preserve">5.必须的其它技术资料。      </w:t>
      </w:r>
    </w:p>
    <w:p w14:paraId="32419D5B">
      <w:pPr>
        <w:tabs>
          <w:tab w:val="left" w:pos="480"/>
        </w:tabs>
        <w:spacing w:line="300" w:lineRule="auto"/>
        <w:ind w:firstLine="200"/>
        <w:rPr>
          <w:rFonts w:hint="eastAsia" w:cs="仿宋" w:asciiTheme="minorEastAsia" w:hAnsiTheme="minorEastAsia"/>
          <w:bCs/>
          <w:sz w:val="20"/>
          <w:szCs w:val="20"/>
        </w:rPr>
      </w:pPr>
      <w:r>
        <w:rPr>
          <w:rFonts w:hint="eastAsia" w:cs="仿宋" w:asciiTheme="minorEastAsia" w:hAnsiTheme="minorEastAsia"/>
          <w:bCs/>
          <w:sz w:val="20"/>
          <w:szCs w:val="20"/>
        </w:rPr>
        <w:t>6.合同中要求的其他文件资料</w:t>
      </w:r>
    </w:p>
    <w:p w14:paraId="1A3E6814">
      <w:pPr>
        <w:tabs>
          <w:tab w:val="left" w:pos="480"/>
        </w:tabs>
        <w:spacing w:line="300" w:lineRule="auto"/>
        <w:ind w:firstLine="200"/>
        <w:rPr>
          <w:rFonts w:hint="eastAsia" w:cs="仿宋" w:asciiTheme="minorEastAsia" w:hAnsiTheme="minorEastAsia"/>
          <w:bCs/>
          <w:sz w:val="20"/>
          <w:szCs w:val="20"/>
        </w:rPr>
      </w:pPr>
      <w:r>
        <w:rPr>
          <w:rFonts w:hint="eastAsia" w:cs="仿宋" w:asciiTheme="minorEastAsia" w:hAnsiTheme="minorEastAsia"/>
          <w:bCs/>
          <w:sz w:val="20"/>
          <w:szCs w:val="20"/>
        </w:rPr>
        <w:t>（二）培训要求：验收后，乙方需为甲方培训操作使用技术人员二名，提高操作培训二名，培训服务以受培训人员熟练掌握相应技能为原则。</w:t>
      </w:r>
    </w:p>
    <w:p w14:paraId="672B8DB2">
      <w:pPr>
        <w:tabs>
          <w:tab w:val="left" w:pos="480"/>
        </w:tabs>
        <w:spacing w:line="300" w:lineRule="auto"/>
        <w:ind w:firstLine="200"/>
        <w:rPr>
          <w:rFonts w:hint="eastAsia" w:cs="仿宋" w:asciiTheme="minorEastAsia" w:hAnsiTheme="minorEastAsia"/>
          <w:bCs/>
          <w:sz w:val="20"/>
          <w:szCs w:val="20"/>
        </w:rPr>
      </w:pPr>
      <w:r>
        <w:rPr>
          <w:rFonts w:hint="eastAsia" w:cs="仿宋" w:asciiTheme="minorEastAsia" w:hAnsiTheme="minorEastAsia"/>
          <w:bCs/>
          <w:sz w:val="20"/>
          <w:szCs w:val="20"/>
        </w:rPr>
        <w:t>（三）服务承诺：以投标文件、澄清表（函）、合同和随货物的相关文件为准。</w:t>
      </w:r>
    </w:p>
    <w:p w14:paraId="0CE7DBFB">
      <w:pPr>
        <w:tabs>
          <w:tab w:val="left" w:pos="480"/>
        </w:tabs>
        <w:spacing w:line="300" w:lineRule="auto"/>
        <w:ind w:firstLine="200"/>
        <w:rPr>
          <w:rFonts w:hint="eastAsia" w:cs="仿宋" w:asciiTheme="minorEastAsia" w:hAnsiTheme="minorEastAsia"/>
          <w:b/>
          <w:sz w:val="20"/>
          <w:szCs w:val="20"/>
        </w:rPr>
      </w:pPr>
      <w:r>
        <w:rPr>
          <w:rFonts w:hint="eastAsia" w:cs="仿宋" w:asciiTheme="minorEastAsia" w:hAnsiTheme="minorEastAsia"/>
          <w:b/>
          <w:sz w:val="20"/>
          <w:szCs w:val="20"/>
        </w:rPr>
        <w:t>九、验收</w:t>
      </w:r>
    </w:p>
    <w:p w14:paraId="35EED864">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由甲方和乙方共同对货物进行验收。其内容包括确认货物的包装、产地、规格、型号和数量，对其货物技术指标、性能参数进行逐项核验。</w:t>
      </w:r>
    </w:p>
    <w:p w14:paraId="26F0549D">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1.验收货物的指标、性能参数通过验收达到合同要求，或出现甲方不能正常使用的情况，将视为验收不合格，乙方应及时更换或退货。</w:t>
      </w:r>
    </w:p>
    <w:p w14:paraId="6CEACE2B">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2.若发现乙方有弄虚作假的，故意或随意夸大货物技术性能，甲方除要求退货外，有权要求乙方赔偿甲方相应的损失。</w:t>
      </w:r>
    </w:p>
    <w:p w14:paraId="06F43E3D">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3.验收标准：按合同文件及澄清等技术指标进行验收。货物的各项指标均应符合验收标准及要求。</w:t>
      </w:r>
    </w:p>
    <w:p w14:paraId="63044BF3">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 xml:space="preserve">4.验收合格后，填写验收单，甲方签字后生效。                </w:t>
      </w:r>
    </w:p>
    <w:p w14:paraId="36E2A669">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 xml:space="preserve">5.验收依据：                                                    </w:t>
      </w:r>
    </w:p>
    <w:p w14:paraId="3016CAA9">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 xml:space="preserve">5.1本合同文本：                                                                         </w:t>
      </w:r>
    </w:p>
    <w:p w14:paraId="756977EE">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 xml:space="preserve">5.2国家和行业制定的相应的标准和规范。                          </w:t>
      </w:r>
    </w:p>
    <w:p w14:paraId="6A2ACAB0">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5.3验收清单（注明品名、数量、价格、规格型号、产地和生产厂家）。</w:t>
      </w:r>
    </w:p>
    <w:p w14:paraId="06AEAB11">
      <w:pPr>
        <w:tabs>
          <w:tab w:val="left" w:pos="480"/>
        </w:tabs>
        <w:spacing w:line="300" w:lineRule="auto"/>
        <w:ind w:firstLine="402" w:firstLineChars="200"/>
        <w:rPr>
          <w:rFonts w:hint="eastAsia" w:cs="仿宋" w:asciiTheme="minorEastAsia" w:hAnsiTheme="minorEastAsia"/>
          <w:b/>
          <w:sz w:val="20"/>
          <w:szCs w:val="20"/>
        </w:rPr>
      </w:pPr>
      <w:r>
        <w:rPr>
          <w:rFonts w:hint="eastAsia" w:cs="仿宋" w:asciiTheme="minorEastAsia" w:hAnsiTheme="minorEastAsia"/>
          <w:b/>
          <w:sz w:val="20"/>
          <w:szCs w:val="20"/>
        </w:rPr>
        <w:t>十、违约责任</w:t>
      </w:r>
    </w:p>
    <w:p w14:paraId="75E55894">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（一）按《民法典》中的相关条款执行。</w:t>
      </w:r>
    </w:p>
    <w:p w14:paraId="7A8428D0">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14:paraId="3B1EA7ED">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1.乙方赔偿甲方解除合同的全部损失（包括但不限于重新采购产生的费用、合同未履行导致货物不能按规划交付使用可能产生的由此造成的甲方对第三方的违约损失）；</w:t>
      </w:r>
    </w:p>
    <w:p w14:paraId="221D0C63">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2.乙方支付甲方违约金，违约金计算方法：以合同总价为基数，支付甲方合同总价的30%为违约金。同时对乙方的违约行为报监管机构进行相应的处罚。</w:t>
      </w:r>
    </w:p>
    <w:p w14:paraId="4F70EAE9">
      <w:pPr>
        <w:tabs>
          <w:tab w:val="left" w:pos="480"/>
        </w:tabs>
        <w:spacing w:line="300" w:lineRule="auto"/>
        <w:ind w:firstLine="402" w:firstLineChars="200"/>
        <w:rPr>
          <w:rFonts w:hint="eastAsia" w:cs="仿宋" w:asciiTheme="minorEastAsia" w:hAnsiTheme="minorEastAsia"/>
          <w:b/>
          <w:sz w:val="20"/>
          <w:szCs w:val="20"/>
        </w:rPr>
      </w:pPr>
      <w:r>
        <w:rPr>
          <w:rFonts w:hint="eastAsia" w:cs="仿宋" w:asciiTheme="minorEastAsia" w:hAnsiTheme="minorEastAsia"/>
          <w:b/>
          <w:sz w:val="20"/>
          <w:szCs w:val="20"/>
        </w:rPr>
        <w:t>十一、合同争议解决的方式</w:t>
      </w:r>
    </w:p>
    <w:p w14:paraId="39F0C848">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本合同在履行过程中发生的争议，由甲、乙双方当事人协商解决，协商不成的依法向甲方所在地人民法院起诉。</w:t>
      </w:r>
    </w:p>
    <w:p w14:paraId="6540519D">
      <w:pPr>
        <w:tabs>
          <w:tab w:val="left" w:pos="480"/>
        </w:tabs>
        <w:spacing w:line="300" w:lineRule="auto"/>
        <w:ind w:firstLine="402" w:firstLineChars="200"/>
        <w:rPr>
          <w:rFonts w:hint="eastAsia" w:cs="仿宋" w:asciiTheme="minorEastAsia" w:hAnsiTheme="minorEastAsia"/>
          <w:b/>
          <w:sz w:val="20"/>
          <w:szCs w:val="20"/>
        </w:rPr>
      </w:pPr>
      <w:r>
        <w:rPr>
          <w:rFonts w:hint="eastAsia" w:cs="仿宋" w:asciiTheme="minorEastAsia" w:hAnsiTheme="minorEastAsia"/>
          <w:b/>
          <w:sz w:val="20"/>
          <w:szCs w:val="20"/>
        </w:rPr>
        <w:t>十二、合同生效</w:t>
      </w:r>
    </w:p>
    <w:p w14:paraId="6F87DD9B">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本合同一式柒份，甲方伍份，乙方壹份，鉴证方壹份，本合同经甲方、乙方和鉴证方签字盖章后生效，质保期结束后，自动终止（但合同的服务承诺除外）。</w:t>
      </w:r>
    </w:p>
    <w:p w14:paraId="4A4D80E3">
      <w:pPr>
        <w:tabs>
          <w:tab w:val="left" w:pos="480"/>
        </w:tabs>
        <w:spacing w:line="300" w:lineRule="auto"/>
        <w:ind w:firstLine="402" w:firstLineChars="200"/>
        <w:rPr>
          <w:rFonts w:hint="eastAsia" w:cs="仿宋" w:asciiTheme="minorEastAsia" w:hAnsiTheme="minorEastAsia"/>
          <w:b/>
          <w:sz w:val="20"/>
          <w:szCs w:val="20"/>
        </w:rPr>
      </w:pPr>
      <w:r>
        <w:rPr>
          <w:rFonts w:hint="eastAsia" w:cs="仿宋" w:asciiTheme="minorEastAsia" w:hAnsiTheme="minorEastAsia"/>
          <w:b/>
          <w:sz w:val="20"/>
          <w:szCs w:val="20"/>
        </w:rPr>
        <w:t>十三、其他事项</w:t>
      </w:r>
    </w:p>
    <w:p w14:paraId="1A566ECA">
      <w:pPr>
        <w:tabs>
          <w:tab w:val="left" w:pos="480"/>
        </w:tabs>
        <w:spacing w:line="300" w:lineRule="auto"/>
        <w:ind w:firstLine="200"/>
        <w:rPr>
          <w:rFonts w:hint="eastAsia" w:cs="仿宋" w:asciiTheme="minorEastAsia" w:hAnsiTheme="minorEastAsia"/>
          <w:sz w:val="20"/>
          <w:szCs w:val="20"/>
        </w:rPr>
      </w:pPr>
      <w:r>
        <w:rPr>
          <w:rFonts w:hint="eastAsia" w:cs="仿宋" w:asciiTheme="minorEastAsia" w:hAnsiTheme="minorEastAsia"/>
          <w:sz w:val="20"/>
          <w:szCs w:val="20"/>
        </w:rPr>
        <w:t>（一）西安市财政局政府采购管理处在合同的履行期间以及履行期后，可以随时检查项目的执行情况，对采购内容、标准进行调查核实，并对发现的问题进行处理。</w:t>
      </w:r>
    </w:p>
    <w:p w14:paraId="00E50B8F">
      <w:pPr>
        <w:tabs>
          <w:tab w:val="left" w:pos="480"/>
        </w:tabs>
        <w:spacing w:line="300" w:lineRule="auto"/>
        <w:ind w:firstLine="200"/>
        <w:rPr>
          <w:rFonts w:hint="eastAsia" w:cs="仿宋" w:asciiTheme="minorEastAsia" w:hAnsiTheme="minorEastAsia"/>
          <w:sz w:val="20"/>
          <w:szCs w:val="20"/>
        </w:rPr>
      </w:pPr>
      <w:r>
        <w:rPr>
          <w:rFonts w:hint="eastAsia" w:cs="仿宋" w:asciiTheme="minorEastAsia" w:hAnsiTheme="minorEastAsia"/>
          <w:sz w:val="20"/>
          <w:szCs w:val="20"/>
        </w:rPr>
        <w:t>（二）招标文件、投标文件、澄清表（函）、中标通知书、合同附件均成为合同不可分割的部分。</w:t>
      </w:r>
    </w:p>
    <w:p w14:paraId="6DF92E0F">
      <w:pPr>
        <w:tabs>
          <w:tab w:val="left" w:pos="480"/>
        </w:tabs>
        <w:spacing w:line="300" w:lineRule="auto"/>
        <w:ind w:firstLine="200"/>
        <w:rPr>
          <w:rFonts w:hint="eastAsia" w:cs="仿宋" w:asciiTheme="minorEastAsia" w:hAnsiTheme="minorEastAsia"/>
          <w:sz w:val="20"/>
          <w:szCs w:val="20"/>
        </w:rPr>
      </w:pPr>
      <w:r>
        <w:rPr>
          <w:rFonts w:hint="eastAsia" w:cs="仿宋" w:asciiTheme="minorEastAsia" w:hAnsiTheme="minorEastAsia"/>
          <w:sz w:val="20"/>
          <w:szCs w:val="20"/>
        </w:rPr>
        <w:t>（三）合同未尽事宜，由甲、乙双方协商，经见证方确认后，签订补充协议，与原合同具有同等法律效力。</w:t>
      </w:r>
    </w:p>
    <w:p w14:paraId="0B68EFBD">
      <w:pPr>
        <w:tabs>
          <w:tab w:val="left" w:pos="480"/>
        </w:tabs>
        <w:spacing w:line="300" w:lineRule="auto"/>
        <w:ind w:firstLine="200"/>
        <w:rPr>
          <w:rFonts w:hint="eastAsia" w:cs="仿宋" w:asciiTheme="minorEastAsia" w:hAnsiTheme="minorEastAsia"/>
          <w:sz w:val="20"/>
          <w:szCs w:val="20"/>
        </w:rPr>
      </w:pPr>
      <w:r>
        <w:rPr>
          <w:rFonts w:hint="eastAsia" w:cs="仿宋" w:asciiTheme="minorEastAsia" w:hAnsiTheme="minorEastAsia"/>
          <w:sz w:val="20"/>
          <w:szCs w:val="20"/>
        </w:rPr>
        <w:t>（四）合同一经签订，不得擅自变更、中止或终止合同。对确需变更、调整或中止、终止合同的，有法律规定的按照法律规定，除合同约定外，由甲乙双方再行协商，协商一致前，原合同或条款继续履行。</w:t>
      </w:r>
    </w:p>
    <w:p w14:paraId="53C1CF18">
      <w:pPr>
        <w:tabs>
          <w:tab w:val="left" w:pos="480"/>
        </w:tabs>
        <w:spacing w:line="300" w:lineRule="auto"/>
        <w:ind w:firstLine="200"/>
        <w:rPr>
          <w:rFonts w:hint="eastAsia" w:cs="仿宋" w:asciiTheme="minorEastAsia" w:hAnsiTheme="minorEastAsia"/>
          <w:sz w:val="20"/>
          <w:szCs w:val="20"/>
        </w:rPr>
      </w:pPr>
      <w:r>
        <w:rPr>
          <w:rFonts w:hint="eastAsia" w:cs="仿宋" w:asciiTheme="minorEastAsia" w:hAnsiTheme="minorEastAsia"/>
          <w:sz w:val="20"/>
          <w:szCs w:val="20"/>
        </w:rPr>
        <w:t>（五）本合同按照中华人民共和国的现行法律进行解释。</w:t>
      </w:r>
    </w:p>
    <w:p w14:paraId="4D32B6B7">
      <w:pPr>
        <w:tabs>
          <w:tab w:val="left" w:pos="480"/>
        </w:tabs>
        <w:spacing w:line="300" w:lineRule="auto"/>
        <w:ind w:firstLine="200"/>
        <w:rPr>
          <w:rFonts w:hint="eastAsia" w:cs="仿宋" w:asciiTheme="minorEastAsia" w:hAnsiTheme="minorEastAsia"/>
          <w:sz w:val="20"/>
          <w:szCs w:val="20"/>
        </w:rPr>
      </w:pPr>
      <w:r>
        <w:rPr>
          <w:rFonts w:hint="eastAsia" w:cs="仿宋" w:asciiTheme="minorEastAsia" w:hAnsiTheme="minorEastAsia"/>
          <w:sz w:val="20"/>
          <w:szCs w:val="20"/>
        </w:rPr>
        <w:t>（六）本合同附件作为本合同的组成部分，与本合同具有同等法律效力。</w:t>
      </w:r>
    </w:p>
    <w:p w14:paraId="1EACF7CA">
      <w:pPr>
        <w:tabs>
          <w:tab w:val="left" w:pos="480"/>
        </w:tabs>
        <w:spacing w:line="300" w:lineRule="auto"/>
        <w:ind w:firstLine="200"/>
        <w:rPr>
          <w:rFonts w:hint="eastAsia" w:ascii="宋体" w:hAnsi="宋体" w:eastAsia="宋体" w:cs="宋体"/>
          <w:szCs w:val="21"/>
        </w:rPr>
      </w:pPr>
      <w:r>
        <w:rPr>
          <w:rFonts w:hint="eastAsia" w:ascii="宋体" w:hAnsi="宋体" w:eastAsia="宋体" w:cs="宋体"/>
          <w:szCs w:val="21"/>
        </w:rPr>
        <w:t>（以下无正文）</w:t>
      </w:r>
    </w:p>
    <w:p w14:paraId="6CAABBE0">
      <w:pPr>
        <w:tabs>
          <w:tab w:val="left" w:pos="480"/>
        </w:tabs>
        <w:spacing w:line="300" w:lineRule="auto"/>
        <w:ind w:firstLine="200"/>
        <w:rPr>
          <w:rFonts w:hint="eastAsia" w:cs="仿宋" w:asciiTheme="minorEastAsia" w:hAnsiTheme="minorEastAsia"/>
          <w:sz w:val="20"/>
          <w:szCs w:val="20"/>
        </w:rPr>
      </w:pPr>
    </w:p>
    <w:tbl>
      <w:tblPr>
        <w:tblStyle w:val="4"/>
        <w:tblW w:w="0" w:type="auto"/>
        <w:tblInd w:w="0" w:type="dxa"/>
        <w:tblLayout w:type="autofit"/>
        <w:tblCellMar>
          <w:top w:w="0" w:type="dxa"/>
          <w:left w:w="108" w:type="dxa"/>
          <w:bottom w:w="0" w:type="dxa"/>
          <w:right w:w="108" w:type="dxa"/>
        </w:tblCellMar>
      </w:tblPr>
      <w:tblGrid>
        <w:gridCol w:w="4645"/>
        <w:gridCol w:w="4643"/>
      </w:tblGrid>
      <w:tr w14:paraId="4143048A">
        <w:tblPrEx>
          <w:tblCellMar>
            <w:top w:w="0" w:type="dxa"/>
            <w:left w:w="108" w:type="dxa"/>
            <w:bottom w:w="0" w:type="dxa"/>
            <w:right w:w="108" w:type="dxa"/>
          </w:tblCellMar>
        </w:tblPrEx>
        <w:tc>
          <w:tcPr>
            <w:tcW w:w="4657" w:type="dxa"/>
            <w:vAlign w:val="center"/>
          </w:tcPr>
          <w:p w14:paraId="6CF662C1">
            <w:pPr>
              <w:tabs>
                <w:tab w:val="left" w:pos="480"/>
              </w:tabs>
              <w:snapToGrid w:val="0"/>
              <w:spacing w:line="360" w:lineRule="auto"/>
              <w:rPr>
                <w:rFonts w:hint="eastAsia" w:ascii="宋体" w:hAnsi="宋体" w:eastAsia="宋体" w:cs="宋体"/>
                <w:szCs w:val="21"/>
              </w:rPr>
            </w:pPr>
            <w:r>
              <w:rPr>
                <w:rFonts w:hint="eastAsia" w:ascii="宋体" w:hAnsi="宋体" w:eastAsia="宋体" w:cs="宋体"/>
                <w:szCs w:val="21"/>
              </w:rPr>
              <w:t>甲  方（法人公章）</w:t>
            </w:r>
          </w:p>
        </w:tc>
        <w:tc>
          <w:tcPr>
            <w:tcW w:w="4655" w:type="dxa"/>
            <w:vAlign w:val="center"/>
          </w:tcPr>
          <w:p w14:paraId="433772FC">
            <w:pPr>
              <w:tabs>
                <w:tab w:val="left" w:pos="480"/>
              </w:tabs>
              <w:snapToGrid w:val="0"/>
              <w:spacing w:line="360" w:lineRule="auto"/>
              <w:rPr>
                <w:rFonts w:hint="eastAsia" w:ascii="宋体" w:hAnsi="宋体" w:eastAsia="宋体" w:cs="宋体"/>
                <w:szCs w:val="21"/>
              </w:rPr>
            </w:pPr>
            <w:r>
              <w:rPr>
                <w:rFonts w:hint="eastAsia" w:ascii="宋体" w:hAnsi="宋体" w:eastAsia="宋体" w:cs="宋体"/>
                <w:szCs w:val="21"/>
              </w:rPr>
              <w:t>乙  方（法人公章）</w:t>
            </w:r>
          </w:p>
        </w:tc>
      </w:tr>
      <w:tr w14:paraId="3786D0D4">
        <w:tblPrEx>
          <w:tblCellMar>
            <w:top w:w="0" w:type="dxa"/>
            <w:left w:w="108" w:type="dxa"/>
            <w:bottom w:w="0" w:type="dxa"/>
            <w:right w:w="108" w:type="dxa"/>
          </w:tblCellMar>
        </w:tblPrEx>
        <w:tc>
          <w:tcPr>
            <w:tcW w:w="4657" w:type="dxa"/>
            <w:vAlign w:val="center"/>
          </w:tcPr>
          <w:p w14:paraId="4311F78D">
            <w:pPr>
              <w:tabs>
                <w:tab w:val="left" w:pos="480"/>
              </w:tabs>
              <w:snapToGrid w:val="0"/>
              <w:spacing w:line="360" w:lineRule="auto"/>
              <w:rPr>
                <w:rFonts w:hint="eastAsia" w:ascii="宋体" w:hAnsi="宋体" w:eastAsia="宋体" w:cs="宋体"/>
                <w:szCs w:val="21"/>
              </w:rPr>
            </w:pPr>
            <w:r>
              <w:rPr>
                <w:rFonts w:hint="eastAsia" w:ascii="宋体" w:hAnsi="宋体" w:eastAsia="宋体" w:cs="宋体"/>
                <w:szCs w:val="21"/>
              </w:rPr>
              <w:t>单位名称：西安市疾病预防控制中心</w:t>
            </w:r>
          </w:p>
        </w:tc>
        <w:tc>
          <w:tcPr>
            <w:tcW w:w="4655" w:type="dxa"/>
            <w:vAlign w:val="center"/>
          </w:tcPr>
          <w:p w14:paraId="2352B8C3">
            <w:pPr>
              <w:tabs>
                <w:tab w:val="left" w:pos="480"/>
              </w:tabs>
              <w:snapToGrid w:val="0"/>
              <w:spacing w:line="360" w:lineRule="auto"/>
              <w:rPr>
                <w:rFonts w:hint="eastAsia" w:ascii="宋体" w:hAnsi="宋体" w:eastAsia="宋体" w:cs="宋体"/>
                <w:szCs w:val="21"/>
              </w:rPr>
            </w:pPr>
            <w:r>
              <w:rPr>
                <w:rFonts w:hint="eastAsia" w:ascii="宋体" w:hAnsi="宋体" w:eastAsia="宋体" w:cs="宋体"/>
                <w:szCs w:val="21"/>
              </w:rPr>
              <w:t xml:space="preserve">单位名称: </w:t>
            </w:r>
          </w:p>
        </w:tc>
      </w:tr>
      <w:tr w14:paraId="76B9AB0B">
        <w:tblPrEx>
          <w:tblCellMar>
            <w:top w:w="0" w:type="dxa"/>
            <w:left w:w="108" w:type="dxa"/>
            <w:bottom w:w="0" w:type="dxa"/>
            <w:right w:w="108" w:type="dxa"/>
          </w:tblCellMar>
        </w:tblPrEx>
        <w:tc>
          <w:tcPr>
            <w:tcW w:w="4657" w:type="dxa"/>
            <w:vAlign w:val="center"/>
          </w:tcPr>
          <w:p w14:paraId="4A063380">
            <w:pPr>
              <w:tabs>
                <w:tab w:val="left" w:pos="480"/>
              </w:tabs>
              <w:snapToGrid w:val="0"/>
              <w:spacing w:line="360" w:lineRule="auto"/>
              <w:rPr>
                <w:rFonts w:hint="eastAsia" w:ascii="宋体" w:hAnsi="宋体" w:eastAsia="宋体" w:cs="宋体"/>
                <w:szCs w:val="21"/>
              </w:rPr>
            </w:pPr>
            <w:r>
              <w:rPr>
                <w:rFonts w:hint="eastAsia" w:ascii="宋体" w:hAnsi="宋体" w:eastAsia="宋体" w:cs="宋体"/>
                <w:szCs w:val="21"/>
              </w:rPr>
              <w:t>地  址：西安市雁塔区西影路599号</w:t>
            </w:r>
          </w:p>
        </w:tc>
        <w:tc>
          <w:tcPr>
            <w:tcW w:w="4655" w:type="dxa"/>
            <w:vAlign w:val="center"/>
          </w:tcPr>
          <w:p w14:paraId="6AF29136">
            <w:pPr>
              <w:tabs>
                <w:tab w:val="left" w:pos="480"/>
              </w:tabs>
              <w:snapToGrid w:val="0"/>
              <w:spacing w:line="360" w:lineRule="auto"/>
              <w:rPr>
                <w:rFonts w:hint="eastAsia" w:ascii="宋体" w:hAnsi="宋体" w:eastAsia="宋体" w:cs="宋体"/>
                <w:szCs w:val="21"/>
              </w:rPr>
            </w:pPr>
            <w:r>
              <w:rPr>
                <w:rFonts w:hint="eastAsia" w:ascii="宋体" w:hAnsi="宋体" w:eastAsia="宋体" w:cs="宋体"/>
                <w:szCs w:val="21"/>
              </w:rPr>
              <w:t xml:space="preserve">地址： </w:t>
            </w:r>
          </w:p>
        </w:tc>
      </w:tr>
      <w:tr w14:paraId="5A65A7B6">
        <w:tblPrEx>
          <w:tblCellMar>
            <w:top w:w="0" w:type="dxa"/>
            <w:left w:w="108" w:type="dxa"/>
            <w:bottom w:w="0" w:type="dxa"/>
            <w:right w:w="108" w:type="dxa"/>
          </w:tblCellMar>
        </w:tblPrEx>
        <w:trPr>
          <w:trHeight w:val="579" w:hRule="atLeast"/>
        </w:trPr>
        <w:tc>
          <w:tcPr>
            <w:tcW w:w="4657" w:type="dxa"/>
            <w:vAlign w:val="center"/>
          </w:tcPr>
          <w:p w14:paraId="4BE3AA86">
            <w:pPr>
              <w:tabs>
                <w:tab w:val="left" w:pos="480"/>
              </w:tabs>
              <w:snapToGrid w:val="0"/>
              <w:spacing w:line="360" w:lineRule="auto"/>
              <w:rPr>
                <w:rFonts w:hint="eastAsia" w:ascii="宋体" w:hAnsi="宋体" w:eastAsia="宋体" w:cs="宋体"/>
                <w:szCs w:val="21"/>
              </w:rPr>
            </w:pPr>
            <w:r>
              <w:rPr>
                <w:rFonts w:hint="eastAsia" w:ascii="宋体" w:hAnsi="宋体" w:eastAsia="宋体" w:cs="宋体"/>
                <w:szCs w:val="21"/>
              </w:rPr>
              <w:t>法定代表人：（签字）</w:t>
            </w:r>
          </w:p>
        </w:tc>
        <w:tc>
          <w:tcPr>
            <w:tcW w:w="4655" w:type="dxa"/>
            <w:vAlign w:val="center"/>
          </w:tcPr>
          <w:p w14:paraId="7811B550">
            <w:pPr>
              <w:tabs>
                <w:tab w:val="left" w:pos="480"/>
              </w:tabs>
              <w:snapToGrid w:val="0"/>
              <w:spacing w:line="360" w:lineRule="auto"/>
              <w:rPr>
                <w:rFonts w:hint="eastAsia" w:ascii="宋体" w:hAnsi="宋体" w:eastAsia="宋体" w:cs="宋体"/>
                <w:szCs w:val="21"/>
              </w:rPr>
            </w:pPr>
            <w:r>
              <w:rPr>
                <w:rFonts w:hint="eastAsia" w:ascii="宋体" w:hAnsi="宋体" w:eastAsia="宋体" w:cs="宋体"/>
                <w:szCs w:val="21"/>
              </w:rPr>
              <w:t>法定代表人或代理人：（签字）</w:t>
            </w:r>
          </w:p>
        </w:tc>
      </w:tr>
      <w:tr w14:paraId="48840DDB">
        <w:tblPrEx>
          <w:tblCellMar>
            <w:top w:w="0" w:type="dxa"/>
            <w:left w:w="108" w:type="dxa"/>
            <w:bottom w:w="0" w:type="dxa"/>
            <w:right w:w="108" w:type="dxa"/>
          </w:tblCellMar>
        </w:tblPrEx>
        <w:tc>
          <w:tcPr>
            <w:tcW w:w="4657" w:type="dxa"/>
            <w:vAlign w:val="center"/>
          </w:tcPr>
          <w:p w14:paraId="08DFCF75">
            <w:pPr>
              <w:tabs>
                <w:tab w:val="left" w:pos="480"/>
              </w:tabs>
              <w:snapToGrid w:val="0"/>
              <w:spacing w:line="360" w:lineRule="auto"/>
              <w:rPr>
                <w:rFonts w:hint="eastAsia" w:ascii="宋体" w:hAnsi="宋体" w:eastAsia="宋体" w:cs="宋体"/>
                <w:szCs w:val="21"/>
              </w:rPr>
            </w:pPr>
          </w:p>
        </w:tc>
        <w:tc>
          <w:tcPr>
            <w:tcW w:w="4655" w:type="dxa"/>
            <w:vAlign w:val="center"/>
          </w:tcPr>
          <w:p w14:paraId="0D2662EB">
            <w:pPr>
              <w:tabs>
                <w:tab w:val="left" w:pos="480"/>
              </w:tabs>
              <w:snapToGrid w:val="0"/>
              <w:spacing w:line="360" w:lineRule="auto"/>
              <w:rPr>
                <w:rFonts w:hint="eastAsia" w:ascii="宋体" w:hAnsi="宋体" w:eastAsia="宋体" w:cs="宋体"/>
                <w:szCs w:val="21"/>
              </w:rPr>
            </w:pPr>
          </w:p>
          <w:p w14:paraId="14AD99AE">
            <w:pPr>
              <w:pStyle w:val="2"/>
              <w:spacing w:line="360" w:lineRule="auto"/>
              <w:jc w:val="both"/>
              <w:rPr>
                <w:rFonts w:hint="eastAsia" w:ascii="宋体" w:hAnsi="宋体" w:eastAsia="宋体" w:cs="宋体"/>
                <w:sz w:val="21"/>
                <w:szCs w:val="21"/>
              </w:rPr>
            </w:pPr>
          </w:p>
          <w:p w14:paraId="62ED668D">
            <w:pPr>
              <w:spacing w:line="360" w:lineRule="auto"/>
              <w:rPr>
                <w:rFonts w:hint="eastAsia" w:ascii="宋体" w:hAnsi="宋体" w:eastAsia="宋体" w:cs="宋体"/>
                <w:szCs w:val="21"/>
              </w:rPr>
            </w:pPr>
            <w:r>
              <w:rPr>
                <w:rFonts w:hint="eastAsia" w:ascii="宋体" w:hAnsi="宋体" w:eastAsia="宋体" w:cs="宋体"/>
                <w:szCs w:val="21"/>
              </w:rPr>
              <w:t xml:space="preserve">开户银行: </w:t>
            </w:r>
          </w:p>
        </w:tc>
      </w:tr>
      <w:tr w14:paraId="7319F5E3">
        <w:tblPrEx>
          <w:tblCellMar>
            <w:top w:w="0" w:type="dxa"/>
            <w:left w:w="108" w:type="dxa"/>
            <w:bottom w:w="0" w:type="dxa"/>
            <w:right w:w="108" w:type="dxa"/>
          </w:tblCellMar>
        </w:tblPrEx>
        <w:trPr>
          <w:trHeight w:val="507" w:hRule="atLeast"/>
        </w:trPr>
        <w:tc>
          <w:tcPr>
            <w:tcW w:w="4657" w:type="dxa"/>
            <w:vAlign w:val="center"/>
          </w:tcPr>
          <w:p w14:paraId="0D147436">
            <w:pPr>
              <w:tabs>
                <w:tab w:val="left" w:pos="480"/>
              </w:tabs>
              <w:snapToGrid w:val="0"/>
              <w:spacing w:line="360" w:lineRule="auto"/>
              <w:rPr>
                <w:rFonts w:hint="eastAsia" w:ascii="宋体" w:hAnsi="宋体" w:eastAsia="宋体" w:cs="宋体"/>
                <w:szCs w:val="21"/>
              </w:rPr>
            </w:pPr>
          </w:p>
        </w:tc>
        <w:tc>
          <w:tcPr>
            <w:tcW w:w="4655" w:type="dxa"/>
            <w:vAlign w:val="center"/>
          </w:tcPr>
          <w:p w14:paraId="64BAF370">
            <w:pPr>
              <w:tabs>
                <w:tab w:val="left" w:pos="480"/>
              </w:tabs>
              <w:snapToGrid w:val="0"/>
              <w:spacing w:line="360" w:lineRule="auto"/>
              <w:rPr>
                <w:rFonts w:hint="eastAsia" w:ascii="宋体" w:hAnsi="宋体" w:eastAsia="宋体" w:cs="宋体"/>
                <w:szCs w:val="21"/>
              </w:rPr>
            </w:pPr>
            <w:r>
              <w:rPr>
                <w:rFonts w:hint="eastAsia" w:ascii="宋体" w:hAnsi="宋体" w:eastAsia="宋体" w:cs="宋体"/>
                <w:szCs w:val="21"/>
              </w:rPr>
              <w:t xml:space="preserve">帐    号： </w:t>
            </w:r>
          </w:p>
        </w:tc>
      </w:tr>
      <w:tr w14:paraId="4297D490">
        <w:tblPrEx>
          <w:tblCellMar>
            <w:top w:w="0" w:type="dxa"/>
            <w:left w:w="108" w:type="dxa"/>
            <w:bottom w:w="0" w:type="dxa"/>
            <w:right w:w="108" w:type="dxa"/>
          </w:tblCellMar>
        </w:tblPrEx>
        <w:trPr>
          <w:trHeight w:val="663" w:hRule="atLeast"/>
        </w:trPr>
        <w:tc>
          <w:tcPr>
            <w:tcW w:w="4657" w:type="dxa"/>
            <w:vAlign w:val="center"/>
          </w:tcPr>
          <w:p w14:paraId="45FAFC60">
            <w:pPr>
              <w:tabs>
                <w:tab w:val="left" w:pos="480"/>
              </w:tabs>
              <w:snapToGrid w:val="0"/>
              <w:spacing w:line="360" w:lineRule="auto"/>
              <w:rPr>
                <w:rFonts w:hint="eastAsia" w:ascii="宋体" w:hAnsi="宋体" w:eastAsia="宋体" w:cs="宋体"/>
                <w:szCs w:val="21"/>
              </w:rPr>
            </w:pPr>
            <w:r>
              <w:rPr>
                <w:rFonts w:hint="eastAsia" w:ascii="宋体" w:hAnsi="宋体" w:eastAsia="宋体" w:cs="宋体"/>
                <w:szCs w:val="21"/>
              </w:rPr>
              <w:t>签订日期：     年   月    日</w:t>
            </w:r>
          </w:p>
        </w:tc>
        <w:tc>
          <w:tcPr>
            <w:tcW w:w="4655" w:type="dxa"/>
            <w:vAlign w:val="center"/>
          </w:tcPr>
          <w:p w14:paraId="48B0D2E7">
            <w:pPr>
              <w:tabs>
                <w:tab w:val="left" w:pos="480"/>
              </w:tabs>
              <w:snapToGrid w:val="0"/>
              <w:spacing w:line="360" w:lineRule="auto"/>
              <w:rPr>
                <w:rFonts w:hint="eastAsia" w:ascii="宋体" w:hAnsi="宋体" w:eastAsia="宋体" w:cs="宋体"/>
                <w:szCs w:val="21"/>
              </w:rPr>
            </w:pPr>
            <w:r>
              <w:rPr>
                <w:rFonts w:hint="eastAsia" w:ascii="宋体" w:hAnsi="宋体" w:eastAsia="宋体" w:cs="宋体"/>
                <w:szCs w:val="21"/>
              </w:rPr>
              <w:t>签订日期：   年   月   日</w:t>
            </w:r>
          </w:p>
        </w:tc>
      </w:tr>
    </w:tbl>
    <w:p w14:paraId="21CFBAC1">
      <w:pPr>
        <w:tabs>
          <w:tab w:val="left" w:pos="480"/>
        </w:tabs>
        <w:spacing w:line="360" w:lineRule="auto"/>
        <w:rPr>
          <w:rFonts w:hint="eastAsia" w:ascii="宋体" w:hAnsi="宋体" w:eastAsia="宋体" w:cs="宋体"/>
          <w:szCs w:val="21"/>
        </w:rPr>
      </w:pPr>
    </w:p>
    <w:p w14:paraId="393C3749">
      <w:pPr>
        <w:tabs>
          <w:tab w:val="left" w:pos="480"/>
        </w:tabs>
        <w:spacing w:line="360" w:lineRule="auto"/>
        <w:rPr>
          <w:rFonts w:hint="eastAsia" w:ascii="宋体" w:hAnsi="宋体" w:eastAsia="宋体" w:cs="宋体"/>
          <w:szCs w:val="21"/>
        </w:rPr>
      </w:pPr>
      <w:r>
        <w:rPr>
          <w:rFonts w:hint="eastAsia" w:ascii="宋体" w:hAnsi="宋体" w:eastAsia="宋体" w:cs="宋体"/>
          <w:szCs w:val="21"/>
        </w:rPr>
        <w:t>鉴 证 方：</w:t>
      </w:r>
    </w:p>
    <w:p w14:paraId="5621B5B3">
      <w:pPr>
        <w:tabs>
          <w:tab w:val="left" w:pos="480"/>
        </w:tabs>
        <w:spacing w:line="360" w:lineRule="auto"/>
        <w:rPr>
          <w:rFonts w:hint="eastAsia" w:ascii="宋体" w:hAnsi="宋体" w:eastAsia="宋体" w:cs="宋体"/>
          <w:szCs w:val="21"/>
        </w:rPr>
      </w:pPr>
      <w:r>
        <w:rPr>
          <w:rFonts w:hint="eastAsia" w:ascii="宋体" w:hAnsi="宋体" w:eastAsia="宋体" w:cs="宋体"/>
          <w:szCs w:val="21"/>
        </w:rPr>
        <w:t>单位名称：</w:t>
      </w:r>
    </w:p>
    <w:p w14:paraId="6644671F">
      <w:pPr>
        <w:tabs>
          <w:tab w:val="left" w:pos="480"/>
        </w:tabs>
        <w:spacing w:line="360" w:lineRule="auto"/>
        <w:rPr>
          <w:rFonts w:hint="eastAsia" w:ascii="宋体" w:hAnsi="宋体" w:eastAsia="宋体" w:cs="宋体"/>
          <w:szCs w:val="21"/>
        </w:rPr>
      </w:pPr>
      <w:r>
        <w:rPr>
          <w:rFonts w:hint="eastAsia" w:ascii="宋体" w:hAnsi="宋体" w:eastAsia="宋体" w:cs="宋体"/>
          <w:szCs w:val="21"/>
        </w:rPr>
        <w:t>代 理 人：             （签字）</w:t>
      </w:r>
    </w:p>
    <w:p w14:paraId="7161D501">
      <w:pPr>
        <w:tabs>
          <w:tab w:val="left" w:pos="480"/>
        </w:tabs>
        <w:spacing w:line="300" w:lineRule="auto"/>
      </w:pPr>
      <w:r>
        <w:rPr>
          <w:rFonts w:hint="eastAsia" w:ascii="宋体" w:hAnsi="宋体" w:eastAsia="宋体" w:cs="宋体"/>
          <w:szCs w:val="21"/>
        </w:rPr>
        <w:t>签订日期：     年   月   日</w:t>
      </w:r>
      <w:bookmarkStart w:id="0" w:name="_GoBack"/>
      <w:bookmarkEnd w:id="0"/>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1FC44BEC"/>
    <w:rsid w:val="292E4C0A"/>
    <w:rsid w:val="35752BE7"/>
    <w:rsid w:val="7C2D3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Plain Text"/>
    <w:basedOn w:val="1"/>
    <w:qFormat/>
    <w:uiPriority w:val="99"/>
    <w:rPr>
      <w:rFonts w:ascii="宋体" w:hAnsi="Courier New"/>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2024-09-14T06:33:08Z</dcterms:created>
  <dc:creator>Administrator</dc:creator>
  <cp:lastModifiedBy>夏日微凉</cp:lastModifiedBy>
  <dcterms:modified xsi:type="dcterms:W3CDTF">2024-09-14T06:35:19Z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D5F48098BF0D4E83A8ECDAAAC10081D1_12</vt:lpwstr>
  </property>
</Properties>
</file>