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</w:rPr>
        <w:t>技术方案，履约能力，售后及培训</w:t>
      </w:r>
    </w:p>
    <w:p w14:paraId="75112E7A">
      <w:pPr>
        <w:spacing w:line="4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根据招标文件“评标办法”和“采购内容及要求”编辑，包括但不限于以下内容：</w:t>
      </w:r>
    </w:p>
    <w:p w14:paraId="134A4D00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一、投标产品的响应的规范性：</w:t>
      </w:r>
    </w:p>
    <w:p w14:paraId="6EC050D8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二、实施方案：</w:t>
      </w:r>
    </w:p>
    <w:p w14:paraId="761BDFCD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三、质量控制措施：</w:t>
      </w:r>
    </w:p>
    <w:p w14:paraId="655FF3F6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四、售后服务方案：</w:t>
      </w:r>
    </w:p>
    <w:p w14:paraId="0596A051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五、培训方案：</w:t>
      </w:r>
    </w:p>
    <w:p w14:paraId="51239638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六、合理化建议：</w:t>
      </w:r>
    </w:p>
    <w:p w14:paraId="304395CF">
      <w:pPr>
        <w:pStyle w:val="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……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u w:val="thick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u w:val="thick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br w:type="page"/>
      </w:r>
    </w:p>
    <w:p w14:paraId="3073E44F">
      <w:pPr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附件 供应商认为需要提供的其他资料</w:t>
      </w:r>
      <w:bookmarkEnd w:id="3"/>
    </w:p>
    <w:p w14:paraId="1ECB9D02">
      <w:pPr>
        <w:pStyle w:val="4"/>
        <w:rPr>
          <w:rFonts w:hint="eastAsia" w:ascii="宋体" w:hAnsi="宋体" w:eastAsia="宋体" w:cs="宋体"/>
        </w:rPr>
      </w:pPr>
    </w:p>
    <w:p w14:paraId="2DE4CE3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AC6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2024-09-14T06:29:10Z</dcterms:created>
  <dc:creator>Administrator</dc:creator>
  <cp:lastModifiedBy>夏日微凉</cp:lastModifiedBy>
  <dcterms:modified xsi:type="dcterms:W3CDTF">2024-09-14T06:29:24Z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86D7127E5366418DA26F6DA0B724A0DE_12</vt:lpwstr>
  </property>
</Properties>
</file>