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机关协同办公平台（OA系统）密改等有关改造项目</w:t>
      </w:r>
    </w:p>
    <w:p>
      <w:pPr>
        <w:pStyle w:val="null3"/>
        <w:jc w:val="center"/>
        <w:outlineLvl w:val="2"/>
      </w:pPr>
      <w:r>
        <w:rPr>
          <w:sz w:val="28"/>
          <w:b/>
        </w:rPr>
        <w:t>采购项目编号：</w:t>
      </w:r>
      <w:r>
        <w:rPr>
          <w:sz w:val="28"/>
          <w:b/>
        </w:rPr>
        <w:t>SZT2024-SN-XC-ZC-FW-0991</w:t>
      </w:r>
      <w:r>
        <w:br/>
      </w:r>
      <w:r>
        <w:br/>
      </w:r>
      <w:r>
        <w:br/>
      </w:r>
    </w:p>
    <w:p>
      <w:pPr>
        <w:pStyle w:val="null3"/>
        <w:jc w:val="center"/>
        <w:outlineLvl w:val="2"/>
      </w:pPr>
      <w:r>
        <w:rPr>
          <w:sz w:val="28"/>
          <w:b/>
        </w:rPr>
        <w:t>西安市发展和改革委员会（本级）</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西安市发展和改革委员会（本级）</w:t>
      </w:r>
      <w:r>
        <w:rPr/>
        <w:t>委托，拟对</w:t>
      </w:r>
      <w:r>
        <w:rPr/>
        <w:t>机关协同办公平台（OA系统）密改等有关改造项目</w:t>
      </w:r>
      <w:r>
        <w:rPr/>
        <w:t>采用竞争性磋商采购方式进行采购，兹邀请供应商参加本项目的竞争性磋商。</w:t>
      </w:r>
    </w:p>
    <w:p>
      <w:pPr>
        <w:pStyle w:val="null3"/>
        <w:outlineLvl w:val="2"/>
      </w:pPr>
      <w:r>
        <w:rPr>
          <w:sz w:val="28"/>
          <w:b/>
        </w:rPr>
        <w:t>一、项目编号：</w:t>
      </w:r>
      <w:r>
        <w:rPr>
          <w:sz w:val="28"/>
          <w:b/>
        </w:rPr>
        <w:t>SZT2024-SN-XC-ZC-FW-0991</w:t>
      </w:r>
    </w:p>
    <w:p>
      <w:pPr>
        <w:pStyle w:val="null3"/>
        <w:outlineLvl w:val="2"/>
      </w:pPr>
      <w:r>
        <w:rPr>
          <w:sz w:val="28"/>
          <w:b/>
        </w:rPr>
        <w:t>二、项目名称：</w:t>
      </w:r>
      <w:r>
        <w:rPr>
          <w:sz w:val="28"/>
          <w:b/>
        </w:rPr>
        <w:t>机关协同办公平台（OA系统）密改等有关改造项目</w:t>
      </w:r>
    </w:p>
    <w:p>
      <w:pPr>
        <w:pStyle w:val="null3"/>
        <w:outlineLvl w:val="2"/>
      </w:pPr>
      <w:r>
        <w:rPr>
          <w:sz w:val="28"/>
          <w:b/>
        </w:rPr>
        <w:t>三、磋商项目简介</w:t>
      </w:r>
    </w:p>
    <w:p>
      <w:pPr>
        <w:pStyle w:val="null3"/>
        <w:ind w:firstLine="480"/>
      </w:pPr>
      <w:r>
        <w:rPr/>
        <w:t>密码策略的更新、密码技术的改进以及密码管理流程的完善等多个方面</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参加的，须提供本人身份证复印件加盖公章并出示身份证原件；法定代表人授权他人参加的，须提供法定代表人委托授权书原件加盖公章，并出示被授权代表的身份证原件及复印件加盖公章：法定代表人参加的，须提供本人身份证复印件加盖公章并出示身份证原件；法定代表人授权他人参加的，须提供法定代表人委托授权书原件加盖公章，并出示被授权代表的身份证原件及复印件加盖公章</w:t>
      </w:r>
    </w:p>
    <w:p>
      <w:pPr>
        <w:pStyle w:val="null3"/>
      </w:pPr>
      <w:r>
        <w:rPr/>
        <w:t>2、单位负责人为同一人或者存在直接控股、管理关系的不同供应商，不得同时参加本采购项目：单位负责人为同一人或者存在直接控股、管理关系的不同供应商，不得同时参加本采购项目</w:t>
      </w:r>
    </w:p>
    <w:p>
      <w:pPr>
        <w:pStyle w:val="null3"/>
      </w:pPr>
      <w:r>
        <w:rPr/>
        <w:t>3、本项目不接受联合体磋商：本项目不接受联合体磋商（提供承诺）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西安市发展和改革委员会（本级）</w:t>
      </w:r>
    </w:p>
    <w:p>
      <w:pPr>
        <w:pStyle w:val="null3"/>
      </w:pPr>
      <w:r>
        <w:rPr/>
        <w:t xml:space="preserve"> 地址： </w:t>
      </w:r>
      <w:r>
        <w:rPr/>
        <w:t>西安市凤城八路109号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029-86786314</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张志翰、马帅、史肖霞、单博</w:t>
      </w:r>
    </w:p>
    <w:p>
      <w:pPr>
        <w:pStyle w:val="null3"/>
      </w:pPr>
      <w:r>
        <w:rPr/>
        <w:t xml:space="preserve"> 联系电话： </w:t>
      </w:r>
      <w:r>
        <w:rPr/>
        <w:t>029-88364979-833</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如有产品</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如有产品</w:t>
            </w:r>
            <w:r>
              <w:rPr/>
              <w:t>产品属于节能产品政府采购品目清单中应优先采购的产品范围，本项目采购的</w:t>
            </w:r>
            <w:r>
              <w:rPr/>
              <w:t>如有产品</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发改价格[2011]534号文件及《国家发展改革委关于进一步放开建设项目专业服务价格的通知》（发改价格〔2015〕299号）文的规定标准收取。由成交供应商支付。此采购代理服务费应计入报价中，但不需要单独开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西安市发展和改革委员会（本级）</w:t>
      </w:r>
      <w:r>
        <w:rPr/>
        <w:t>和</w:t>
      </w:r>
      <w:r>
        <w:rPr/>
        <w:t>陕西中技招标有限公司</w:t>
      </w:r>
      <w:r>
        <w:rPr/>
        <w:t>享有。对磋商文件中供应商参加本次政府采购活动应当具备的条件，磋商项目技术、服务、商务及其他要求，评审细则及标准由</w:t>
      </w:r>
      <w:r>
        <w:rPr/>
        <w:t>西安市发展和改革委员会（本级）</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西安市发展和改革委员会（本级）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按采购人要求执行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密码改造工作是提升信息系统安全性的重要举措，涉及密码策略的更新、密码技术的改进以及密码管理流程的完善等多个方面。根据《密码法》《密码强国建设纲要》《机要密码工作条例》《商用密码管理条例》《西安市商用密码应用安全性评估暂行办法》等有关规定，网络安全等级保护三级以上的信息系统须进行密码改造</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机关协同办公平台（OA系统）密改等有关改造</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次</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标的名称：机关协同办公平台（OA系统）密改等有关改造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服务内容</w:t>
            </w:r>
          </w:p>
          <w:p>
            <w:pPr>
              <w:pStyle w:val="null3"/>
            </w:pPr>
            <w:r>
              <w:rPr>
                <w:rFonts w:ascii="calibri" w:hAnsi="calibri" w:cs="calibri" w:eastAsia="calibri"/>
              </w:rPr>
              <w:t>一</w:t>
            </w:r>
            <w:r>
              <w:rPr>
                <w:rFonts w:ascii="宋体" w:hAnsi="宋体" w:cs="宋体" w:eastAsia="宋体"/>
              </w:rPr>
              <w:t>、机关协同办公平台密改服务主要内容：</w:t>
            </w:r>
          </w:p>
          <w:p>
            <w:pPr>
              <w:pStyle w:val="null3"/>
            </w:pPr>
            <w:r>
              <w:rPr>
                <w:rFonts w:ascii="宋体" w:hAnsi="宋体" w:cs="宋体" w:eastAsia="宋体"/>
              </w:rPr>
              <w:t>密码改造工作（以下简称</w:t>
            </w:r>
            <w:r>
              <w:rPr>
                <w:rFonts w:ascii="宋体" w:hAnsi="宋体" w:cs="宋体" w:eastAsia="宋体"/>
              </w:rPr>
              <w:t>“密改”）是提升信息系统安全性的重要举措，涉及密码策略的更新、密码技术的改进以及密码管理流程的完善等多个方面。根据《密码法》《密码强国建设纲要》《机要密码工作条例》《商用密码管理条例》《西安市商用密码应用安全性评估暂行办法》等有关规定，网络安全等级保护三级以上的信息系统须进行密码改造。</w:t>
            </w:r>
          </w:p>
          <w:p>
            <w:pPr>
              <w:pStyle w:val="null3"/>
            </w:pPr>
            <w:r>
              <w:rPr>
                <w:rFonts w:ascii="宋体" w:hAnsi="宋体" w:cs="宋体" w:eastAsia="宋体"/>
              </w:rPr>
              <w:t>我委机关目前在用自建的</w:t>
            </w:r>
            <w:r>
              <w:rPr>
                <w:rFonts w:ascii="calibri" w:hAnsi="calibri" w:cs="calibri" w:eastAsia="calibri"/>
              </w:rPr>
              <w:t>6</w:t>
            </w:r>
            <w:r>
              <w:rPr>
                <w:rFonts w:ascii="宋体" w:hAnsi="宋体" w:cs="宋体" w:eastAsia="宋体"/>
              </w:rPr>
              <w:t>个系统中，网络安全等级保护三级以上的是机关协同办公平台（以下简称“</w:t>
            </w:r>
            <w:r>
              <w:rPr>
                <w:rFonts w:ascii="calibri" w:hAnsi="calibri" w:cs="calibri" w:eastAsia="calibri"/>
              </w:rPr>
              <w:t>OA</w:t>
            </w:r>
            <w:r>
              <w:rPr>
                <w:rFonts w:ascii="宋体" w:hAnsi="宋体" w:cs="宋体" w:eastAsia="宋体"/>
              </w:rPr>
              <w:t>系统”）（办公室）和市重点产业企业库（高技术处）。为有序推进密改工作，结合系统的使用频次、紧急程度、数据敏感度等因素，并考虑工作需求和“过紧日子”要求，</w:t>
            </w:r>
            <w:r>
              <w:rPr>
                <w:rFonts w:ascii="calibri" w:hAnsi="calibri" w:cs="calibri" w:eastAsia="calibri"/>
              </w:rPr>
              <w:t>2023</w:t>
            </w:r>
            <w:r>
              <w:rPr>
                <w:rFonts w:ascii="宋体" w:hAnsi="宋体" w:cs="宋体" w:eastAsia="宋体"/>
              </w:rPr>
              <w:t>年底，我委向市数据局、市财政局申请将</w:t>
            </w:r>
            <w:r>
              <w:rPr>
                <w:rFonts w:ascii="calibri" w:hAnsi="calibri" w:cs="calibri" w:eastAsia="calibri"/>
              </w:rPr>
              <w:t>OA</w:t>
            </w:r>
            <w:r>
              <w:rPr>
                <w:rFonts w:ascii="宋体" w:hAnsi="宋体" w:cs="宋体" w:eastAsia="宋体"/>
              </w:rPr>
              <w:t>系统作为今年密改对象。同时，鉴于</w:t>
            </w:r>
            <w:r>
              <w:rPr>
                <w:rFonts w:ascii="calibri" w:hAnsi="calibri" w:cs="calibri" w:eastAsia="calibri"/>
              </w:rPr>
              <w:t>OA</w:t>
            </w:r>
            <w:r>
              <w:rPr>
                <w:rFonts w:ascii="宋体" w:hAnsi="宋体" w:cs="宋体" w:eastAsia="宋体"/>
              </w:rPr>
              <w:t>系统是我委的“信息中枢”，为确保该系统符合各方管理要求，提升安全性、可用性，此次改造拟同步实施信创改造，并集成对接“秦政通”平台，改造内容主要包括以下几个方面；</w:t>
            </w:r>
          </w:p>
          <w:p>
            <w:pPr>
              <w:pStyle w:val="null3"/>
            </w:pPr>
            <w:r>
              <w:rPr>
                <w:rFonts w:ascii="calibri" w:hAnsi="calibri" w:cs="calibri" w:eastAsia="calibri"/>
              </w:rPr>
              <w:t>二</w:t>
            </w:r>
            <w:r>
              <w:rPr>
                <w:rFonts w:ascii="宋体" w:hAnsi="宋体" w:cs="宋体" w:eastAsia="宋体"/>
              </w:rPr>
              <w:t>、服务主要内容：</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w:t>
            </w:r>
            <w:r>
              <w:rPr>
                <w:rFonts w:ascii="calibri" w:hAnsi="calibri" w:cs="calibri" w:eastAsia="calibri"/>
              </w:rPr>
              <w:t>OA</w:t>
            </w:r>
            <w:r>
              <w:rPr>
                <w:rFonts w:ascii="宋体" w:hAnsi="宋体" w:cs="宋体" w:eastAsia="宋体"/>
              </w:rPr>
              <w:t>系统的信创适配；</w:t>
            </w:r>
          </w:p>
          <w:p>
            <w:pPr>
              <w:pStyle w:val="null3"/>
            </w:pPr>
            <w:r>
              <w:rPr>
                <w:rFonts w:ascii="宋体" w:hAnsi="宋体" w:cs="宋体" w:eastAsia="宋体"/>
              </w:rPr>
              <w:t>将</w:t>
            </w:r>
            <w:r>
              <w:rPr>
                <w:rFonts w:ascii="calibri" w:hAnsi="calibri" w:cs="calibri" w:eastAsia="calibri"/>
              </w:rPr>
              <w:t>OA</w:t>
            </w:r>
            <w:r>
              <w:rPr>
                <w:rFonts w:ascii="宋体" w:hAnsi="宋体" w:cs="宋体" w:eastAsia="宋体"/>
              </w:rPr>
              <w:t>系统的应用服务迁移部署至市数据局信创云平台环境下，完成协同办公</w:t>
            </w:r>
            <w:r>
              <w:rPr>
                <w:rFonts w:ascii="calibri" w:hAnsi="calibri" w:cs="calibri" w:eastAsia="calibri"/>
              </w:rPr>
              <w:t>OA</w:t>
            </w:r>
            <w:r>
              <w:rPr>
                <w:rFonts w:ascii="宋体" w:hAnsi="宋体" w:cs="宋体" w:eastAsia="宋体"/>
              </w:rPr>
              <w:t>系统的</w:t>
            </w:r>
            <w:r>
              <w:rPr>
                <w:rFonts w:ascii="calibri" w:hAnsi="calibri" w:cs="calibri" w:eastAsia="calibri"/>
              </w:rPr>
              <w:t>X86</w:t>
            </w:r>
            <w:r>
              <w:rPr>
                <w:rFonts w:ascii="宋体" w:hAnsi="宋体" w:cs="宋体" w:eastAsia="宋体"/>
              </w:rPr>
              <w:t>环境到国产化信创环境适配开发及改造，满足信创要求。同时兼顾客户端</w:t>
            </w:r>
            <w:r>
              <w:rPr>
                <w:rFonts w:ascii="calibri" w:hAnsi="calibri" w:cs="calibri" w:eastAsia="calibri"/>
              </w:rPr>
              <w:t>X86</w:t>
            </w:r>
            <w:r>
              <w:rPr>
                <w:rFonts w:ascii="宋体" w:hAnsi="宋体" w:cs="宋体" w:eastAsia="宋体"/>
              </w:rPr>
              <w:t>环境和国产化信创环境的“双生态”运行，平滑过渡，达到无感知切换升级</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）信创环境下密码机制改造；</w:t>
            </w:r>
          </w:p>
          <w:p>
            <w:pPr>
              <w:pStyle w:val="null3"/>
            </w:pPr>
            <w:r>
              <w:rPr>
                <w:rFonts w:ascii="宋体" w:hAnsi="宋体" w:cs="宋体" w:eastAsia="宋体"/>
              </w:rPr>
              <w:t>综合考虑市数据局信创云平台环境下</w:t>
            </w:r>
            <w:r>
              <w:rPr>
                <w:rFonts w:ascii="calibri" w:hAnsi="calibri" w:cs="calibri" w:eastAsia="calibri"/>
              </w:rPr>
              <w:t>OA</w:t>
            </w:r>
            <w:r>
              <w:rPr>
                <w:rFonts w:ascii="宋体" w:hAnsi="宋体" w:cs="宋体" w:eastAsia="宋体"/>
              </w:rPr>
              <w:t>系统物理和环境、网络和通信、设备和计算、应用和数据、安全管理等层面的密码应用需求，设计合规、正确、有效的信创环境下密码应用方案，满足《基本要求》中三级指标要求，为通过密码应用安全性评估奠定基础。该项目密码应用框架模型由密码技术体系和密码应用管理体系</w:t>
            </w:r>
            <w:r>
              <w:rPr>
                <w:rFonts w:ascii="calibri" w:hAnsi="calibri" w:cs="calibri" w:eastAsia="calibri"/>
              </w:rPr>
              <w:t>2</w:t>
            </w:r>
            <w:r>
              <w:rPr>
                <w:rFonts w:ascii="宋体" w:hAnsi="宋体" w:cs="宋体" w:eastAsia="宋体"/>
              </w:rPr>
              <w:t>部分组成，通过双轨驱动，满足国产信创环境下的密码机制要求</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）与“秦政通”进行集成对接；</w:t>
            </w:r>
          </w:p>
          <w:p>
            <w:pPr>
              <w:pStyle w:val="null3"/>
              <w:jc w:val="both"/>
            </w:pPr>
            <w:r>
              <w:rPr>
                <w:rFonts w:ascii="times new roman, times, serif" w:hAnsi="times new roman, times, serif" w:cs="times new roman, times, serif" w:eastAsia="times new roman, times, serif"/>
                <w:sz w:val="21"/>
              </w:rPr>
              <w:t>“</w:t>
            </w:r>
            <w:r>
              <w:rPr>
                <w:rFonts w:ascii="宋体" w:hAnsi="宋体" w:cs="宋体" w:eastAsia="宋体"/>
                <w:sz w:val="21"/>
              </w:rPr>
              <w:t>秦政通</w:t>
            </w:r>
            <w:r>
              <w:rPr>
                <w:rFonts w:ascii="times new roman, times, serif" w:hAnsi="times new roman, times, serif" w:cs="times new roman, times, serif" w:eastAsia="times new roman, times, serif"/>
                <w:sz w:val="21"/>
              </w:rPr>
              <w:t>”</w:t>
            </w:r>
            <w:r>
              <w:rPr>
                <w:rFonts w:ascii="宋体" w:hAnsi="宋体" w:cs="宋体" w:eastAsia="宋体"/>
                <w:sz w:val="21"/>
              </w:rPr>
              <w:t>是省政务数据局统一开发的政务一体化协同办公平台，按照远期规划，全省各级都要通过</w:t>
            </w:r>
            <w:r>
              <w:rPr>
                <w:rFonts w:ascii="times new roman, times, serif" w:hAnsi="times new roman, times, serif" w:cs="times new roman, times, serif" w:eastAsia="times new roman, times, serif"/>
                <w:sz w:val="21"/>
              </w:rPr>
              <w:t>“</w:t>
            </w:r>
            <w:r>
              <w:rPr>
                <w:rFonts w:ascii="宋体" w:hAnsi="宋体" w:cs="宋体" w:eastAsia="宋体"/>
                <w:sz w:val="21"/>
              </w:rPr>
              <w:t>秦政通</w:t>
            </w:r>
            <w:r>
              <w:rPr>
                <w:rFonts w:ascii="times new roman, times, serif" w:hAnsi="times new roman, times, serif" w:cs="times new roman, times, serif" w:eastAsia="times new roman, times, serif"/>
                <w:sz w:val="21"/>
              </w:rPr>
              <w:t>”</w:t>
            </w:r>
            <w:r>
              <w:rPr>
                <w:rFonts w:ascii="宋体" w:hAnsi="宋体" w:cs="宋体" w:eastAsia="宋体"/>
                <w:sz w:val="21"/>
              </w:rPr>
              <w:t>处理日常公务。各单位已建的办公系统应坚持</w:t>
            </w:r>
            <w:r>
              <w:rPr>
                <w:rFonts w:ascii="times new roman, times, serif" w:hAnsi="times new roman, times, serif" w:cs="times new roman, times, serif" w:eastAsia="times new roman, times, serif"/>
                <w:sz w:val="21"/>
              </w:rPr>
              <w:t>“</w:t>
            </w:r>
            <w:r>
              <w:rPr>
                <w:rFonts w:ascii="宋体" w:hAnsi="宋体" w:cs="宋体" w:eastAsia="宋体"/>
                <w:sz w:val="21"/>
              </w:rPr>
              <w:t>应接尽接</w:t>
            </w:r>
            <w:r>
              <w:rPr>
                <w:rFonts w:ascii="times new roman, times, serif" w:hAnsi="times new roman, times, serif" w:cs="times new roman, times, serif" w:eastAsia="times new roman, times, serif"/>
                <w:sz w:val="21"/>
              </w:rPr>
              <w:t>”</w:t>
            </w:r>
            <w:r>
              <w:rPr>
                <w:rFonts w:ascii="宋体" w:hAnsi="宋体" w:cs="宋体" w:eastAsia="宋体"/>
                <w:sz w:val="21"/>
              </w:rPr>
              <w:t>原则，通过适配改造方式逐步整合至</w:t>
            </w:r>
            <w:r>
              <w:rPr>
                <w:rFonts w:ascii="times new roman, times, serif" w:hAnsi="times new roman, times, serif" w:cs="times new roman, times, serif" w:eastAsia="times new roman, times, serif"/>
                <w:sz w:val="21"/>
              </w:rPr>
              <w:t>“</w:t>
            </w:r>
            <w:r>
              <w:rPr>
                <w:rFonts w:ascii="宋体" w:hAnsi="宋体" w:cs="宋体" w:eastAsia="宋体"/>
                <w:sz w:val="21"/>
              </w:rPr>
              <w:t>秦政通</w:t>
            </w:r>
            <w:r>
              <w:rPr>
                <w:rFonts w:ascii="times new roman, times, serif" w:hAnsi="times new roman, times, serif" w:cs="times new roman, times, serif" w:eastAsia="times new roman, times, serif"/>
                <w:sz w:val="21"/>
              </w:rPr>
              <w:t>”</w:t>
            </w:r>
            <w:r>
              <w:rPr>
                <w:rFonts w:ascii="宋体" w:hAnsi="宋体" w:cs="宋体" w:eastAsia="宋体"/>
                <w:sz w:val="21"/>
              </w:rPr>
              <w:t>。本次拟将信创环境下的</w:t>
            </w:r>
            <w:r>
              <w:rPr>
                <w:rFonts w:ascii="times new roman, times, serif" w:hAnsi="times new roman, times, serif" w:cs="times new roman, times, serif" w:eastAsia="times new roman, times, serif"/>
                <w:sz w:val="21"/>
              </w:rPr>
              <w:t>OA</w:t>
            </w:r>
            <w:r>
              <w:rPr>
                <w:rFonts w:ascii="宋体" w:hAnsi="宋体" w:cs="宋体" w:eastAsia="宋体"/>
                <w:sz w:val="21"/>
              </w:rPr>
              <w:t>系统对接到</w:t>
            </w:r>
            <w:r>
              <w:rPr>
                <w:rFonts w:ascii="times new roman, times, serif" w:hAnsi="times new roman, times, serif" w:cs="times new roman, times, serif" w:eastAsia="times new roman, times, serif"/>
                <w:sz w:val="21"/>
              </w:rPr>
              <w:t>“</w:t>
            </w:r>
            <w:r>
              <w:rPr>
                <w:rFonts w:ascii="宋体" w:hAnsi="宋体" w:cs="宋体" w:eastAsia="宋体"/>
                <w:sz w:val="21"/>
              </w:rPr>
              <w:t>秦政通</w:t>
            </w:r>
            <w:r>
              <w:rPr>
                <w:rFonts w:ascii="times new roman, times, serif" w:hAnsi="times new roman, times, serif" w:cs="times new roman, times, serif" w:eastAsia="times new roman, times, serif"/>
                <w:sz w:val="21"/>
              </w:rPr>
              <w:t>”</w:t>
            </w:r>
            <w:r>
              <w:rPr>
                <w:rFonts w:ascii="宋体" w:hAnsi="宋体" w:cs="宋体" w:eastAsia="宋体"/>
                <w:sz w:val="21"/>
              </w:rPr>
              <w:t>平台，实现公文收发办理、人员信息认证等有关功能与</w:t>
            </w:r>
            <w:r>
              <w:rPr>
                <w:rFonts w:ascii="times new roman, times, serif" w:hAnsi="times new roman, times, serif" w:cs="times new roman, times, serif" w:eastAsia="times new roman, times, serif"/>
                <w:sz w:val="21"/>
              </w:rPr>
              <w:t>“</w:t>
            </w:r>
            <w:r>
              <w:rPr>
                <w:rFonts w:ascii="宋体" w:hAnsi="宋体" w:cs="宋体" w:eastAsia="宋体"/>
                <w:sz w:val="21"/>
              </w:rPr>
              <w:t>秦政通</w:t>
            </w:r>
            <w:r>
              <w:rPr>
                <w:rFonts w:ascii="times new roman, times, serif" w:hAnsi="times new roman, times, serif" w:cs="times new roman, times, serif" w:eastAsia="times new roman, times, serif"/>
                <w:sz w:val="21"/>
              </w:rPr>
              <w:t>”</w:t>
            </w:r>
            <w:r>
              <w:rPr>
                <w:rFonts w:ascii="宋体" w:hAnsi="宋体" w:cs="宋体" w:eastAsia="宋体"/>
                <w:sz w:val="21"/>
              </w:rPr>
              <w:t>平台相集成。</w:t>
            </w:r>
          </w:p>
          <w:p>
            <w:pPr>
              <w:pStyle w:val="null3"/>
            </w:pPr>
            <w:r>
              <w:rPr>
                <w:rFonts w:ascii="宋体" w:hAnsi="宋体" w:cs="宋体" w:eastAsia="宋体"/>
              </w:rPr>
              <w:t>三、人员岗位要求</w:t>
            </w:r>
          </w:p>
          <w:p>
            <w:pPr>
              <w:pStyle w:val="null3"/>
            </w:pPr>
            <w:r>
              <w:rPr>
                <w:rFonts w:ascii="宋体" w:hAnsi="宋体" w:cs="宋体" w:eastAsia="宋体"/>
              </w:rPr>
              <w:t>供应商应提供专业的技术团队常驻现场进行运维，运维服务团队人员应包含项目经理、运维工程师。</w:t>
            </w:r>
          </w:p>
          <w:p>
            <w:pPr>
              <w:pStyle w:val="null3"/>
            </w:pPr>
            <w:r>
              <w:rPr>
                <w:rFonts w:ascii="calibri" w:hAnsi="calibri" w:cs="calibri" w:eastAsia="calibri"/>
              </w:rPr>
              <w:t>1</w:t>
            </w:r>
            <w:r>
              <w:rPr>
                <w:rFonts w:ascii="宋体" w:hAnsi="宋体" w:cs="宋体" w:eastAsia="宋体"/>
              </w:rPr>
              <w:t>、项目经理岗位职责</w:t>
            </w:r>
          </w:p>
          <w:p>
            <w:pPr>
              <w:pStyle w:val="null3"/>
            </w:pPr>
            <w:r>
              <w:rPr>
                <w:rFonts w:ascii="宋体" w:hAnsi="宋体" w:cs="宋体" w:eastAsia="宋体"/>
              </w:rPr>
              <w:t>根据项目要求组建项目团队；</w:t>
            </w:r>
          </w:p>
          <w:p>
            <w:pPr>
              <w:pStyle w:val="null3"/>
            </w:pPr>
            <w:r>
              <w:rPr>
                <w:rFonts w:ascii="宋体" w:hAnsi="宋体" w:cs="宋体" w:eastAsia="宋体"/>
              </w:rPr>
              <w:t>根据项目情况、要求制定行之有效的项目计划；</w:t>
            </w:r>
          </w:p>
          <w:p>
            <w:pPr>
              <w:pStyle w:val="null3"/>
            </w:pPr>
            <w:r>
              <w:rPr>
                <w:rFonts w:ascii="宋体" w:hAnsi="宋体" w:cs="宋体" w:eastAsia="宋体"/>
              </w:rPr>
              <w:t>领导项目组按计划开展项目运作，保证项目进度符合双方要求；</w:t>
            </w:r>
          </w:p>
          <w:p>
            <w:pPr>
              <w:pStyle w:val="null3"/>
            </w:pPr>
            <w:r>
              <w:rPr>
                <w:rFonts w:ascii="宋体" w:hAnsi="宋体" w:cs="宋体" w:eastAsia="宋体"/>
              </w:rPr>
              <w:t>负责项目质量，保证项目质量符合客户要求；</w:t>
            </w:r>
          </w:p>
          <w:p>
            <w:pPr>
              <w:pStyle w:val="null3"/>
            </w:pPr>
            <w:r>
              <w:rPr>
                <w:rFonts w:ascii="宋体" w:hAnsi="宋体" w:cs="宋体" w:eastAsia="宋体"/>
              </w:rPr>
              <w:t>协调项目实施过程中与客户的关系，保证项目顺利开展；</w:t>
            </w:r>
          </w:p>
          <w:p>
            <w:pPr>
              <w:pStyle w:val="null3"/>
            </w:pPr>
            <w:r>
              <w:rPr>
                <w:rFonts w:ascii="宋体" w:hAnsi="宋体" w:cs="宋体" w:eastAsia="宋体"/>
              </w:rPr>
              <w:t>定期向甲方项目领导汇报项目进度、项目情况，进行风险预测与评估，保证项目效果；</w:t>
            </w:r>
          </w:p>
          <w:p>
            <w:pPr>
              <w:pStyle w:val="null3"/>
            </w:pPr>
            <w:r>
              <w:rPr>
                <w:rFonts w:ascii="宋体" w:hAnsi="宋体" w:cs="宋体" w:eastAsia="宋体"/>
              </w:rPr>
              <w:t>参与项目的全过程；</w:t>
            </w:r>
          </w:p>
          <w:p>
            <w:pPr>
              <w:pStyle w:val="null3"/>
            </w:pPr>
            <w:r>
              <w:rPr>
                <w:rFonts w:ascii="宋体" w:hAnsi="宋体" w:cs="宋体" w:eastAsia="宋体"/>
              </w:rPr>
              <w:t>工作主要包括：</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）组建项目小组；准备项目环境；与客户项目负责人根据现实情况谈论决定实际的项目计划；</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）进行相关的需求调研，调研内容包括：组织结构、现有应用系统、当前系统软件配置、基本数据环境</w:t>
            </w:r>
            <w:r>
              <w:rPr>
                <w:rFonts w:ascii="calibri" w:hAnsi="calibri" w:cs="calibri" w:eastAsia="calibri"/>
              </w:rPr>
              <w:t>(</w:t>
            </w:r>
            <w:r>
              <w:rPr>
                <w:rFonts w:ascii="宋体" w:hAnsi="宋体" w:cs="宋体" w:eastAsia="宋体"/>
              </w:rPr>
              <w:t>包括存储策略、安全策略、备份策略、灾难恢复策略</w:t>
            </w:r>
            <w:r>
              <w:rPr>
                <w:rFonts w:ascii="calibri" w:hAnsi="calibri" w:cs="calibri" w:eastAsia="calibri"/>
              </w:rPr>
              <w:t>)</w:t>
            </w:r>
            <w:r>
              <w:rPr>
                <w:rFonts w:ascii="宋体" w:hAnsi="宋体" w:cs="宋体" w:eastAsia="宋体"/>
              </w:rPr>
              <w:t>、用户情况、公文处理需求、协同需求、常用办公功能需求、其它需求。完成需求确认；</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）根据调研情况实现应用，包括系统的配置、流程设计、模板设计等；根据调研情况对特定系统进行二次开发；</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）对实现的功能进行测试，检验：是否符合需求、是否存在</w:t>
            </w:r>
            <w:r>
              <w:rPr>
                <w:rFonts w:ascii="calibri" w:hAnsi="calibri" w:cs="calibri" w:eastAsia="calibri"/>
              </w:rPr>
              <w:t>bug</w:t>
            </w:r>
            <w:r>
              <w:rPr>
                <w:rFonts w:ascii="宋体" w:hAnsi="宋体" w:cs="宋体" w:eastAsia="宋体"/>
              </w:rPr>
              <w:t>、系统性能问题等；</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集中培训客户系统管理员与应用管理员，使管理员具有系统维护和管理的技能，能快速定义各种类型的公文以及流程，进行系统用户管理和维护；协助客户管理员进行普通用户的培训，包括领导层、各处室领导及一般工作人员；培训内容包括系统的基本操作方法，收文和发文的处理形式、文档的查询、其它办公模块的使用等；</w:t>
            </w:r>
          </w:p>
          <w:p>
            <w:pPr>
              <w:pStyle w:val="null3"/>
            </w:pPr>
            <w:r>
              <w:rPr>
                <w:rFonts w:ascii="宋体" w:hAnsi="宋体" w:cs="宋体" w:eastAsia="宋体"/>
              </w:rPr>
              <w:t>四、其他要求</w:t>
            </w:r>
          </w:p>
          <w:p>
            <w:pPr>
              <w:pStyle w:val="null3"/>
            </w:pPr>
            <w:r>
              <w:rPr>
                <w:rFonts w:ascii="calibri" w:hAnsi="calibri" w:cs="calibri" w:eastAsia="calibri"/>
              </w:rPr>
              <w:t>1</w:t>
            </w:r>
            <w:r>
              <w:rPr>
                <w:rFonts w:ascii="宋体" w:hAnsi="宋体" w:cs="宋体" w:eastAsia="宋体"/>
              </w:rPr>
              <w:t>、制度要求</w:t>
            </w:r>
          </w:p>
          <w:p>
            <w:pPr>
              <w:pStyle w:val="null3"/>
            </w:pPr>
            <w:r>
              <w:rPr>
                <w:rFonts w:ascii="宋体" w:hAnsi="宋体" w:cs="宋体" w:eastAsia="宋体"/>
              </w:rPr>
              <w:t>良好的管理制度，严密的组织实施计划，严格的监督检查机制对保证项目的成功至关重要。</w:t>
            </w:r>
          </w:p>
          <w:p>
            <w:pPr>
              <w:pStyle w:val="null3"/>
            </w:pPr>
            <w:r>
              <w:rPr>
                <w:rFonts w:ascii="宋体" w:hAnsi="宋体" w:cs="宋体" w:eastAsia="宋体"/>
              </w:rPr>
              <w:t>决策制度：对于项目实施过程中的日常工作，一般由项目经理加以决策，然后提交给项目领导小组、乙方项目实施组和项目经理，一般在</w:t>
            </w:r>
            <w:r>
              <w:rPr>
                <w:rFonts w:ascii="calibri" w:hAnsi="calibri" w:cs="calibri" w:eastAsia="calibri"/>
              </w:rPr>
              <w:t xml:space="preserve">2 </w:t>
            </w:r>
            <w:r>
              <w:rPr>
                <w:rFonts w:ascii="宋体" w:hAnsi="宋体" w:cs="宋体" w:eastAsia="宋体"/>
              </w:rPr>
              <w:t>天之内，如果没有任何一方提出异议，则该决定生效，此异议应以书面方式表达。一切决策应有书面文件，并且在项目文档管理组备案。</w:t>
            </w:r>
          </w:p>
          <w:p>
            <w:pPr>
              <w:pStyle w:val="null3"/>
            </w:pPr>
            <w:r>
              <w:rPr>
                <w:rFonts w:ascii="宋体" w:hAnsi="宋体" w:cs="宋体" w:eastAsia="宋体"/>
              </w:rPr>
              <w:t>交流制度：所有项目组成员，如发现项目进展隐患，应及时向项目经理或其他人员提醒。提醒可以以书面或口头方式。</w:t>
            </w:r>
          </w:p>
          <w:p>
            <w:pPr>
              <w:pStyle w:val="null3"/>
            </w:pPr>
            <w:r>
              <w:rPr>
                <w:rFonts w:ascii="宋体" w:hAnsi="宋体" w:cs="宋体" w:eastAsia="宋体"/>
              </w:rPr>
              <w:t>例会制度：每周五下午及每月最后一周的末尾工作日，由项目经理组织在现场的双方项目组成员参加周</w:t>
            </w:r>
            <w:r>
              <w:rPr>
                <w:rFonts w:ascii="calibri" w:hAnsi="calibri" w:cs="calibri" w:eastAsia="calibri"/>
              </w:rPr>
              <w:t>/</w:t>
            </w:r>
            <w:r>
              <w:rPr>
                <w:rFonts w:ascii="宋体" w:hAnsi="宋体" w:cs="宋体" w:eastAsia="宋体"/>
              </w:rPr>
              <w:t>月例会。总结上周</w:t>
            </w:r>
            <w:r>
              <w:rPr>
                <w:rFonts w:ascii="calibri" w:hAnsi="calibri" w:cs="calibri" w:eastAsia="calibri"/>
              </w:rPr>
              <w:t>/</w:t>
            </w:r>
            <w:r>
              <w:rPr>
                <w:rFonts w:ascii="宋体" w:hAnsi="宋体" w:cs="宋体" w:eastAsia="宋体"/>
              </w:rPr>
              <w:t>月工作，形成项目周</w:t>
            </w:r>
            <w:r>
              <w:rPr>
                <w:rFonts w:ascii="calibri" w:hAnsi="calibri" w:cs="calibri" w:eastAsia="calibri"/>
              </w:rPr>
              <w:t>/</w:t>
            </w:r>
            <w:r>
              <w:rPr>
                <w:rFonts w:ascii="宋体" w:hAnsi="宋体" w:cs="宋体" w:eastAsia="宋体"/>
              </w:rPr>
              <w:t>月报。项目周</w:t>
            </w:r>
            <w:r>
              <w:rPr>
                <w:rFonts w:ascii="calibri" w:hAnsi="calibri" w:cs="calibri" w:eastAsia="calibri"/>
              </w:rPr>
              <w:t>/</w:t>
            </w:r>
            <w:r>
              <w:rPr>
                <w:rFonts w:ascii="宋体" w:hAnsi="宋体" w:cs="宋体" w:eastAsia="宋体"/>
              </w:rPr>
              <w:t>月报的内容包括：上周</w:t>
            </w:r>
            <w:r>
              <w:rPr>
                <w:rFonts w:ascii="calibri" w:hAnsi="calibri" w:cs="calibri" w:eastAsia="calibri"/>
              </w:rPr>
              <w:t>/</w:t>
            </w:r>
            <w:r>
              <w:rPr>
                <w:rFonts w:ascii="宋体" w:hAnsi="宋体" w:cs="宋体" w:eastAsia="宋体"/>
              </w:rPr>
              <w:t>月工作进展报告、本周</w:t>
            </w:r>
            <w:r>
              <w:rPr>
                <w:rFonts w:ascii="calibri" w:hAnsi="calibri" w:cs="calibri" w:eastAsia="calibri"/>
              </w:rPr>
              <w:t>/</w:t>
            </w:r>
            <w:r>
              <w:rPr>
                <w:rFonts w:ascii="宋体" w:hAnsi="宋体" w:cs="宋体" w:eastAsia="宋体"/>
              </w:rPr>
              <w:t>月工作计划、本周</w:t>
            </w:r>
            <w:r>
              <w:rPr>
                <w:rFonts w:ascii="calibri" w:hAnsi="calibri" w:cs="calibri" w:eastAsia="calibri"/>
              </w:rPr>
              <w:t>/</w:t>
            </w:r>
            <w:r>
              <w:rPr>
                <w:rFonts w:ascii="宋体" w:hAnsi="宋体" w:cs="宋体" w:eastAsia="宋体"/>
              </w:rPr>
              <w:t>月任务分派报告。</w:t>
            </w:r>
          </w:p>
          <w:p>
            <w:pPr>
              <w:pStyle w:val="null3"/>
            </w:pPr>
            <w:r>
              <w:rPr>
                <w:rFonts w:ascii="宋体" w:hAnsi="宋体" w:cs="宋体" w:eastAsia="宋体"/>
              </w:rPr>
              <w:t>问题争议制度：在项目中，任何不能达成一致的观点均为争议，争议应立即向项目的上级单位呈报，并报项目管理部。争议应由可以协调争议各方的机构加以裁决，并对裁决承担责任。争议裁决人由项目管理部项目经理选择。争议的最高仲裁机构为项目领导决策组。</w:t>
            </w:r>
          </w:p>
          <w:p>
            <w:pPr>
              <w:pStyle w:val="null3"/>
            </w:pPr>
            <w:r>
              <w:rPr>
                <w:rFonts w:ascii="calibri" w:hAnsi="calibri" w:cs="calibri" w:eastAsia="calibri"/>
              </w:rPr>
              <w:t>2</w:t>
            </w:r>
            <w:r>
              <w:rPr>
                <w:rFonts w:ascii="宋体" w:hAnsi="宋体" w:cs="宋体" w:eastAsia="宋体"/>
              </w:rPr>
              <w:t>、安全服务要求</w:t>
            </w:r>
          </w:p>
          <w:p>
            <w:pPr>
              <w:pStyle w:val="null3"/>
            </w:pPr>
            <w:r>
              <w:rPr>
                <w:rFonts w:ascii="宋体" w:hAnsi="宋体" w:cs="宋体" w:eastAsia="宋体"/>
              </w:rPr>
              <w:t>应满足国家信息系统安全等级保护要求，依据所定安全等级要求进行安全等保的规划与建设，从物理安全、网络安全、主机安全、应用安全和数据安全几个层面制定安全保护措施。在访问控制、安全审计、通信完整性与保密性、抗抵赖、软件容错等方面保障系统应用安全。</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）故障服务响应</w:t>
            </w:r>
          </w:p>
          <w:tbl>
            <w:tblPr>
              <w:tblInd w:type="dxa" w:w="120"/>
              <w:tblBorders>
                <w:top w:val="none" w:color="000000" w:sz="4"/>
                <w:left w:val="none" w:color="000000" w:sz="4"/>
                <w:bottom w:val="none" w:color="000000" w:sz="4"/>
                <w:right w:val="none" w:color="000000" w:sz="4"/>
                <w:insideH w:val="none"/>
                <w:insideV w:val="none"/>
              </w:tblBorders>
            </w:tblPr>
            <w:tblGrid>
              <w:gridCol w:w="1205"/>
              <w:gridCol w:w="831"/>
              <w:gridCol w:w="517"/>
            </w:tblGrid>
            <w:tr>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18"/>
                      <w:color w:val="000000"/>
                    </w:rPr>
                    <w:t>故障级别</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18"/>
                      <w:color w:val="000000"/>
                    </w:rPr>
                    <w:t>到达现场时间</w:t>
                  </w:r>
                </w:p>
              </w:tc>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18"/>
                      <w:color w:val="000000"/>
                    </w:rPr>
                    <w:t>解决时间</w:t>
                  </w: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18"/>
                      <w:color w:val="000000"/>
                    </w:rPr>
                    <w:t>一级故障：系统崩溃或系统性能严重下降，业务系统无法正常运行</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18"/>
                      <w:color w:val="000000"/>
                    </w:rPr>
                    <w:t>30分钟内提供电话支持， 1小时内到达现场</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18"/>
                      <w:color w:val="000000"/>
                    </w:rPr>
                    <w:t>到达现场后的</w:t>
                  </w:r>
                  <w:r>
                    <w:rPr>
                      <w:rFonts w:ascii="宋体" w:hAnsi="宋体" w:cs="宋体" w:eastAsia="宋体"/>
                      <w:sz w:val="18"/>
                      <w:color w:val="000000"/>
                    </w:rPr>
                    <w:t>4小时内</w:t>
                  </w: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18"/>
                      <w:color w:val="000000"/>
                    </w:rPr>
                    <w:t>二级故障：系统性能有一定下降，业务系统受到干扰</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18"/>
                      <w:color w:val="000000"/>
                    </w:rPr>
                    <w:t>30分钟内提供电话支持，4小时内到达现场</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18"/>
                      <w:color w:val="000000"/>
                    </w:rPr>
                    <w:t>到达现场后的</w:t>
                  </w:r>
                  <w:r>
                    <w:rPr>
                      <w:rFonts w:ascii="宋体" w:hAnsi="宋体" w:cs="宋体" w:eastAsia="宋体"/>
                      <w:sz w:val="18"/>
                      <w:color w:val="000000"/>
                    </w:rPr>
                    <w:t>8小时内</w:t>
                  </w: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18"/>
                      <w:color w:val="000000"/>
                    </w:rPr>
                    <w:t>三级故障：系统可以运行，但系统有不明原因的报错</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18"/>
                      <w:color w:val="000000"/>
                    </w:rPr>
                    <w:t>30分钟内提供电话支持，8小时内到达现场</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18"/>
                      <w:color w:val="000000"/>
                    </w:rPr>
                    <w:t>到达现场后的</w:t>
                  </w:r>
                  <w:r>
                    <w:rPr>
                      <w:rFonts w:ascii="宋体" w:hAnsi="宋体" w:cs="宋体" w:eastAsia="宋体"/>
                      <w:sz w:val="18"/>
                      <w:color w:val="000000"/>
                    </w:rPr>
                    <w:t>24小时内</w:t>
                  </w:r>
                </w:p>
              </w:tc>
            </w:tr>
          </w:tbl>
          <w:p>
            <w:pPr>
              <w:pStyle w:val="null3"/>
            </w:pPr>
            <w:r>
              <w:rPr>
                <w:rFonts w:ascii="宋体" w:hAnsi="宋体" w:cs="宋体" w:eastAsia="宋体"/>
              </w:rPr>
              <w:t>（</w:t>
            </w:r>
            <w:r>
              <w:rPr>
                <w:rFonts w:ascii="calibri" w:hAnsi="calibri" w:cs="calibri" w:eastAsia="calibri"/>
              </w:rPr>
              <w:t>2</w:t>
            </w:r>
            <w:r>
              <w:rPr>
                <w:rFonts w:ascii="宋体" w:hAnsi="宋体" w:cs="宋体" w:eastAsia="宋体"/>
              </w:rPr>
              <w:t>）应急预案</w:t>
            </w:r>
          </w:p>
          <w:p>
            <w:pPr>
              <w:pStyle w:val="null3"/>
            </w:pPr>
            <w:r>
              <w:rPr>
                <w:rFonts w:ascii="calibri" w:hAnsi="calibri" w:cs="calibri" w:eastAsia="calibri"/>
              </w:rPr>
              <w:t>1</w:t>
            </w:r>
            <w:r>
              <w:rPr>
                <w:rFonts w:ascii="宋体" w:hAnsi="宋体" w:cs="宋体" w:eastAsia="宋体"/>
              </w:rPr>
              <w:t>、病毒安全紧急处置措施：</w:t>
            </w:r>
          </w:p>
          <w:p>
            <w:pPr>
              <w:pStyle w:val="null3"/>
            </w:pPr>
            <w:r>
              <w:rPr>
                <w:rFonts w:ascii="宋体" w:hAnsi="宋体" w:cs="宋体" w:eastAsia="宋体"/>
              </w:rPr>
              <w:t>当发现有计算机被感染上病毒后，应立即向信息系统管理技术人员报告，将该机从信息系统上隔离开来</w:t>
            </w:r>
            <w:r>
              <w:rPr>
                <w:rFonts w:ascii="宋体" w:hAnsi="宋体" w:cs="宋体" w:eastAsia="宋体"/>
              </w:rPr>
              <w:t>信息系统管理技术人员在接到通知后，应在三十分钟内响应。</w:t>
            </w:r>
            <w:r>
              <w:rPr>
                <w:rFonts w:ascii="宋体" w:hAnsi="宋体" w:cs="宋体" w:eastAsia="宋体"/>
              </w:rPr>
              <w:t>对该设备的硬盘进行数据备份。用反病毒软件对该机进行杀毒处理，同时通过病毒检测软件对其他机器进行病毒扫描和清除工作。</w:t>
            </w:r>
            <w:r>
              <w:rPr>
                <w:rFonts w:ascii="宋体" w:hAnsi="宋体" w:cs="宋体" w:eastAsia="宋体"/>
              </w:rPr>
              <w:t>如果现行反病毒软件无法清除该病毒，应立即向应急处理工作小组组长报告，并迅速联系有关产品商研究解决。</w:t>
            </w:r>
            <w:r>
              <w:rPr>
                <w:rFonts w:ascii="宋体" w:hAnsi="宋体" w:cs="宋体" w:eastAsia="宋体"/>
              </w:rPr>
              <w:t>应急处理工作小组经会商，认为情况严重的，应立即向应急处理领导小组组长汇报。</w:t>
            </w:r>
            <w:r>
              <w:rPr>
                <w:rFonts w:ascii="宋体" w:hAnsi="宋体" w:cs="宋体" w:eastAsia="宋体"/>
              </w:rPr>
              <w:t>应急处理领导小组经会商后，认为情况极为严重的，应立即向公安部门或上级机关报告。</w:t>
            </w:r>
            <w:r>
              <w:rPr>
                <w:rFonts w:ascii="宋体" w:hAnsi="宋体" w:cs="宋体" w:eastAsia="宋体"/>
              </w:rPr>
              <w:t>如果感染病毒的设备是中心服务器系统，经领导小组同意，应立即告知各相关部门做好相应的清查工作。</w:t>
            </w:r>
          </w:p>
          <w:p>
            <w:pPr>
              <w:pStyle w:val="null3"/>
            </w:pPr>
            <w:r>
              <w:rPr>
                <w:rFonts w:ascii="calibri" w:hAnsi="calibri" w:cs="calibri" w:eastAsia="calibri"/>
              </w:rPr>
              <w:t>2</w:t>
            </w:r>
            <w:r>
              <w:rPr>
                <w:rFonts w:ascii="宋体" w:hAnsi="宋体" w:cs="宋体" w:eastAsia="宋体"/>
              </w:rPr>
              <w:t>、数据库安全紧急处置措施</w:t>
            </w:r>
          </w:p>
          <w:p>
            <w:pPr>
              <w:pStyle w:val="null3"/>
            </w:pPr>
            <w:r>
              <w:rPr>
                <w:rFonts w:ascii="宋体" w:hAnsi="宋体" w:cs="宋体" w:eastAsia="宋体"/>
              </w:rPr>
              <w:t>主要数据库应按双机热备设置，并至少要准备两个以上数据库备份，平时一个备份放在机房，另一个备份放在另一个安全的场所。</w:t>
            </w:r>
            <w:r>
              <w:rPr>
                <w:rFonts w:ascii="宋体" w:hAnsi="宋体" w:cs="宋体" w:eastAsia="宋体"/>
              </w:rPr>
              <w:t>一旦数据库崩溃，应立即启动备用系统，并向应急处理工作小组组长报告。</w:t>
            </w:r>
            <w:r>
              <w:rPr>
                <w:rFonts w:ascii="宋体" w:hAnsi="宋体" w:cs="宋体" w:eastAsia="宋体"/>
              </w:rPr>
              <w:t>在备用系统运行期间，业务系统技术人员应对主机系统进行维修。</w:t>
            </w:r>
            <w:r>
              <w:rPr>
                <w:rFonts w:ascii="宋体" w:hAnsi="宋体" w:cs="宋体" w:eastAsia="宋体"/>
              </w:rPr>
              <w:t>如果两套系统均崩溃，业务系统技术人员应立即向应急处理工作小组组长报告，应急处理工作小组如认为情况严重，应立即向应急处理领导小组组长汇报。同时通知相关科室部门暂缓使用业务系统和上传上报数据。</w:t>
            </w:r>
            <w:r>
              <w:rPr>
                <w:rFonts w:ascii="宋体" w:hAnsi="宋体" w:cs="宋体" w:eastAsia="宋体"/>
              </w:rPr>
              <w:t>系统修复启动后，将第一个数据库备份取出，按照要求将其恢复到主机系统中。</w:t>
            </w:r>
            <w:r>
              <w:rPr>
                <w:rFonts w:ascii="宋体" w:hAnsi="宋体" w:cs="宋体" w:eastAsia="宋体"/>
              </w:rPr>
              <w:t>如因第一个备份损坏，导致数据库无法恢复，则应取出第二套数据库加已恢复。</w:t>
            </w:r>
            <w:r>
              <w:rPr>
                <w:rFonts w:ascii="宋体" w:hAnsi="宋体" w:cs="宋体" w:eastAsia="宋体"/>
              </w:rPr>
              <w:t>如果两个备份均无法恢复，应立即向应急处理工作小组组长汇报，并向有关厂商请求紧急支援。</w:t>
            </w:r>
          </w:p>
          <w:p>
            <w:pPr>
              <w:pStyle w:val="null3"/>
            </w:pPr>
            <w:r>
              <w:rPr>
                <w:rFonts w:ascii="calibri" w:hAnsi="calibri" w:cs="calibri" w:eastAsia="calibri"/>
              </w:rPr>
              <w:t>3</w:t>
            </w:r>
            <w:r>
              <w:rPr>
                <w:rFonts w:ascii="宋体" w:hAnsi="宋体" w:cs="宋体" w:eastAsia="宋体"/>
              </w:rPr>
              <w:t>、软件系统遭破坏性攻击的紧急处置措施</w:t>
            </w:r>
          </w:p>
          <w:p>
            <w:pPr>
              <w:pStyle w:val="null3"/>
            </w:pPr>
            <w:r>
              <w:rPr>
                <w:rFonts w:ascii="宋体" w:hAnsi="宋体" w:cs="宋体" w:eastAsia="宋体"/>
              </w:rPr>
              <w:t>重要的业务系统必须存有备份，与业务系统相对应的数据必须有多日的备份，并将他们保存在安全处。</w:t>
            </w:r>
            <w:r>
              <w:rPr>
                <w:rFonts w:ascii="宋体" w:hAnsi="宋体" w:cs="宋体" w:eastAsia="宋体"/>
              </w:rPr>
              <w:t>一旦信息系统遭到破坏性攻击，应立即向信息系统管理技术人员、业务系统技术人员报告，并将该系统停止运行。</w:t>
            </w:r>
            <w:r>
              <w:rPr>
                <w:rFonts w:ascii="宋体" w:hAnsi="宋体" w:cs="宋体" w:eastAsia="宋体"/>
              </w:rPr>
              <w:t>信息系统管理技术人员检查日志等资料，确定攻击来源。</w:t>
            </w:r>
            <w:r>
              <w:rPr>
                <w:rFonts w:ascii="宋体" w:hAnsi="宋体" w:cs="宋体" w:eastAsia="宋体"/>
              </w:rPr>
              <w:t>由业务系统技术人员向应急处理工作小组组长汇报。</w:t>
            </w:r>
            <w:r>
              <w:rPr>
                <w:rFonts w:ascii="宋体" w:hAnsi="宋体" w:cs="宋体" w:eastAsia="宋体"/>
              </w:rPr>
              <w:t>应急处理工作小组组长认为情况严重的，应立即向应急处理领导小组汇报。</w:t>
            </w:r>
            <w:r>
              <w:rPr>
                <w:rFonts w:ascii="宋体" w:hAnsi="宋体" w:cs="宋体" w:eastAsia="宋体"/>
                <w:sz w:val="21"/>
              </w:rPr>
              <w:t>应急处理领导小组认为情况极为严重的，应立即向公安部门或上级机关报告。</w:t>
            </w:r>
          </w:p>
          <w:p>
            <w:pPr>
              <w:pStyle w:val="null3"/>
              <w:jc w:val="both"/>
            </w:pPr>
            <w:r>
              <w:rPr/>
              <w:t>五、</w:t>
            </w:r>
            <w:r>
              <w:rPr>
                <w:rFonts w:ascii="宋体" w:hAnsi="宋体" w:cs="宋体" w:eastAsia="宋体"/>
              </w:rPr>
              <w:t>保密要求</w:t>
            </w:r>
          </w:p>
          <w:p>
            <w:pPr>
              <w:pStyle w:val="null3"/>
            </w:pPr>
            <w:r>
              <w:rPr>
                <w:rFonts w:ascii="calibri" w:hAnsi="calibri" w:cs="calibri" w:eastAsia="calibri"/>
              </w:rPr>
              <w:t>1</w:t>
            </w:r>
            <w:r>
              <w:rPr>
                <w:rFonts w:ascii="宋体" w:hAnsi="宋体" w:cs="宋体" w:eastAsia="宋体"/>
              </w:rPr>
              <w:t>、供应商应完全按照国家有关保密法律法规、标准和甲方 的要求，对甲方委托的实施服务全过程进行保密管理；</w:t>
            </w:r>
          </w:p>
          <w:p>
            <w:pPr>
              <w:pStyle w:val="null3"/>
            </w:pPr>
            <w:r>
              <w:rPr>
                <w:rFonts w:ascii="calibri" w:hAnsi="calibri" w:cs="calibri" w:eastAsia="calibri"/>
              </w:rPr>
              <w:t>2</w:t>
            </w:r>
            <w:r>
              <w:rPr>
                <w:rFonts w:ascii="宋体" w:hAnsi="宋体" w:cs="宋体" w:eastAsia="宋体"/>
              </w:rPr>
              <w:t>、供应商不得将保密范围内的任何信息或实物等向第三方出售、出租、外借、转让、转包、泄露或以其他形式提供；</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、保密范围内的信息或实物等归甲方所有，供应商只能在合作范围内使用，不得利用甲方的信息从事营利活动。</w:t>
            </w:r>
          </w:p>
          <w:p>
            <w:pPr>
              <w:pStyle w:val="null3"/>
              <w:jc w:val="both"/>
            </w:pPr>
            <w:r>
              <w:rPr/>
              <w:t>六、</w:t>
            </w:r>
            <w:r>
              <w:rPr>
                <w:rFonts w:ascii="&quot;times new roman&quot;" w:hAnsi="&quot;times new roman&quot;" w:cs="&quot;times new roman&quot;" w:eastAsia="&quot;times new roman&quot;"/>
                <w:sz w:val="21"/>
              </w:rPr>
              <w:t>测评与考核管理</w:t>
            </w:r>
            <w:r>
              <w:br/>
            </w:r>
            <w:r>
              <w:rPr>
                <w:rFonts w:ascii="&quot;times new roman&quot;" w:hAnsi="&quot;times new roman&quot;" w:cs="&quot;times new roman&quot;" w:eastAsia="&quot;times new roman&quot;"/>
                <w:sz w:val="21"/>
              </w:rPr>
              <w:t xml:space="preserve"> 根据单位内部情况设定测评与考核模式：测评管理包括设定测评方式、测评人设定、测评时间、测评等级、测评百分比等；考核管理包含季度考核、年度考核、集体考核、考核流程与表单管理、考核结果统计与查询和人员基础信息管理。同时对于测评及考核管理支持过程管理和进度追踪，支持数据推送至人事处并进行统计分析。</w:t>
            </w:r>
          </w:p>
        </w:tc>
      </w:tr>
    </w:tbl>
    <w:p>
      <w:pPr>
        <w:pStyle w:val="null3"/>
        <w:outlineLvl w:val="2"/>
      </w:pPr>
      <w:r>
        <w:rPr>
          <w:sz w:val="28"/>
          <w:b/>
        </w:rPr>
        <w:t>3.2.3人员配置要求</w:t>
      </w:r>
    </w:p>
    <w:p>
      <w:pPr>
        <w:pStyle w:val="null3"/>
      </w:pPr>
      <w:r>
        <w:rPr/>
        <w:t>采购包1：</w:t>
      </w:r>
    </w:p>
    <w:p>
      <w:pPr>
        <w:pStyle w:val="null3"/>
      </w:pPr>
      <w:r>
        <w:rPr/>
        <w:t>供应商应组建技术服务保障团队，根据需求全天候提供驻场和远程技术支持服务。 1、供应商应承诺在不同阶段配置足够的人员组织实施项目，必须保证配备至少1名项目经理和2名专职技术人员；提供 7×24 小时的故障响应电话支持。</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1、可靠性要求：系统应该具有防错、抗错能力。在 7*24 连续运行情况下，系统可靠性达到 99.9% 。平均故障修复时间小于 2 小时。 2、先进性、成熟性要求：系统采用的技术和语言必须体现一定的先进性，代表主流软件的发展方向；系统的架构设计必须先进，如体现最新的 SOA 架构方向。 3、实用性、易用性和易维护性要求：软件要易学、易操作、提示清晰、帮助丰富，便于维护和管理，有利于故障跟踪、检查和排除。。 4、规范性要求：软件实施过程各阶段技术文档齐全，用户手册文档与实际系统严格一致。系统试 运行期间， 问题反馈机制健全，有详细的问题记录和问题解决办法。各个页面的链接、页面的结构、页面的菜单、页面的显示风格一致。协同办公的流程规范应严格按照统一的流程书写。</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合同签订之日起三个月内交付</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按采购人要求执行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合同签订后10个工作日，乙方向甲方提供等额增值税发票 ，达到付款条件起 30 日内，支付合同总金额的 50.00%</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合同履行结束，乙方完成所有服务内容，并提交合格的成果资料，经甲方验收合格后，乙方向甲方提供等额增值税发票 ，达到付款条件起 30 日内，支付合同总金额的 47.00%</w:t>
      </w:r>
      <w:r>
        <w:rPr/>
        <w:t xml:space="preserve"> ，达到付款条件起 </w:t>
      </w:r>
      <w:r>
        <w:rPr/>
        <w:t>30</w:t>
      </w:r>
      <w:r>
        <w:rPr/>
        <w:t xml:space="preserve"> 日内，支付合同总金额的 </w:t>
      </w:r>
      <w:r>
        <w:rPr/>
        <w:t>47.00</w:t>
      </w:r>
      <w:r>
        <w:rPr/>
        <w:t>%。</w:t>
      </w:r>
    </w:p>
    <w:p>
      <w:pPr>
        <w:pStyle w:val="null3"/>
      </w:pPr>
      <w:r>
        <w:rPr/>
        <w:t>采购包1：</w:t>
      </w:r>
      <w:r>
        <w:rPr/>
        <w:t xml:space="preserve"> 付款条件说明： </w:t>
      </w:r>
      <w:r>
        <w:rPr/>
        <w:t>验收一年后，达到付款条件起 30 日内，支付合同总金额的3.00%</w:t>
      </w:r>
      <w:r>
        <w:rPr/>
        <w:t xml:space="preserve"> ，达到付款条件起 </w:t>
      </w:r>
      <w:r>
        <w:rPr/>
        <w:t>30</w:t>
      </w:r>
      <w:r>
        <w:rPr/>
        <w:t xml:space="preserve"> 日内，支付合同总金额的 </w:t>
      </w:r>
      <w:r>
        <w:rPr/>
        <w:t>3.00</w:t>
      </w:r>
      <w:r>
        <w:rPr/>
        <w:t>%。</w:t>
      </w:r>
    </w:p>
    <w:p>
      <w:pPr>
        <w:pStyle w:val="null3"/>
        <w:outlineLvl w:val="3"/>
      </w:pPr>
      <w:r>
        <w:rPr>
          <w:sz w:val="24"/>
          <w:b/>
        </w:rPr>
        <w:t>3.3.6违约责任及解决争议的方法</w:t>
      </w:r>
    </w:p>
    <w:p>
      <w:pPr>
        <w:pStyle w:val="null3"/>
      </w:pPr>
      <w:r>
        <w:rPr/>
        <w:t>采购包1：</w:t>
      </w:r>
    </w:p>
    <w:p>
      <w:pPr>
        <w:pStyle w:val="null3"/>
      </w:pPr>
      <w:r>
        <w:rPr/>
        <w:t>按采购人要求执行</w:t>
      </w:r>
    </w:p>
    <w:p>
      <w:pPr>
        <w:pStyle w:val="null3"/>
        <w:outlineLvl w:val="2"/>
      </w:pPr>
      <w:r>
        <w:rPr>
          <w:sz w:val="28"/>
          <w:b/>
        </w:rPr>
        <w:t>3.4其他要求</w:t>
      </w:r>
    </w:p>
    <w:p>
      <w:pPr>
        <w:pStyle w:val="null3"/>
      </w:pPr>
      <w:r>
        <w:rPr/>
        <w:t>1、服务期限：合同签订之日起三个月内交付 2、为顺利推进政府采购电子化交易平台试点应用工作，供应商需要在线提交所有通过电子化交易平台实施的政府采购项目的投标文件，同时，线下提交投标文件正本 壹 份、副本 贰套、电子版壹 套（U盘一套标明供应商名称，随正本密封）。若系统电子投标文件与纸质投标文件不一致的，以系统电子投标文件为准。 3、定标环节采购人有权对投标文件承诺响应的内容进行复核，如有虚假响应，一经发现，取消成交资格并上报财政主管部门，列入政府采购黑名单。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法定代表人参加的，须提供本人身份证复印件加盖公章并出示身份证原件；法定代表人授权他人参加的，须提供法定代表人委托授权书原件加盖公章，并出示被授权代表的身份证原件及复印件加盖公章</w:t>
            </w:r>
          </w:p>
        </w:tc>
        <w:tc>
          <w:tcPr>
            <w:tcW w:type="dxa" w:w="3322"/>
          </w:tcPr>
          <w:p>
            <w:pPr>
              <w:pStyle w:val="null3"/>
            </w:pPr>
            <w:r>
              <w:rPr/>
              <w:t>法定代表人参加的，须提供本人身份证复印件加盖公章并出示身份证原件；法定代表人授权他人参加的，须提供法定代表人委托授权书原件加盖公章，并出示被授权代表的身份证原件及复印件加盖公章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单位负责人为同一人或者存在直接控股、管理关系的不同供应商，不得同时参加本采购项目</w:t>
            </w:r>
          </w:p>
        </w:tc>
        <w:tc>
          <w:tcPr>
            <w:tcW w:type="dxa" w:w="3322"/>
          </w:tcPr>
          <w:p>
            <w:pPr>
              <w:pStyle w:val="null3"/>
            </w:pPr>
            <w:r>
              <w:rPr/>
              <w:t>单位负责人为同一人或者存在直接控股、管理关系的不同供应商，不得同时参加本采购项目</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本项目不接受联合体磋商</w:t>
            </w:r>
          </w:p>
        </w:tc>
        <w:tc>
          <w:tcPr>
            <w:tcW w:type="dxa" w:w="3322"/>
          </w:tcPr>
          <w:p>
            <w:pPr>
              <w:pStyle w:val="null3"/>
            </w:pPr>
            <w:r>
              <w:rPr/>
              <w:t>本项目不接受联合体磋商（提供承诺）</w:t>
            </w:r>
          </w:p>
        </w:tc>
        <w:tc>
          <w:tcPr>
            <w:tcW w:type="dxa" w:w="1661"/>
          </w:tcPr>
          <w:p>
            <w:pPr>
              <w:pStyle w:val="null3"/>
            </w:pPr>
            <w:r>
              <w:rPr/>
              <w:t>资格响应表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商务及服务要求偏离表 标的清单 报价表</w:t>
            </w:r>
          </w:p>
        </w:tc>
      </w:tr>
      <w:tr>
        <w:tc>
          <w:tcPr>
            <w:tcW w:type="dxa" w:w="831"/>
          </w:tcPr>
          <w:p>
            <w:pPr>
              <w:pStyle w:val="null3"/>
            </w:pPr>
            <w:r>
              <w:rPr/>
              <w:t>2</w:t>
            </w:r>
          </w:p>
        </w:tc>
        <w:tc>
          <w:tcPr>
            <w:tcW w:type="dxa" w:w="2492"/>
          </w:tcPr>
          <w:p>
            <w:pPr>
              <w:pStyle w:val="null3"/>
            </w:pPr>
            <w:r>
              <w:rPr/>
              <w:t>（1）付款方式、服务期限是否完全响应；（2）响应文件有效期是否合格；</w:t>
            </w:r>
          </w:p>
        </w:tc>
        <w:tc>
          <w:tcPr>
            <w:tcW w:type="dxa" w:w="3322"/>
          </w:tcPr>
          <w:p>
            <w:pPr>
              <w:pStyle w:val="null3"/>
            </w:pPr>
            <w:r>
              <w:rPr/>
              <w:t>（1）付款方式、服务期限是否完全响应； （2）响应文件有效期是否合格；</w:t>
            </w:r>
          </w:p>
        </w:tc>
        <w:tc>
          <w:tcPr>
            <w:tcW w:type="dxa" w:w="1661"/>
          </w:tcPr>
          <w:p>
            <w:pPr>
              <w:pStyle w:val="null3"/>
            </w:pPr>
            <w:r>
              <w:rPr/>
              <w:t>商务及服务要求偏离表 响应函</w:t>
            </w:r>
          </w:p>
        </w:tc>
      </w:tr>
      <w:tr>
        <w:tc>
          <w:tcPr>
            <w:tcW w:type="dxa" w:w="831"/>
          </w:tcPr>
          <w:p>
            <w:pPr>
              <w:pStyle w:val="null3"/>
            </w:pPr>
            <w:r>
              <w:rPr/>
              <w:t>3</w:t>
            </w:r>
          </w:p>
        </w:tc>
        <w:tc>
          <w:tcPr>
            <w:tcW w:type="dxa" w:w="2492"/>
          </w:tcPr>
          <w:p>
            <w:pPr>
              <w:pStyle w:val="null3"/>
            </w:pPr>
            <w:r>
              <w:rPr/>
              <w:t>服务要求响应性审查</w:t>
            </w:r>
          </w:p>
        </w:tc>
        <w:tc>
          <w:tcPr>
            <w:tcW w:type="dxa" w:w="3322"/>
          </w:tcPr>
          <w:p>
            <w:pPr>
              <w:pStyle w:val="null3"/>
            </w:pPr>
            <w:r>
              <w:rPr/>
              <w:t>磋商响应文件是否满足采购要求</w:t>
            </w:r>
          </w:p>
        </w:tc>
        <w:tc>
          <w:tcPr>
            <w:tcW w:type="dxa" w:w="1661"/>
          </w:tcPr>
          <w:p>
            <w:pPr>
              <w:pStyle w:val="null3"/>
            </w:pPr>
            <w:r>
              <w:rPr/>
              <w:t>响应文件封面 商务及服务要求偏离表</w:t>
            </w:r>
          </w:p>
        </w:tc>
      </w:tr>
      <w:tr>
        <w:tc>
          <w:tcPr>
            <w:tcW w:type="dxa" w:w="831"/>
          </w:tcPr>
          <w:p>
            <w:pPr>
              <w:pStyle w:val="null3"/>
            </w:pPr>
            <w:r>
              <w:rPr/>
              <w:t>4</w:t>
            </w:r>
          </w:p>
        </w:tc>
        <w:tc>
          <w:tcPr>
            <w:tcW w:type="dxa" w:w="2492"/>
          </w:tcPr>
          <w:p>
            <w:pPr>
              <w:pStyle w:val="null3"/>
            </w:pPr>
            <w:r>
              <w:rPr/>
              <w:t>磋商文件规定的其他情形</w:t>
            </w:r>
          </w:p>
        </w:tc>
        <w:tc>
          <w:tcPr>
            <w:tcW w:type="dxa" w:w="3322"/>
          </w:tcPr>
          <w:p>
            <w:pPr>
              <w:pStyle w:val="null3"/>
            </w:pPr>
            <w:r>
              <w:rPr/>
              <w:t>符合磋商文件要求</w:t>
            </w:r>
          </w:p>
        </w:tc>
        <w:tc>
          <w:tcPr>
            <w:tcW w:type="dxa" w:w="1661"/>
          </w:tcPr>
          <w:p>
            <w:pPr>
              <w:pStyle w:val="null3"/>
            </w:pPr>
            <w:r>
              <w:rPr/>
              <w:t>响应文件封面 商务及服务要求偏离表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服务方案-1.对本项目整体工作内容及理解清晰、全面，能清楚描述本次工作任务目标。</w:t>
            </w:r>
          </w:p>
        </w:tc>
        <w:tc>
          <w:tcPr>
            <w:tcW w:type="dxa" w:w="2492"/>
          </w:tcPr>
          <w:p>
            <w:pPr>
              <w:pStyle w:val="null3"/>
            </w:pPr>
            <w:r>
              <w:rPr/>
              <w:t>①分析详尽全面，具体描述合理得当得10分；②分析比较全面，具体描述比较合理得7分；③分析不充分，具体描述有欠妥当得3分； 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服务方案-2.根据项目服务质量、成果交付时间保障方案进行赋分。</w:t>
            </w:r>
          </w:p>
        </w:tc>
        <w:tc>
          <w:tcPr>
            <w:tcW w:type="dxa" w:w="2492"/>
          </w:tcPr>
          <w:p>
            <w:pPr>
              <w:pStyle w:val="null3"/>
            </w:pPr>
            <w:r>
              <w:rPr/>
              <w:t>①方案详实、具体、切实可行、科学合理，针对性强，赋分5分；②方案较细致、大部分响应内容切实可行、合理，赋分3分；③方案模糊、目标不明确赋分1分； ④未提供得0分。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服务方案-3.根据本项目系统适配、密码改造及集成对接的实施方案 进行赋分。</w:t>
            </w:r>
          </w:p>
        </w:tc>
        <w:tc>
          <w:tcPr>
            <w:tcW w:type="dxa" w:w="2492"/>
          </w:tcPr>
          <w:p>
            <w:pPr>
              <w:pStyle w:val="null3"/>
            </w:pPr>
            <w:r>
              <w:rPr/>
              <w:t>①实施方案（系统适配、密码改造及集成对接）详尽全面，内部制度合理得当得15分；② 实施方案（系统适配、密码改造及集成对接）比较全面，内部制度比较合理得9分；③实施方案（系统适配、密码改造及集成对接）不充分，内部制度有欠妥当得3分；④未提供得0分。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服务方案-4.项目实施团队。</w:t>
            </w:r>
          </w:p>
        </w:tc>
        <w:tc>
          <w:tcPr>
            <w:tcW w:type="dxa" w:w="2492"/>
          </w:tcPr>
          <w:p>
            <w:pPr>
              <w:pStyle w:val="null3"/>
            </w:pPr>
            <w:r>
              <w:rPr/>
              <w:t>①供应商项目经理具有 PMP或信息系统项目管理师（高级）证书得5分，未提供不得分。 专职技术人员具有中级以上职称，提供一人，得3分，满分6分，未提供不得分。</w:t>
            </w:r>
          </w:p>
        </w:tc>
        <w:tc>
          <w:tcPr>
            <w:tcW w:type="dxa" w:w="831"/>
          </w:tcPr>
          <w:p>
            <w:pPr>
              <w:pStyle w:val="null3"/>
              <w:jc w:val="right"/>
            </w:pPr>
            <w:r>
              <w:rPr/>
              <w:t>11.0000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服务方案-5.售后服务。</w:t>
            </w:r>
          </w:p>
        </w:tc>
        <w:tc>
          <w:tcPr>
            <w:tcW w:type="dxa" w:w="2492"/>
          </w:tcPr>
          <w:p>
            <w:pPr>
              <w:pStyle w:val="null3"/>
            </w:pPr>
            <w:r>
              <w:rPr/>
              <w:t>①售后服务方案详尽全面，相关内容合理得当得10分；②方案比较全面，相关内容比较合理得7分；③售后服务方案不充分，相关内容有欠妥当得3分； ④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tc>
      </w:tr>
      <w:tr>
        <w:tc>
          <w:tcPr>
            <w:tcW w:type="dxa" w:w="831"/>
            <w:vMerge/>
          </w:tcPr>
          <w:p/>
        </w:tc>
        <w:tc>
          <w:tcPr>
            <w:tcW w:type="dxa" w:w="1661"/>
          </w:tcPr>
          <w:p>
            <w:pPr>
              <w:pStyle w:val="null3"/>
            </w:pPr>
            <w:r>
              <w:rPr/>
              <w:t>服务方案-6.应急保障措施。</w:t>
            </w:r>
          </w:p>
        </w:tc>
        <w:tc>
          <w:tcPr>
            <w:tcW w:type="dxa" w:w="2492"/>
          </w:tcPr>
          <w:p>
            <w:pPr>
              <w:pStyle w:val="null3"/>
            </w:pPr>
            <w:r>
              <w:rPr/>
              <w:t>①应急方案详尽全面，执行标准合理得当得10分；②应急方案比较全面，执行标准比较合理得7分；③应急方案不充分，执行标准有欠妥当得3分；④未提供得0分。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服务计划及承诺-1.针对本项目及采购人实际需求提供的服务承诺（包括但不限 于出现问题有可行性方案，解决问题时限)。</w:t>
            </w:r>
          </w:p>
        </w:tc>
        <w:tc>
          <w:tcPr>
            <w:tcW w:type="dxa" w:w="2492"/>
          </w:tcPr>
          <w:p>
            <w:pPr>
              <w:pStyle w:val="null3"/>
            </w:pPr>
            <w:r>
              <w:rPr/>
              <w:t>①承诺内容详尽全面，具体内容合 理得当得10分；②承诺比较全面，具体内容比较合理得7分；③承诺不充分，具体内容有欠妥当得3分。④未提供得0分。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服务计划及承诺-2.项目服务人员与采购人提供针对本项目工作配合相关的承诺。</w:t>
            </w:r>
          </w:p>
        </w:tc>
        <w:tc>
          <w:tcPr>
            <w:tcW w:type="dxa" w:w="2492"/>
          </w:tcPr>
          <w:p>
            <w:pPr>
              <w:pStyle w:val="null3"/>
            </w:pPr>
            <w:r>
              <w:rPr/>
              <w:t>①承诺内容详尽全面，具体内容合理得当得4分；②承诺比较全面，具体内容比较合理得2分；③承诺不充分，具体内容有欠妥当得1分。 ④未提供得0分。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服务方案、人员表及供应商认为有必要提供的其他内容</w:t>
            </w:r>
          </w:p>
        </w:tc>
      </w:tr>
      <w:tr>
        <w:tc>
          <w:tcPr>
            <w:tcW w:type="dxa" w:w="831"/>
            <w:vMerge/>
          </w:tcPr>
          <w:p/>
        </w:tc>
        <w:tc>
          <w:tcPr>
            <w:tcW w:type="dxa" w:w="1661"/>
          </w:tcPr>
          <w:p>
            <w:pPr>
              <w:pStyle w:val="null3"/>
            </w:pPr>
            <w:r>
              <w:rPr/>
              <w:t>服务计划及承诺-3.供应商提供切实可行的保密措施及承诺，对其所获取的信息保密。</w:t>
            </w:r>
          </w:p>
        </w:tc>
        <w:tc>
          <w:tcPr>
            <w:tcW w:type="dxa" w:w="2492"/>
          </w:tcPr>
          <w:p>
            <w:pPr>
              <w:pStyle w:val="null3"/>
            </w:pPr>
            <w:r>
              <w:rPr/>
              <w:t>①承诺内容详尽全面，具体内容合理得当得10分；②承诺比较全面，具体内容比较合理得7分；③承诺不充分，具体内容有欠妥当得3分。④未提供得0分。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服务方案、人员表及供应商认为有必要提供的其他内容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业绩-供应商具有（2021年1月至今，以合同签订的日期为准）类似项目业绩</w:t>
            </w:r>
          </w:p>
        </w:tc>
        <w:tc>
          <w:tcPr>
            <w:tcW w:type="dxa" w:w="2492"/>
          </w:tcPr>
          <w:p>
            <w:pPr>
              <w:pStyle w:val="null3"/>
            </w:pPr>
            <w:r>
              <w:rPr/>
              <w:t>供应商具有（2021年1月至今，以合同签订的日期为准）类似项目业绩，每提供1份计1分，满分5分。 注：响应文件中提供合同复印件加盖供应商公章。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满足磋商文件要求且磋商报价最低的供应商的价格为磋商基准价，其价格分为满分。其他供应商的价格分统一按照下列公式计算： 磋商报价得分=（磋商基准价/磋商报价）×价格权值×100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详见附件：磋商报价表</w:t>
      </w:r>
    </w:p>
    <w:p>
      <w:pPr>
        <w:pStyle w:val="null3"/>
        <w:ind w:firstLine="960"/>
      </w:pPr>
      <w:r>
        <w:rPr/>
        <w:t>详见附件：服务方案、人员表及供应商认为有必要提供的其他内容</w:t>
      </w:r>
    </w:p>
    <w:p>
      <w:pPr>
        <w:pStyle w:val="null3"/>
        <w:ind w:firstLine="960"/>
      </w:pPr>
      <w:r>
        <w:rPr/>
        <w:t>详见附件：商务及服务要求偏离表</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