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版本号：240929001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两院区互联互通专线采购项目</w:t>
      </w:r>
    </w:p>
    <w:p>
      <w:pPr>
        <w:pStyle w:val="null3"/>
        <w:jc w:val="center"/>
        <w:outlineLvl w:val="2"/>
      </w:pPr>
      <w:r>
        <w:rPr>
          <w:sz w:val="28"/>
          <w:b/>
        </w:rPr>
        <w:t>采购项目编号：</w:t>
      </w:r>
      <w:r>
        <w:rPr>
          <w:sz w:val="28"/>
          <w:b/>
        </w:rPr>
        <w:t>SZT2024-SN-SC-ZC-FW-0992</w:t>
      </w:r>
      <w:r>
        <w:br/>
      </w:r>
      <w:r>
        <w:br/>
      </w:r>
      <w:r>
        <w:br/>
      </w:r>
    </w:p>
    <w:p>
      <w:pPr>
        <w:pStyle w:val="null3"/>
        <w:jc w:val="center"/>
        <w:outlineLvl w:val="2"/>
      </w:pPr>
      <w:r>
        <w:rPr>
          <w:sz w:val="28"/>
          <w:b/>
        </w:rPr>
        <w:t>陕西省人民医院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2024年09月29日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陕西省人民医院</w:t>
      </w:r>
      <w:r>
        <w:rPr/>
        <w:t>委托，拟对</w:t>
      </w:r>
      <w:r>
        <w:rPr/>
        <w:t>两院区互联互通专线采购项目</w:t>
      </w:r>
      <w:r>
        <w:rPr/>
        <w:t>采用竞争性磋商采购方式进行采购，兹邀请供应商参加本项目的竞争性磋商。</w:t>
      </w:r>
    </w:p>
    <w:p>
      <w:pPr>
        <w:pStyle w:val="null3"/>
        <w:outlineLvl w:val="2"/>
      </w:pPr>
      <w:r>
        <w:rPr>
          <w:sz w:val="28"/>
          <w:b/>
        </w:rPr>
        <w:t>一、项目编号：</w:t>
      </w:r>
      <w:r>
        <w:rPr>
          <w:sz w:val="28"/>
          <w:b/>
        </w:rPr>
        <w:t>SZT2024-SN-SC-ZC-FW-0992</w:t>
      </w:r>
    </w:p>
    <w:p>
      <w:pPr>
        <w:pStyle w:val="null3"/>
        <w:outlineLvl w:val="2"/>
      </w:pPr>
      <w:r>
        <w:rPr>
          <w:sz w:val="28"/>
          <w:b/>
        </w:rPr>
        <w:t>二、项目名称：</w:t>
      </w:r>
      <w:r>
        <w:rPr>
          <w:sz w:val="28"/>
          <w:b/>
        </w:rPr>
        <w:t>两院区互联互通专线采购项目</w:t>
      </w:r>
    </w:p>
    <w:p>
      <w:pPr>
        <w:pStyle w:val="null3"/>
        <w:outlineLvl w:val="2"/>
      </w:pPr>
      <w:r>
        <w:rPr>
          <w:sz w:val="28"/>
          <w:b/>
        </w:rPr>
        <w:t>三、磋商项目简介</w:t>
      </w:r>
    </w:p>
    <w:p>
      <w:pPr>
        <w:pStyle w:val="null3"/>
        <w:ind w:firstLine="480"/>
      </w:pPr>
      <w:r>
        <w:rPr/>
        <w:t>两院区互联互通专线采购</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2、增值电信业务经营许可证或基础电信业务经营许可证：供应商需提供增值电信业务经营许可证或基础电信业务经营许可证</w:t>
      </w:r>
    </w:p>
    <w:p>
      <w:pPr>
        <w:pStyle w:val="null3"/>
      </w:pPr>
      <w:r>
        <w:rPr/>
        <w:t>3、不接受联合体投标：本项目不接受联合体投标，（投标主体为单一供应商，无需提供声明函）</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陕西省人民医院</w:t>
      </w:r>
    </w:p>
    <w:p>
      <w:pPr>
        <w:pStyle w:val="null3"/>
      </w:pPr>
      <w:r>
        <w:rPr/>
        <w:t xml:space="preserve"> 地址： </w:t>
      </w:r>
      <w:r>
        <w:rPr/>
        <w:t>西安市友谊西路256号</w:t>
      </w:r>
    </w:p>
    <w:p>
      <w:pPr>
        <w:pStyle w:val="null3"/>
      </w:pPr>
      <w:r>
        <w:rPr/>
        <w:t xml:space="preserve"> 邮编： </w:t>
      </w:r>
      <w:r>
        <w:rPr/>
        <w:t>710000</w:t>
      </w:r>
    </w:p>
    <w:p>
      <w:pPr>
        <w:pStyle w:val="null3"/>
      </w:pPr>
      <w:r>
        <w:rPr/>
        <w:t xml:space="preserve"> 联系人： </w:t>
      </w:r>
      <w:r>
        <w:rPr/>
        <w:t>种老师</w:t>
      </w:r>
    </w:p>
    <w:p>
      <w:pPr>
        <w:pStyle w:val="null3"/>
      </w:pPr>
      <w:r>
        <w:rPr/>
        <w:t xml:space="preserve"> 联系电话： </w:t>
      </w:r>
      <w:r>
        <w:rPr/>
        <w:t>029-85251331-3458</w:t>
      </w:r>
    </w:p>
    <w:p>
      <w:pPr>
        <w:pStyle w:val="null3"/>
        <w:outlineLvl w:val="3"/>
      </w:pPr>
      <w:r>
        <w:rPr>
          <w:sz w:val="24"/>
          <w:b/>
        </w:rPr>
        <w:t>代理机构：</w:t>
      </w:r>
      <w:r>
        <w:rPr>
          <w:sz w:val="24"/>
          <w:b/>
        </w:rPr>
        <w:t>陕西中技招标有限公司</w:t>
      </w:r>
    </w:p>
    <w:p>
      <w:pPr>
        <w:pStyle w:val="null3"/>
      </w:pPr>
      <w:r>
        <w:rPr/>
        <w:t xml:space="preserve"> 地址： </w:t>
      </w:r>
      <w:r>
        <w:rPr/>
        <w:t>西安市高新四路1号高科广场A座10楼1001室</w:t>
      </w:r>
    </w:p>
    <w:p>
      <w:pPr>
        <w:pStyle w:val="null3"/>
      </w:pPr>
      <w:r>
        <w:rPr/>
        <w:t xml:space="preserve"> 邮编： </w:t>
      </w:r>
      <w:r>
        <w:rPr/>
        <w:t>71000</w:t>
      </w:r>
    </w:p>
    <w:p>
      <w:pPr>
        <w:pStyle w:val="null3"/>
      </w:pPr>
      <w:r>
        <w:rPr/>
        <w:t xml:space="preserve"> 联系人： </w:t>
      </w:r>
      <w:r>
        <w:rPr/>
        <w:t>方雨、李文俊</w:t>
      </w:r>
    </w:p>
    <w:p>
      <w:pPr>
        <w:pStyle w:val="null3"/>
      </w:pPr>
      <w:r>
        <w:rPr/>
        <w:t xml:space="preserve"> 联系电话： </w:t>
      </w:r>
      <w:r>
        <w:rPr/>
        <w:t>029-88364979-879</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采购包1保证金金额：10,000.00元</w:t>
            </w:r>
          </w:p>
          <w:p>
            <w:pPr>
              <w:pStyle w:val="null3"/>
            </w:pPr>
            <w:r>
              <w:rPr/>
              <w:t>缴交渠道：转账、支票、汇票等（需通过实体账户、户名及开户行信息）</w:t>
            </w:r>
          </w:p>
          <w:p>
            <w:pPr>
              <w:pStyle w:val="null3"/>
            </w:pPr>
            <w:r>
              <w:rPr/>
              <w:t>开户名称：陕西中技招标有限公司</w:t>
            </w:r>
          </w:p>
          <w:p>
            <w:pPr>
              <w:pStyle w:val="null3"/>
            </w:pPr>
            <w:r>
              <w:rPr/>
              <w:t>开户银行：招商银行西安分行营业部</w:t>
            </w:r>
          </w:p>
          <w:p>
            <w:pPr>
              <w:pStyle w:val="null3"/>
            </w:pPr>
            <w:r>
              <w:rPr/>
              <w:t>银行账号：1299 1681 2810 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收取参见国家计委颁布的《招标代理服务收费管理暂行办法》（计价格[2002]1980号）和（发改办价格[2003]857号）收费标准。按照成交金额差额定率累进法计算（成交金额≤100万元的，正常计取；100＜成交金额≤500万元的，下浮20%计取；500＜成交金额≤1000万元的，下浮25%计取；1000＞成交金额的，下浮30% 计取）（不足5000元时，按5000元计取。）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陕西省人民医院</w:t>
      </w:r>
      <w:r>
        <w:rPr/>
        <w:t>和</w:t>
      </w:r>
      <w:r>
        <w:rPr/>
        <w:t>陕西中技招标有限公司</w:t>
      </w:r>
      <w:r>
        <w:rPr/>
        <w:t>享有。对磋商文件中供应商参加本次政府采购活动应当具备的条件，磋商项目技术、服务、商务及其他要求，评审细则及标准由</w:t>
      </w:r>
      <w:r>
        <w:rPr/>
        <w:t>陕西省人民医院</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陕西省人民医院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1、磋商文件、响应文件、澄清表（函）； 2、本合同及附件文本； 3、国家相应的标准、规范。</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两院区互联互通专线采购</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500,000.00</w:t>
      </w:r>
    </w:p>
    <w:p>
      <w:pPr>
        <w:pStyle w:val="null3"/>
      </w:pPr>
      <w:r>
        <w:rPr/>
        <w:t>采购包最高限价（元）: 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两院区互联互通专线</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标的名称：两院区互联互通专线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9"/>
              <w:gridCol w:w="695"/>
              <w:gridCol w:w="1600"/>
            </w:tblGrid>
            <w:tr>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序号</w:t>
                  </w:r>
                </w:p>
              </w:tc>
              <w:tc>
                <w:tcPr>
                  <w:tcW w:type="dxa" w:w="6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参数</w:t>
                  </w:r>
                  <w:r>
                    <w:rPr>
                      <w:rFonts w:ascii="宋体" w:hAnsi="宋体" w:cs="宋体" w:eastAsia="宋体"/>
                      <w:sz w:val="21"/>
                    </w:rPr>
                    <w:t>/类型</w:t>
                  </w:r>
                </w:p>
              </w:tc>
              <w:tc>
                <w:tcPr>
                  <w:tcW w:type="dxa" w:w="1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指标</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w:t>
                  </w:r>
                  <w:r>
                    <w:rPr>
                      <w:rFonts w:ascii="宋体" w:hAnsi="宋体" w:cs="宋体" w:eastAsia="宋体"/>
                      <w:sz w:val="21"/>
                    </w:rPr>
                    <w:t>1</w:t>
                  </w:r>
                </w:p>
              </w:tc>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带宽</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≥500M， OTN专线</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2</w:t>
                  </w:r>
                </w:p>
              </w:tc>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接入</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光纤</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3</w:t>
                  </w:r>
                </w:p>
              </w:tc>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可弹性扩展接口速率</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2Mbps-100Gbps</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4</w:t>
                  </w:r>
                </w:p>
              </w:tc>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丢帧率</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≤10</w:t>
                  </w:r>
                  <w:r>
                    <w:rPr>
                      <w:rFonts w:ascii="宋体" w:hAnsi="宋体" w:cs="宋体" w:eastAsia="宋体"/>
                      <w:sz w:val="21"/>
                      <w:vertAlign w:val="superscript"/>
                    </w:rPr>
                    <w:t>-7</w:t>
                  </w:r>
                  <w:r>
                    <w:rPr>
                      <w:rFonts w:ascii="calibri" w:hAnsi="calibri" w:cs="calibri" w:eastAsia="calibri"/>
                      <w:sz w:val="21"/>
                    </w:rPr>
                    <w:t xml:space="preserve">   </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5</w:t>
                  </w:r>
                </w:p>
              </w:tc>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时延</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小于</w:t>
                  </w:r>
                  <w:r>
                    <w:rPr>
                      <w:rFonts w:ascii="宋体" w:hAnsi="宋体" w:cs="宋体" w:eastAsia="宋体"/>
                      <w:sz w:val="21"/>
                    </w:rPr>
                    <w:t>3ms</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7</w:t>
                  </w:r>
                </w:p>
              </w:tc>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误码率</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小于</w:t>
                  </w:r>
                  <w:r>
                    <w:rPr>
                      <w:rFonts w:ascii="宋体" w:hAnsi="宋体" w:cs="宋体" w:eastAsia="宋体"/>
                      <w:sz w:val="21"/>
                    </w:rPr>
                    <w:t>1×10E-7</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8</w:t>
                  </w:r>
                </w:p>
              </w:tc>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可用率指标</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99.9%</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宋体" w:hAnsi="宋体" w:cs="宋体" w:eastAsia="宋体"/>
                      <w:sz w:val="21"/>
                    </w:rPr>
                    <w:t>9</w:t>
                  </w:r>
                </w:p>
              </w:tc>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负载均衡</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通过软硬件实现</w:t>
                  </w:r>
                  <w:r>
                    <w:rPr>
                      <w:rFonts w:ascii="宋体" w:hAnsi="宋体" w:cs="宋体" w:eastAsia="宋体"/>
                      <w:sz w:val="21"/>
                    </w:rPr>
                    <w:t>2条链路的负载均衡</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10</w:t>
                  </w:r>
                </w:p>
              </w:tc>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传端到端单向延时参考</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≤8ms/1000km</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11</w:t>
                  </w:r>
                </w:p>
              </w:tc>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网管监控</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7*24小时</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12</w:t>
                  </w:r>
                </w:p>
              </w:tc>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监控能力</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提供管家级实时监测链路通断、带宽、时延、丢包等情况的工具</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13</w:t>
                  </w:r>
                </w:p>
              </w:tc>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调速能力</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支持平滑调速</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14</w:t>
                  </w:r>
                </w:p>
              </w:tc>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备用线路</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提供不小于</w:t>
                  </w:r>
                  <w:r>
                    <w:rPr>
                      <w:rFonts w:ascii="宋体" w:hAnsi="宋体" w:cs="宋体" w:eastAsia="宋体"/>
                      <w:sz w:val="21"/>
                      <w:color w:val="000000"/>
                    </w:rPr>
                    <w:t>500MB</w:t>
                  </w:r>
                  <w:r>
                    <w:rPr>
                      <w:rFonts w:ascii="宋体" w:hAnsi="宋体" w:cs="宋体" w:eastAsia="宋体"/>
                      <w:sz w:val="21"/>
                      <w:color w:val="000000"/>
                    </w:rPr>
                    <w:t>的备用链路（且和主链路来自不同路由）以保证业务的连续性</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w:t>
                  </w:r>
                  <w:r>
                    <w:rPr>
                      <w:rFonts w:ascii="宋体" w:hAnsi="宋体" w:cs="宋体" w:eastAsia="宋体"/>
                      <w:sz w:val="21"/>
                    </w:rPr>
                    <w:t>15</w:t>
                  </w:r>
                </w:p>
              </w:tc>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业务一致性要求</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为保证两院区间数据和业务一致性，且诊疗数据不能中断，本次要求平滑无感切换。</w:t>
                  </w:r>
                </w:p>
              </w:tc>
            </w:tr>
          </w:tbl>
          <w:p/>
        </w:tc>
      </w:tr>
      <w:tr>
        <w:tc>
          <w:tcPr>
            <w:tcW w:type="dxa" w:w="2769"/>
          </w:tcPr>
          <w:p/>
        </w:tc>
        <w:tc>
          <w:tcPr>
            <w:tcW w:type="dxa" w:w="2769"/>
          </w:tcPr>
          <w:p>
            <w:pPr>
              <w:pStyle w:val="null3"/>
            </w:pPr>
            <w:r>
              <w:rPr/>
              <w:t>2</w:t>
            </w:r>
          </w:p>
        </w:tc>
        <w:tc>
          <w:tcPr>
            <w:tcW w:type="dxa" w:w="2769"/>
          </w:tcPr>
          <w:p>
            <w:pPr>
              <w:pStyle w:val="null3"/>
              <w:jc w:val="both"/>
            </w:pPr>
            <w:r>
              <w:rPr>
                <w:rFonts w:ascii="simsun" w:hAnsi="simsun" w:cs="simsun" w:eastAsia="simsun"/>
                <w:sz w:val="18"/>
              </w:rPr>
              <w:t>1、提供所在地维护工程师专项服务。</w:t>
            </w:r>
          </w:p>
          <w:p>
            <w:pPr>
              <w:pStyle w:val="null3"/>
              <w:jc w:val="both"/>
            </w:pPr>
            <w:r>
              <w:rPr>
                <w:rFonts w:ascii="simsun" w:hAnsi="simsun" w:cs="simsun" w:eastAsia="simsun"/>
                <w:sz w:val="18"/>
              </w:rPr>
              <w:t>★2、因两院区间业务数据的特殊性和业务数据实时传送不能中断等要求，自甲方通知后3个工作日内交付使用。</w:t>
            </w:r>
          </w:p>
          <w:p>
            <w:pPr>
              <w:pStyle w:val="null3"/>
              <w:jc w:val="both"/>
            </w:pPr>
            <w:r>
              <w:rPr>
                <w:rFonts w:ascii="simsun" w:hAnsi="simsun" w:cs="simsun" w:eastAsia="simsun"/>
                <w:sz w:val="18"/>
              </w:rPr>
              <w:t>▲3、能够保证连通两院区保障业务不中断。且任意链路故障处理的恢复时间不超过四小时。</w:t>
            </w:r>
          </w:p>
          <w:p>
            <w:pPr>
              <w:pStyle w:val="null3"/>
              <w:jc w:val="both"/>
            </w:pPr>
            <w:r>
              <w:rPr>
                <w:rFonts w:ascii="simsun" w:hAnsi="simsun" w:cs="simsun" w:eastAsia="simsun"/>
                <w:sz w:val="18"/>
              </w:rPr>
              <w:t>▲4、主、备线路的物理链路及其双路由均为不同接入方式，且不能有任一重合路由或节点。</w:t>
            </w:r>
          </w:p>
          <w:p>
            <w:pPr>
              <w:pStyle w:val="null3"/>
              <w:jc w:val="both"/>
            </w:pPr>
            <w:r>
              <w:rPr>
                <w:rFonts w:ascii="simsun" w:hAnsi="simsun" w:cs="simsun" w:eastAsia="simsun"/>
                <w:sz w:val="18"/>
              </w:rPr>
              <w:t>5、提供网络巡检服务，1次/1月。</w:t>
            </w:r>
          </w:p>
          <w:p>
            <w:pPr>
              <w:pStyle w:val="null3"/>
              <w:jc w:val="both"/>
            </w:pPr>
            <w:r>
              <w:rPr>
                <w:rFonts w:ascii="simsun" w:hAnsi="simsun" w:cs="simsun" w:eastAsia="simsun"/>
                <w:sz w:val="18"/>
              </w:rPr>
              <w:t>6、对技术及链路运维进行培训。</w:t>
            </w:r>
          </w:p>
          <w:p>
            <w:pPr>
              <w:pStyle w:val="null3"/>
              <w:jc w:val="both"/>
            </w:pPr>
            <w:r>
              <w:rPr>
                <w:rFonts w:ascii="simsun" w:hAnsi="simsun" w:cs="simsun" w:eastAsia="simsun"/>
                <w:sz w:val="18"/>
              </w:rPr>
              <w:t>7、提供7×24 的热线服务</w:t>
            </w:r>
          </w:p>
          <w:p>
            <w:pPr>
              <w:pStyle w:val="null3"/>
              <w:jc w:val="both"/>
            </w:pPr>
            <w:r>
              <w:rPr>
                <w:rFonts w:ascii="simsun" w:hAnsi="simsun" w:cs="simsun" w:eastAsia="simsun"/>
                <w:sz w:val="18"/>
              </w:rPr>
              <w:t>8、提供故障一点受理与升级处理机制方案。</w:t>
            </w:r>
          </w:p>
          <w:p>
            <w:pPr>
              <w:pStyle w:val="null3"/>
              <w:jc w:val="both"/>
            </w:pPr>
            <w:r>
              <w:rPr>
                <w:rFonts w:ascii="simsun" w:hAnsi="simsun" w:cs="simsun" w:eastAsia="simsun"/>
                <w:sz w:val="18"/>
              </w:rPr>
              <w:t>9、对中断超过1小时的服务方原因故障，提供故障处理报告。</w:t>
            </w:r>
          </w:p>
          <w:p>
            <w:pPr>
              <w:pStyle w:val="null3"/>
              <w:jc w:val="both"/>
            </w:pPr>
            <w:r>
              <w:rPr>
                <w:rFonts w:ascii="simsun" w:hAnsi="simsun" w:cs="simsun" w:eastAsia="simsun"/>
                <w:sz w:val="18"/>
              </w:rPr>
              <w:t>10、提供网络运行分析报告，分析网络运行情况。</w:t>
            </w:r>
          </w:p>
          <w:p>
            <w:pPr>
              <w:pStyle w:val="null3"/>
              <w:jc w:val="both"/>
            </w:pPr>
            <w:r>
              <w:rPr>
                <w:rFonts w:ascii="simsun" w:hAnsi="simsun" w:cs="simsun" w:eastAsia="simsun"/>
                <w:sz w:val="18"/>
              </w:rPr>
              <w:t>▲11、对于动态调整链路带宽的需求应在1个工作日内完成扩容。</w:t>
            </w:r>
          </w:p>
          <w:p>
            <w:pPr>
              <w:pStyle w:val="null3"/>
              <w:jc w:val="both"/>
            </w:pPr>
            <w:r>
              <w:rPr>
                <w:rFonts w:ascii="simsun" w:hAnsi="simsun" w:cs="simsun" w:eastAsia="simsun"/>
                <w:sz w:val="18"/>
              </w:rPr>
              <w:t>12、中标方必须提供传输设备，配合数通厂家进行调测，满足两端数通设备的接入参数，确保业务数据的实时一致性，提供多种接口方式。</w:t>
            </w:r>
          </w:p>
          <w:p>
            <w:pPr>
              <w:pStyle w:val="null3"/>
              <w:jc w:val="both"/>
            </w:pPr>
            <w:r>
              <w:rPr>
                <w:rFonts w:ascii="simsun" w:hAnsi="simsun" w:cs="simsun" w:eastAsia="simsun"/>
                <w:sz w:val="18"/>
              </w:rPr>
              <w:t>▲13、中标方须提供完整的链路部署方案、包括但不限于拓扑图、实施方案、实施人员信息等。</w:t>
            </w:r>
          </w:p>
        </w:tc>
      </w:tr>
    </w:tbl>
    <w:p>
      <w:pPr>
        <w:pStyle w:val="null3"/>
        <w:outlineLvl w:val="2"/>
      </w:pPr>
      <w:r>
        <w:rPr>
          <w:sz w:val="28"/>
          <w:b/>
        </w:rPr>
        <w:t>3.2.3人员配置要求</w:t>
      </w:r>
    </w:p>
    <w:p>
      <w:pPr>
        <w:pStyle w:val="null3"/>
      </w:pPr>
      <w:r>
        <w:rPr/>
        <w:t>采购包1：</w:t>
      </w:r>
    </w:p>
    <w:p>
      <w:pPr>
        <w:pStyle w:val="null3"/>
      </w:pPr>
      <w:r>
        <w:rPr/>
        <w:t>详见采购内容及要求。</w:t>
      </w:r>
    </w:p>
    <w:p>
      <w:pPr>
        <w:pStyle w:val="null3"/>
        <w:outlineLvl w:val="2"/>
      </w:pPr>
      <w:r>
        <w:rPr>
          <w:sz w:val="28"/>
          <w:b/>
        </w:rPr>
        <w:t>3.2.4设施设备要求</w:t>
      </w:r>
    </w:p>
    <w:p>
      <w:pPr>
        <w:pStyle w:val="null3"/>
      </w:pPr>
      <w:r>
        <w:rPr/>
        <w:t>采购包1：</w:t>
      </w:r>
    </w:p>
    <w:p>
      <w:pPr>
        <w:pStyle w:val="null3"/>
      </w:pPr>
      <w:r>
        <w:rPr/>
        <w:t>详见采购内容及要求。</w:t>
      </w:r>
    </w:p>
    <w:p>
      <w:pPr>
        <w:pStyle w:val="null3"/>
        <w:outlineLvl w:val="2"/>
      </w:pPr>
      <w:r>
        <w:rPr>
          <w:sz w:val="28"/>
          <w:b/>
        </w:rPr>
        <w:t>3.2.5其他要求</w:t>
      </w:r>
    </w:p>
    <w:p>
      <w:pPr>
        <w:pStyle w:val="null3"/>
      </w:pPr>
      <w:r>
        <w:rPr/>
        <w:t>采购包1：</w:t>
      </w:r>
    </w:p>
    <w:p>
      <w:pPr>
        <w:pStyle w:val="null3"/>
      </w:pPr>
      <w:r>
        <w:rPr/>
        <w:t>详见采购内容及要求。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1年，自甲方通知后3个工作日内交付使用。</w:t>
      </w:r>
    </w:p>
    <w:p>
      <w:pPr>
        <w:pStyle w:val="null3"/>
        <w:outlineLvl w:val="3"/>
      </w:pPr>
      <w:r>
        <w:rPr>
          <w:sz w:val="24"/>
          <w:b/>
        </w:rPr>
        <w:t>3.3.2服务地点</w:t>
      </w:r>
    </w:p>
    <w:p>
      <w:pPr>
        <w:pStyle w:val="null3"/>
      </w:pPr>
      <w:r>
        <w:rPr/>
        <w:t>采购包1：</w:t>
      </w:r>
    </w:p>
    <w:p>
      <w:pPr>
        <w:pStyle w:val="null3"/>
      </w:pPr>
      <w:r>
        <w:rPr/>
        <w:t>友谊院区与西咸院区</w:t>
      </w:r>
    </w:p>
    <w:p>
      <w:pPr>
        <w:pStyle w:val="null3"/>
        <w:outlineLvl w:val="3"/>
      </w:pPr>
      <w:r>
        <w:rPr>
          <w:sz w:val="24"/>
          <w:b/>
        </w:rPr>
        <w:t>3.3.3考核（验收）标准和方法</w:t>
      </w:r>
    </w:p>
    <w:p>
      <w:pPr>
        <w:pStyle w:val="null3"/>
      </w:pPr>
      <w:r>
        <w:rPr/>
        <w:t>采购包1：</w:t>
      </w:r>
    </w:p>
    <w:p>
      <w:pPr>
        <w:pStyle w:val="null3"/>
      </w:pPr>
      <w:r>
        <w:rPr/>
        <w:t>1 、交付的服务必须等同或优于本项目招标文件“服务内容及要求”所述的标准。若乙方在其响应文件中承诺的技术标准优于本项目招标文件“服务内容及要求”所述标准的，按投标的承诺执行。 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按季度缴费，每季度服务结束后，乙方出具相关服务保障记录，经甲方确认后支付合同总费用的25%</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按季度缴费，每季度服务结束后，乙方出具相关服务保障记录，经甲方确认后支付合同总费用的25%</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按季度缴费，每季度服务结束后，乙方出具相关服务保障记录，经甲方确认后支付合同总费用的25%</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按季度缴费，每季度服务结束后，乙方出具相关服务保障记录，经甲方确认后支付合同总费用的25%</w:t>
      </w:r>
      <w:r>
        <w:rPr/>
        <w:t xml:space="preserve"> ，达到付款条件起 </w:t>
      </w:r>
      <w:r>
        <w:rPr/>
        <w:t>30</w:t>
      </w:r>
      <w:r>
        <w:rPr/>
        <w:t xml:space="preserve"> 日内，支付合同总金额的 </w:t>
      </w:r>
      <w:r>
        <w:rPr/>
        <w:t>25.00</w:t>
      </w:r>
      <w:r>
        <w:rPr/>
        <w:t>%。</w:t>
      </w:r>
    </w:p>
    <w:p>
      <w:pPr>
        <w:pStyle w:val="null3"/>
        <w:outlineLvl w:val="3"/>
      </w:pPr>
      <w:r>
        <w:rPr>
          <w:sz w:val="24"/>
          <w:b/>
        </w:rPr>
        <w:t>3.3.6违约责任及解决争议的方法</w:t>
      </w:r>
    </w:p>
    <w:p>
      <w:pPr>
        <w:pStyle w:val="null3"/>
      </w:pPr>
      <w:r>
        <w:rPr/>
        <w:t>采购包1：</w:t>
      </w:r>
    </w:p>
    <w:p>
      <w:pPr>
        <w:pStyle w:val="null3"/>
      </w:pPr>
      <w:r>
        <w:rPr/>
        <w:t>按磋商文件、响应文件及合同约定执行</w:t>
      </w:r>
    </w:p>
    <w:p>
      <w:pPr>
        <w:pStyle w:val="null3"/>
        <w:outlineLvl w:val="2"/>
      </w:pPr>
      <w:r>
        <w:rPr>
          <w:sz w:val="28"/>
          <w:b/>
        </w:rPr>
        <w:t>3.4其他要求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份、副本贰套（投标文件双面打印）、电子版壹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增值电信业务经营许可证或基础电信业务经营许可证</w:t>
            </w:r>
          </w:p>
        </w:tc>
        <w:tc>
          <w:tcPr>
            <w:tcW w:type="dxa" w:w="3322"/>
          </w:tcPr>
          <w:p>
            <w:pPr>
              <w:pStyle w:val="null3"/>
            </w:pPr>
            <w:r>
              <w:rPr/>
              <w:t>供应商需提供增值电信业务经营许可证或基础电信业务经营许可证</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不接受联合体投标</w:t>
            </w:r>
          </w:p>
        </w:tc>
        <w:tc>
          <w:tcPr>
            <w:tcW w:type="dxa" w:w="3322"/>
          </w:tcPr>
          <w:p>
            <w:pPr>
              <w:pStyle w:val="null3"/>
            </w:pPr>
            <w:r>
              <w:rPr/>
              <w:t>本项目不接受联合体投标，（投标主体为单一供应商，无需提供声明函）</w:t>
            </w:r>
          </w:p>
        </w:tc>
        <w:tc>
          <w:tcPr>
            <w:tcW w:type="dxa" w:w="1661"/>
          </w:tcPr>
          <w:p>
            <w:pPr>
              <w:pStyle w:val="null3"/>
            </w:pPr>
            <w:r>
              <w:rPr/>
              <w:t>响应文件封面 资格响应表 响应函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1年，自甲方通知后3个工作日内交付使用。</w:t>
            </w:r>
          </w:p>
        </w:tc>
        <w:tc>
          <w:tcPr>
            <w:tcW w:type="dxa" w:w="1661"/>
          </w:tcPr>
          <w:p>
            <w:pPr>
              <w:pStyle w:val="null3"/>
            </w:pPr>
            <w:r>
              <w:rPr/>
              <w:t>响应文件封面 技术偏离表 商务偏离表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按季度缴费，每季度服务结束后，乙方出具相关服务保障记录，经甲方确认后支付合同总费用的25%</w:t>
            </w:r>
          </w:p>
        </w:tc>
        <w:tc>
          <w:tcPr>
            <w:tcW w:type="dxa" w:w="1661"/>
          </w:tcPr>
          <w:p>
            <w:pPr>
              <w:pStyle w:val="null3"/>
            </w:pPr>
            <w:r>
              <w:rPr/>
              <w:t>响应文件封面 技术偏离表 商务偏离表</w:t>
            </w:r>
          </w:p>
        </w:tc>
      </w:tr>
      <w:tr>
        <w:tc>
          <w:tcPr>
            <w:tcW w:type="dxa" w:w="831"/>
          </w:tcPr>
          <w:p>
            <w:pPr>
              <w:pStyle w:val="null3"/>
            </w:pPr>
            <w:r>
              <w:rPr/>
              <w:t>4</w:t>
            </w:r>
          </w:p>
        </w:tc>
        <w:tc>
          <w:tcPr>
            <w:tcW w:type="dxa" w:w="2492"/>
          </w:tcPr>
          <w:p>
            <w:pPr>
              <w:pStyle w:val="null3"/>
            </w:pPr>
            <w:r>
              <w:rPr/>
              <w:t>“★”参数条款</w:t>
            </w:r>
          </w:p>
        </w:tc>
        <w:tc>
          <w:tcPr>
            <w:tcW w:type="dxa" w:w="3322"/>
          </w:tcPr>
          <w:p>
            <w:pPr>
              <w:pStyle w:val="null3"/>
            </w:pPr>
            <w:r>
              <w:rPr/>
              <w:t>参数需求带“★”的参数需求为实质性要求，供应商响应并满足参数需求</w:t>
            </w:r>
          </w:p>
        </w:tc>
        <w:tc>
          <w:tcPr>
            <w:tcW w:type="dxa" w:w="1661"/>
          </w:tcPr>
          <w:p>
            <w:pPr>
              <w:pStyle w:val="null3"/>
            </w:pPr>
            <w:r>
              <w:rPr/>
              <w:t>响应文件封面 “★”参数条款证明材料</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90天</w:t>
            </w:r>
          </w:p>
        </w:tc>
        <w:tc>
          <w:tcPr>
            <w:tcW w:type="dxa" w:w="1661"/>
          </w:tcPr>
          <w:p>
            <w:pPr>
              <w:pStyle w:val="null3"/>
            </w:pPr>
            <w:r>
              <w:rPr/>
              <w:t>商务偏离表 响应函</w:t>
            </w:r>
          </w:p>
        </w:tc>
      </w:tr>
      <w:tr>
        <w:tc>
          <w:tcPr>
            <w:tcW w:type="dxa" w:w="831"/>
          </w:tcPr>
          <w:p>
            <w:pPr>
              <w:pStyle w:val="null3"/>
            </w:pPr>
            <w:r>
              <w:rPr/>
              <w:t>6</w:t>
            </w:r>
          </w:p>
        </w:tc>
        <w:tc>
          <w:tcPr>
            <w:tcW w:type="dxa" w:w="2492"/>
          </w:tcPr>
          <w:p>
            <w:pPr>
              <w:pStyle w:val="null3"/>
            </w:pPr>
            <w:r>
              <w:rPr/>
              <w:t>供应商有法律、规章、规范性文件和招标文件规定的其他无效情形，按无效响应处理</w:t>
            </w:r>
          </w:p>
        </w:tc>
        <w:tc>
          <w:tcPr>
            <w:tcW w:type="dxa" w:w="3322"/>
          </w:tcPr>
          <w:p>
            <w:pPr>
              <w:pStyle w:val="null3"/>
            </w:pPr>
            <w:r>
              <w:rPr/>
              <w:t>供应商有法律、规章、规范性文件和招标文件规定的其他无效情形，按无效响应处理</w:t>
            </w:r>
          </w:p>
        </w:tc>
        <w:tc>
          <w:tcPr>
            <w:tcW w:type="dxa" w:w="1661"/>
          </w:tcPr>
          <w:p>
            <w:pPr>
              <w:pStyle w:val="null3"/>
            </w:pPr>
            <w:r>
              <w:rPr/>
              <w:t>响应文件封面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详细评审75.0000分</w:t>
            </w:r>
          </w:p>
          <w:p>
            <w:pPr>
              <w:pStyle w:val="null3"/>
            </w:pPr>
            <w:r>
              <w:rPr/>
              <w:t>报价得分25.0000分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一、评审内容 供应商针对本项目的需求制定科学合理的整体服务方案，方案包含:①整体服务内容②链路部署方案③实施方案④负载均衡功能⑤网络运行分析报告⑥业务数据的一致性保障方案。 二、评审标准 1、完整性:方案须全面，对评审内容中的各项要求有详细描述及说明; 2、可实施性:切合本项目实际情况，实施步骤清晰、合理; 3、针对性:方案能够紧扣项目实际情况，内容科学合理。 三、赋分标准（满分18分) ①整体服务内容:每完全满足一个评审标准得1分，满分3分; ②链路部署方案:每完全满足一个评审标准得1分，满分3分; ③实施方案:每完全满足一个评审标准得1分，满分3分; ④负载均衡功能：每完全满足一个评审标准得1分，满分3分; ⑤网络运行分析报告每完全满足一个评审标准得1分，满分3分; ⑥业务数据的一致性保障方案每完全满足一个评审标准得1分，满分3分。</w:t>
            </w:r>
          </w:p>
        </w:tc>
        <w:tc>
          <w:tcPr>
            <w:tcW w:type="dxa" w:w="831"/>
          </w:tcPr>
          <w:p>
            <w:pPr>
              <w:pStyle w:val="null3"/>
              <w:jc w:val="right"/>
            </w:pPr>
            <w:r>
              <w:rPr/>
              <w:t>18.0000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服务进度保障措施</w:t>
            </w:r>
          </w:p>
        </w:tc>
        <w:tc>
          <w:tcPr>
            <w:tcW w:type="dxa" w:w="2492"/>
          </w:tcPr>
          <w:p>
            <w:pPr>
              <w:pStyle w:val="null3"/>
            </w:pPr>
            <w:r>
              <w:rPr/>
              <w:t>一、评审内容 供应商针对本项目的进度保障措施方案，方案包含:①进度节点②时间安排③完工时间保障。 二、评审标准 1、完整性:方案须全面，对评审内容中的各项要求有详细描述及说明; 2、可实施性:切合本项目实际情况，实施步骤清晰、合理; 3、针对性:方案能够紧扣项目实际情况，内容科学合理。 三、赋分标准（满分9分) ①进度节点:每完全满足一个评审标准得1分，满分3分; ②时间安排:每完全满足一个评审标准得1分，满分3分; ③完工时间保障:每完全满足一个评审标准得1分，满分3分。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技术指标和配置</w:t>
            </w:r>
          </w:p>
        </w:tc>
        <w:tc>
          <w:tcPr>
            <w:tcW w:type="dxa" w:w="2492"/>
          </w:tcPr>
          <w:p>
            <w:pPr>
              <w:pStyle w:val="null3"/>
            </w:pPr>
            <w:r>
              <w:rPr/>
              <w:t>投标产品的基本功能、产品技术参数和配置完全满足或优于磋商文件要求的，得满分12分；其中“★”标注参数为实质性参数要求，不满足视为无效投标，其中“▲”标注参数为重要参数。每负偏离一项扣2分；非“▲”参数为一般参数需求，每负偏离一项扣1分，直至本项扣完为止。（“▲”标注参数需提供佐证材料，包括不限于功能截图、产品说明书等证明材料，证明材料需加盖公章，未提供相关证明材料按负偏离处理。）</w:t>
            </w:r>
          </w:p>
        </w:tc>
        <w:tc>
          <w:tcPr>
            <w:tcW w:type="dxa" w:w="831"/>
          </w:tcPr>
          <w:p>
            <w:pPr>
              <w:pStyle w:val="null3"/>
              <w:jc w:val="right"/>
            </w:pPr>
            <w:r>
              <w:rPr/>
              <w:t>12.0000</w:t>
            </w:r>
          </w:p>
        </w:tc>
        <w:tc>
          <w:tcPr>
            <w:tcW w:type="dxa" w:w="831"/>
          </w:tcPr>
          <w:p>
            <w:pPr>
              <w:pStyle w:val="null3"/>
            </w:pPr>
            <w:r>
              <w:rPr/>
              <w:t>客观</w:t>
            </w:r>
          </w:p>
        </w:tc>
        <w:tc>
          <w:tcPr>
            <w:tcW w:type="dxa" w:w="1661"/>
          </w:tcPr>
          <w:p>
            <w:pPr>
              <w:pStyle w:val="null3"/>
            </w:pPr>
            <w:r>
              <w:rPr/>
              <w:t>服务方案</w:t>
            </w:r>
          </w:p>
          <w:p>
            <w:pPr>
              <w:pStyle w:val="null3"/>
            </w:pPr>
            <w:r>
              <w:rPr/>
              <w:t>技术偏离表</w:t>
            </w:r>
          </w:p>
        </w:tc>
      </w:tr>
      <w:tr>
        <w:tc>
          <w:tcPr>
            <w:tcW w:type="dxa" w:w="831"/>
            <w:vMerge/>
          </w:tcPr>
          <w:p/>
        </w:tc>
        <w:tc>
          <w:tcPr>
            <w:tcW w:type="dxa" w:w="1661"/>
          </w:tcPr>
          <w:p>
            <w:pPr>
              <w:pStyle w:val="null3"/>
            </w:pPr>
            <w:r>
              <w:rPr/>
              <w:t>故障处理方案</w:t>
            </w:r>
          </w:p>
        </w:tc>
        <w:tc>
          <w:tcPr>
            <w:tcW w:type="dxa" w:w="2492"/>
          </w:tcPr>
          <w:p>
            <w:pPr>
              <w:pStyle w:val="null3"/>
            </w:pPr>
            <w:r>
              <w:rPr/>
              <w:t>一、评审内容 供应商针对本项目的故障处理方案，方案包含:①故障响应及恢复时间②故障处理机制及报告。 二、评审标准 1、完整性:方案须全面，对评审内容中的各项要求有详细描述及说明; 2、可实施性:切合本项目实际情况，实施步骤清晰、合理; 3、针对性:方案能够紧扣项目实际情况，内容科学合理。 三、赋分标准（满分6分) ①故障响应及恢复时间:每完全满足一个评审标准得1分，满分3分; ②故障处理机制及报告:每完全满足一个评审标准得1分，满分3分;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质量保证措施</w:t>
            </w:r>
          </w:p>
        </w:tc>
        <w:tc>
          <w:tcPr>
            <w:tcW w:type="dxa" w:w="2492"/>
          </w:tcPr>
          <w:p>
            <w:pPr>
              <w:pStyle w:val="null3"/>
            </w:pPr>
            <w:r>
              <w:rPr/>
              <w:t>供应商结合项目实际情况提供质量保障措施。 1、内容全面详细、阐述条理清晰，证明材料齐全得5分； 2、提供相关方案但未贴合项目实际情况进行论述，证明材料基本齐全得3分； 3、方案内容简单，证明材料较少得1分； 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一、评审内容 供应商针对本项目的售后服务方案，方案包含:①售后服务承诺②维护工程师专项服务③定期网路巡检服务④售后服务网点。 二、评审标准 1、完整性:方案须全面，对评审内容中的各项要求有详细描述及说明; 2、可实施性和针对性:能切合本项目实际情况，实施步骤清晰、合理，方案能够紧扣项目实际情况，内容科学合理。 三、赋分标准（满分8分) ①售后服务承诺:每完全满足一个评审标准得1分，满分2分; ②维护工程师专项服务:每完全满足一个评审标准得1分，满分2分; ③定期网路巡检服务:每完全满足一个评审标准得1分，满分2分; ④售后服务网点:每完全满足一个评审标准得1分，满分2分。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带宽(主带宽、备用带宽)</w:t>
            </w:r>
          </w:p>
        </w:tc>
        <w:tc>
          <w:tcPr>
            <w:tcW w:type="dxa" w:w="2492"/>
          </w:tcPr>
          <w:p>
            <w:pPr>
              <w:pStyle w:val="null3"/>
            </w:pPr>
            <w:r>
              <w:rPr/>
              <w:t>主带宽、备用带宽在满足 500M 的基础上每增加 100m 带宽,加 3分,满分 12分。(提供承诺书)</w:t>
            </w:r>
          </w:p>
        </w:tc>
        <w:tc>
          <w:tcPr>
            <w:tcW w:type="dxa" w:w="831"/>
          </w:tcPr>
          <w:p>
            <w:pPr>
              <w:pStyle w:val="null3"/>
              <w:jc w:val="right"/>
            </w:pPr>
            <w:r>
              <w:rPr/>
              <w:t>12.0000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提供供应商2021年1月1日至今同类项目合同（以合同签订日期为准），每提供1个得1分，最高得5分。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经初审合格的响应文件，其磋商报价为有效投标价。评标基准价：即满足磋商文件要求且响应价格最低的响应报价为评标基准价。 其他供应商的价格分统一按照下列公式计算。响应报价得分=(评标基准价／磋商报价)×25</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磋商报价表及分项报价表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磋商报价表及分项报价表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详见附件：磋商报价表及分项报价表</w:t>
      </w:r>
    </w:p>
    <w:p>
      <w:pPr>
        <w:pStyle w:val="null3"/>
        <w:ind w:firstLine="960"/>
      </w:pPr>
      <w:r>
        <w:rPr/>
        <w:t>详见附件：报价表</w:t>
      </w:r>
    </w:p>
    <w:p>
      <w:pPr>
        <w:pStyle w:val="null3"/>
        <w:ind w:firstLine="960"/>
      </w:pPr>
      <w:r>
        <w:rPr/>
        <w:t>详见附件：标的清单</w:t>
      </w:r>
    </w:p>
    <w:p>
      <w:pPr>
        <w:pStyle w:val="null3"/>
        <w:ind w:firstLine="960"/>
      </w:pPr>
      <w:r>
        <w:rPr/>
        <w:t>详见附件：资格响应表</w:t>
      </w:r>
    </w:p>
    <w:p>
      <w:pPr>
        <w:pStyle w:val="null3"/>
        <w:ind w:firstLine="960"/>
      </w:pPr>
      <w:r>
        <w:rPr/>
        <w:t>详见附件：商务偏离表</w:t>
      </w:r>
    </w:p>
    <w:p>
      <w:pPr>
        <w:pStyle w:val="null3"/>
        <w:ind w:firstLine="960"/>
      </w:pPr>
      <w:r>
        <w:rPr/>
        <w:t>详见附件：技术偏离表</w:t>
      </w:r>
    </w:p>
    <w:p>
      <w:pPr>
        <w:pStyle w:val="null3"/>
        <w:ind w:firstLine="960"/>
      </w:pPr>
      <w:r>
        <w:rPr/>
        <w:t>详见附件：服务方案</w:t>
      </w:r>
    </w:p>
    <w:p>
      <w:pPr>
        <w:pStyle w:val="null3"/>
        <w:ind w:firstLine="960"/>
      </w:pPr>
      <w:r>
        <w:rPr/>
        <w:t>详见附件：“★”参数条款证明材料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详见附件：合同（参考格式）.docx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