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89896">
      <w:pPr>
        <w:pStyle w:val="3"/>
        <w:spacing w:before="0" w:after="0" w:line="360" w:lineRule="auto"/>
        <w:jc w:val="center"/>
        <w:rPr>
          <w:rFonts w:hint="eastAsia" w:ascii="仿宋" w:hAnsi="仿宋" w:eastAsia="仿宋" w:cs="仿宋"/>
          <w:sz w:val="24"/>
        </w:rPr>
      </w:pPr>
      <w:r>
        <w:rPr>
          <w:rFonts w:hint="eastAsia" w:ascii="仿宋" w:hAnsi="仿宋" w:eastAsia="仿宋" w:cs="仿宋"/>
          <w:bCs/>
          <w:kern w:val="2"/>
          <w:sz w:val="32"/>
          <w:szCs w:val="28"/>
        </w:rPr>
        <w:t>采购内容及要求</w:t>
      </w:r>
    </w:p>
    <w:p w14:paraId="35AF033B">
      <w:pPr>
        <w:pStyle w:val="3"/>
        <w:spacing w:line="360" w:lineRule="auto"/>
        <w:rPr>
          <w:rFonts w:hint="eastAsia" w:ascii="仿宋" w:hAnsi="仿宋" w:eastAsia="仿宋" w:cs="仿宋"/>
          <w:sz w:val="24"/>
          <w:szCs w:val="24"/>
        </w:rPr>
      </w:pPr>
      <w:r>
        <w:rPr>
          <w:rFonts w:hint="eastAsia" w:ascii="仿宋" w:hAnsi="仿宋" w:eastAsia="仿宋" w:cs="仿宋"/>
          <w:sz w:val="24"/>
          <w:szCs w:val="24"/>
        </w:rPr>
        <w:t>一、项目概况</w:t>
      </w:r>
    </w:p>
    <w:p w14:paraId="49BADA3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西安市供销合作联社立足为农服务宗旨，以数字化发展为契机，推动“数字供销”建设，着力提升为农服务的专业化、标准化、规模化水平，引领农业农村高质量发展，赋能新质生产力。</w:t>
      </w:r>
    </w:p>
    <w:p w14:paraId="4ADE764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西安市供销合作联社数字供销系统建设项目</w:t>
      </w:r>
      <w:r>
        <w:rPr>
          <w:rFonts w:hint="eastAsia" w:ascii="仿宋" w:hAnsi="仿宋" w:eastAsia="仿宋" w:cs="仿宋"/>
          <w:spacing w:val="-4"/>
          <w:sz w:val="24"/>
          <w:szCs w:val="24"/>
        </w:rPr>
        <w:t>围绕“一领域一平台，一部门一系统”的建设理念，整合供销资源，梳理业务管理，</w:t>
      </w:r>
      <w:r>
        <w:rPr>
          <w:rFonts w:hint="eastAsia" w:ascii="仿宋" w:hAnsi="仿宋" w:eastAsia="仿宋" w:cs="仿宋"/>
          <w:sz w:val="24"/>
          <w:szCs w:val="24"/>
        </w:rPr>
        <w:t>以西安供销大数据中心为全市供销合作社信息化建设的核心和基础，实施涵盖供销系统生产、经营、管理、服务、市场全产业链及相关行业的信息化服务工程。</w:t>
      </w:r>
    </w:p>
    <w:p w14:paraId="7FA75DAC">
      <w:pPr>
        <w:pStyle w:val="3"/>
        <w:spacing w:line="360" w:lineRule="auto"/>
        <w:rPr>
          <w:rFonts w:hint="eastAsia" w:ascii="仿宋" w:hAnsi="仿宋" w:eastAsia="仿宋" w:cs="仿宋"/>
          <w:sz w:val="24"/>
          <w:szCs w:val="24"/>
        </w:rPr>
      </w:pPr>
      <w:r>
        <w:rPr>
          <w:rFonts w:hint="eastAsia" w:ascii="仿宋" w:hAnsi="仿宋" w:eastAsia="仿宋" w:cs="仿宋"/>
          <w:sz w:val="24"/>
          <w:szCs w:val="24"/>
        </w:rPr>
        <w:t>二、项目建设内容</w:t>
      </w:r>
    </w:p>
    <w:p w14:paraId="08478AF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西安市供销合作联社数字供销系统建设项目以“一中心，一平台，一门户”建设为项目目标，进行供销数据可视化、智能化，辅助政府、供销社有企业、社会公众做好政策决策、商业策略及商业生产，实现全市供销系统信息一体化发展。</w:t>
      </w:r>
    </w:p>
    <w:p w14:paraId="2209C137">
      <w:pPr>
        <w:pStyle w:val="4"/>
        <w:tabs>
          <w:tab w:val="left" w:pos="851"/>
        </w:tabs>
        <w:spacing w:line="360" w:lineRule="auto"/>
        <w:rPr>
          <w:rFonts w:hint="eastAsia" w:ascii="仿宋" w:hAnsi="仿宋" w:eastAsia="仿宋" w:cs="仿宋"/>
          <w:sz w:val="24"/>
          <w:szCs w:val="24"/>
        </w:rPr>
      </w:pPr>
      <w:r>
        <w:rPr>
          <w:rFonts w:hint="eastAsia" w:ascii="仿宋" w:hAnsi="仿宋" w:eastAsia="仿宋" w:cs="仿宋"/>
          <w:sz w:val="24"/>
          <w:szCs w:val="24"/>
        </w:rPr>
        <w:t>一中心</w:t>
      </w:r>
    </w:p>
    <w:p w14:paraId="6ADAE1E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西安供销大数据中心依托西安政务云数据中台构建西安供销大数据中心，实现供销数据的汇聚整合、共享交换、管理等工作。（由西安政务云提供）</w:t>
      </w:r>
    </w:p>
    <w:p w14:paraId="4D77D20D">
      <w:pPr>
        <w:pStyle w:val="4"/>
        <w:tabs>
          <w:tab w:val="left" w:pos="851"/>
        </w:tabs>
        <w:spacing w:line="360" w:lineRule="auto"/>
        <w:rPr>
          <w:rFonts w:hint="eastAsia" w:ascii="仿宋" w:hAnsi="仿宋" w:eastAsia="仿宋" w:cs="仿宋"/>
          <w:sz w:val="24"/>
          <w:szCs w:val="24"/>
        </w:rPr>
      </w:pPr>
      <w:r>
        <w:rPr>
          <w:rFonts w:hint="eastAsia" w:ascii="仿宋" w:hAnsi="仿宋" w:eastAsia="仿宋" w:cs="仿宋"/>
          <w:sz w:val="24"/>
          <w:szCs w:val="24"/>
        </w:rPr>
        <w:t>一平台</w:t>
      </w:r>
    </w:p>
    <w:p w14:paraId="68E688F3">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数字供销平台，依托西安供销大数据中心，为全市建设涵盖市、区县、乡镇、村四级供销社组织等的数字供销平台，建设政务公开、社有企业管理、现代流通体系、合作经济、为农服务、应急保供、安全生产、考核管理、监事会监督、项目管理、三重一大管理、城乡融合、内审监督、社企之家、供销智库等应用系统，整合共享已有行业数据与系统，组建运转高效、功能完善、体系健全、服务迅速的信息服务体系。</w:t>
      </w:r>
    </w:p>
    <w:p w14:paraId="64B53B18">
      <w:pPr>
        <w:pStyle w:val="5"/>
        <w:spacing w:line="360" w:lineRule="auto"/>
        <w:rPr>
          <w:rFonts w:hint="eastAsia" w:ascii="仿宋" w:hAnsi="仿宋" w:eastAsia="仿宋" w:cs="仿宋"/>
          <w:sz w:val="24"/>
          <w:szCs w:val="24"/>
        </w:rPr>
      </w:pPr>
      <w:r>
        <w:rPr>
          <w:rFonts w:hint="eastAsia" w:ascii="仿宋" w:hAnsi="仿宋" w:eastAsia="仿宋" w:cs="仿宋"/>
          <w:sz w:val="24"/>
          <w:szCs w:val="24"/>
        </w:rPr>
        <w:t>政务公开</w:t>
      </w:r>
    </w:p>
    <w:p w14:paraId="27DBFC02">
      <w:pPr>
        <w:pStyle w:val="14"/>
        <w:spacing w:line="360" w:lineRule="auto"/>
        <w:rPr>
          <w:rFonts w:hint="eastAsia" w:ascii="仿宋" w:hAnsi="仿宋" w:eastAsia="仿宋" w:cs="仿宋"/>
          <w:sz w:val="24"/>
          <w:szCs w:val="24"/>
        </w:rPr>
      </w:pPr>
      <w:r>
        <w:rPr>
          <w:rFonts w:hint="eastAsia" w:ascii="仿宋" w:hAnsi="仿宋" w:eastAsia="仿宋" w:cs="仿宋"/>
          <w:sz w:val="24"/>
          <w:szCs w:val="24"/>
        </w:rPr>
        <w:t>信息公开</w:t>
      </w:r>
    </w:p>
    <w:p w14:paraId="6024447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公开展示供销基本信息</w:t>
      </w:r>
    </w:p>
    <w:p w14:paraId="373A0EC7">
      <w:pPr>
        <w:numPr>
          <w:ilvl w:val="1"/>
          <w:numId w:val="3"/>
        </w:numPr>
        <w:spacing w:line="360" w:lineRule="auto"/>
        <w:ind w:left="284" w:hanging="73"/>
        <w:rPr>
          <w:rFonts w:hint="eastAsia" w:ascii="仿宋" w:hAnsi="仿宋" w:eastAsia="仿宋" w:cs="仿宋"/>
          <w:sz w:val="24"/>
          <w:szCs w:val="24"/>
        </w:rPr>
      </w:pPr>
      <w:r>
        <w:rPr>
          <w:rFonts w:hint="eastAsia" w:ascii="仿宋" w:hAnsi="仿宋" w:eastAsia="仿宋" w:cs="仿宋"/>
          <w:sz w:val="24"/>
          <w:szCs w:val="24"/>
        </w:rPr>
        <w:t>组织架构：展示并维护内部组织架构及各机构公开内容、单位信息、职能等相关内容。</w:t>
      </w:r>
    </w:p>
    <w:p w14:paraId="0E3D22A5">
      <w:pPr>
        <w:numPr>
          <w:ilvl w:val="1"/>
          <w:numId w:val="3"/>
        </w:numPr>
        <w:spacing w:line="360" w:lineRule="auto"/>
        <w:ind w:left="284" w:hanging="73"/>
        <w:rPr>
          <w:rFonts w:hint="eastAsia" w:ascii="仿宋" w:hAnsi="仿宋" w:eastAsia="仿宋" w:cs="仿宋"/>
          <w:sz w:val="24"/>
          <w:szCs w:val="24"/>
        </w:rPr>
      </w:pPr>
      <w:r>
        <w:rPr>
          <w:rFonts w:hint="eastAsia" w:ascii="仿宋" w:hAnsi="仿宋" w:eastAsia="仿宋" w:cs="仿宋"/>
          <w:sz w:val="24"/>
          <w:szCs w:val="24"/>
        </w:rPr>
        <w:t>领导信息：展示并维护市社主要领导的基本信息，姓名、职位、所管业务范围等相关内容。</w:t>
      </w:r>
    </w:p>
    <w:p w14:paraId="03AB004B">
      <w:pPr>
        <w:numPr>
          <w:ilvl w:val="1"/>
          <w:numId w:val="3"/>
        </w:numPr>
        <w:spacing w:line="360" w:lineRule="auto"/>
        <w:ind w:left="284" w:hanging="73"/>
        <w:rPr>
          <w:rFonts w:hint="eastAsia" w:ascii="仿宋" w:hAnsi="仿宋" w:eastAsia="仿宋" w:cs="仿宋"/>
          <w:sz w:val="24"/>
          <w:szCs w:val="24"/>
        </w:rPr>
      </w:pPr>
      <w:r>
        <w:rPr>
          <w:rFonts w:hint="eastAsia" w:ascii="仿宋" w:hAnsi="仿宋" w:eastAsia="仿宋" w:cs="仿宋"/>
          <w:sz w:val="24"/>
          <w:szCs w:val="24"/>
        </w:rPr>
        <w:t>供销文化：展示市社及区县供销社的企业形象、单位活动等。</w:t>
      </w:r>
    </w:p>
    <w:p w14:paraId="5E36A305">
      <w:pPr>
        <w:numPr>
          <w:ilvl w:val="1"/>
          <w:numId w:val="3"/>
        </w:numPr>
        <w:spacing w:line="360" w:lineRule="auto"/>
        <w:ind w:left="284" w:hanging="73"/>
        <w:rPr>
          <w:rFonts w:hint="eastAsia" w:ascii="仿宋" w:hAnsi="仿宋" w:eastAsia="仿宋" w:cs="仿宋"/>
          <w:sz w:val="24"/>
          <w:szCs w:val="24"/>
        </w:rPr>
      </w:pPr>
      <w:r>
        <w:rPr>
          <w:rFonts w:hint="eastAsia" w:ascii="仿宋" w:hAnsi="仿宋" w:eastAsia="仿宋" w:cs="仿宋"/>
          <w:sz w:val="24"/>
          <w:szCs w:val="24"/>
        </w:rPr>
        <w:t>工作动态：按照周期展示领导及各处室、各单位、子公司的工作报告。</w:t>
      </w:r>
    </w:p>
    <w:p w14:paraId="467D3D25">
      <w:pPr>
        <w:pStyle w:val="14"/>
        <w:spacing w:line="360" w:lineRule="auto"/>
        <w:rPr>
          <w:rFonts w:hint="eastAsia" w:ascii="仿宋" w:hAnsi="仿宋" w:eastAsia="仿宋" w:cs="仿宋"/>
          <w:sz w:val="24"/>
          <w:szCs w:val="24"/>
        </w:rPr>
      </w:pPr>
      <w:r>
        <w:rPr>
          <w:rFonts w:hint="eastAsia" w:ascii="仿宋" w:hAnsi="仿宋" w:eastAsia="仿宋" w:cs="仿宋"/>
          <w:sz w:val="24"/>
          <w:szCs w:val="24"/>
        </w:rPr>
        <w:t>信息发布</w:t>
      </w:r>
    </w:p>
    <w:p w14:paraId="587CCE36">
      <w:pPr>
        <w:pStyle w:val="15"/>
        <w:numPr>
          <w:ilvl w:val="0"/>
          <w:numId w:val="4"/>
        </w:numPr>
        <w:spacing w:line="360" w:lineRule="auto"/>
        <w:ind w:left="993" w:hanging="709"/>
        <w:rPr>
          <w:rFonts w:hint="eastAsia" w:ascii="仿宋" w:hAnsi="仿宋" w:eastAsia="仿宋" w:cs="仿宋"/>
          <w:sz w:val="24"/>
          <w:szCs w:val="24"/>
        </w:rPr>
      </w:pPr>
      <w:r>
        <w:rPr>
          <w:rFonts w:hint="eastAsia" w:ascii="仿宋" w:hAnsi="仿宋" w:eastAsia="仿宋" w:cs="仿宋"/>
          <w:sz w:val="24"/>
          <w:szCs w:val="24"/>
        </w:rPr>
        <w:t>新闻资讯：展示社内相关新闻；</w:t>
      </w:r>
    </w:p>
    <w:p w14:paraId="485969F1">
      <w:pPr>
        <w:pStyle w:val="15"/>
        <w:numPr>
          <w:ilvl w:val="0"/>
          <w:numId w:val="4"/>
        </w:numPr>
        <w:spacing w:line="360" w:lineRule="auto"/>
        <w:ind w:left="993" w:hanging="709"/>
        <w:rPr>
          <w:rFonts w:hint="eastAsia" w:ascii="仿宋" w:hAnsi="仿宋" w:eastAsia="仿宋" w:cs="仿宋"/>
          <w:sz w:val="24"/>
          <w:szCs w:val="24"/>
        </w:rPr>
      </w:pPr>
      <w:r>
        <w:rPr>
          <w:rFonts w:hint="eastAsia" w:ascii="仿宋" w:hAnsi="仿宋" w:eastAsia="仿宋" w:cs="仿宋"/>
          <w:sz w:val="24"/>
          <w:szCs w:val="24"/>
        </w:rPr>
        <w:t>政务要闻：展示相关政务要闻；</w:t>
      </w:r>
    </w:p>
    <w:p w14:paraId="08849F03">
      <w:pPr>
        <w:pStyle w:val="15"/>
        <w:numPr>
          <w:ilvl w:val="0"/>
          <w:numId w:val="4"/>
        </w:numPr>
        <w:spacing w:line="360" w:lineRule="auto"/>
        <w:ind w:left="993" w:hanging="709"/>
        <w:rPr>
          <w:rFonts w:hint="eastAsia" w:ascii="仿宋" w:hAnsi="仿宋" w:eastAsia="仿宋" w:cs="仿宋"/>
          <w:sz w:val="24"/>
          <w:szCs w:val="24"/>
        </w:rPr>
      </w:pPr>
      <w:r>
        <w:rPr>
          <w:rFonts w:hint="eastAsia" w:ascii="仿宋" w:hAnsi="仿宋" w:eastAsia="仿宋" w:cs="仿宋"/>
          <w:sz w:val="24"/>
          <w:szCs w:val="24"/>
        </w:rPr>
        <w:t>公告公示：发布各类公告公示；</w:t>
      </w:r>
    </w:p>
    <w:p w14:paraId="39EC5F84">
      <w:pPr>
        <w:pStyle w:val="15"/>
        <w:numPr>
          <w:ilvl w:val="0"/>
          <w:numId w:val="4"/>
        </w:numPr>
        <w:spacing w:line="360" w:lineRule="auto"/>
        <w:ind w:left="993" w:hanging="709"/>
        <w:rPr>
          <w:rFonts w:hint="eastAsia" w:ascii="仿宋" w:hAnsi="仿宋" w:eastAsia="仿宋" w:cs="仿宋"/>
          <w:sz w:val="24"/>
          <w:szCs w:val="24"/>
        </w:rPr>
      </w:pPr>
      <w:r>
        <w:rPr>
          <w:rFonts w:hint="eastAsia" w:ascii="仿宋" w:hAnsi="仿宋" w:eastAsia="仿宋" w:cs="仿宋"/>
          <w:sz w:val="24"/>
          <w:szCs w:val="24"/>
        </w:rPr>
        <w:t>政策法规：展示政策法规信息；</w:t>
      </w:r>
    </w:p>
    <w:p w14:paraId="76C7F149">
      <w:pPr>
        <w:pStyle w:val="15"/>
        <w:numPr>
          <w:ilvl w:val="0"/>
          <w:numId w:val="4"/>
        </w:numPr>
        <w:spacing w:line="360" w:lineRule="auto"/>
        <w:ind w:left="993" w:hanging="709"/>
        <w:rPr>
          <w:rFonts w:hint="eastAsia" w:ascii="仿宋" w:hAnsi="仿宋" w:eastAsia="仿宋" w:cs="仿宋"/>
          <w:sz w:val="24"/>
          <w:szCs w:val="24"/>
        </w:rPr>
      </w:pPr>
      <w:r>
        <w:rPr>
          <w:rFonts w:hint="eastAsia" w:ascii="仿宋" w:hAnsi="仿宋" w:eastAsia="仿宋" w:cs="仿宋"/>
          <w:sz w:val="24"/>
          <w:szCs w:val="24"/>
        </w:rPr>
        <w:t>部门动态：展示社内各处室、下级单位、子公司的最新动态。</w:t>
      </w:r>
    </w:p>
    <w:p w14:paraId="3E16E70A">
      <w:pPr>
        <w:pStyle w:val="5"/>
        <w:spacing w:line="360" w:lineRule="auto"/>
        <w:rPr>
          <w:rFonts w:hint="eastAsia" w:ascii="仿宋" w:hAnsi="仿宋" w:eastAsia="仿宋" w:cs="仿宋"/>
          <w:sz w:val="24"/>
          <w:szCs w:val="24"/>
        </w:rPr>
      </w:pPr>
      <w:r>
        <w:rPr>
          <w:rFonts w:hint="eastAsia" w:ascii="仿宋" w:hAnsi="仿宋" w:eastAsia="仿宋" w:cs="仿宋"/>
          <w:sz w:val="24"/>
          <w:szCs w:val="24"/>
        </w:rPr>
        <w:t>社有企业管理</w:t>
      </w:r>
    </w:p>
    <w:p w14:paraId="6239DBBD">
      <w:pPr>
        <w:pStyle w:val="14"/>
        <w:numPr>
          <w:ilvl w:val="3"/>
          <w:numId w:val="5"/>
        </w:numPr>
        <w:spacing w:line="360" w:lineRule="auto"/>
        <w:rPr>
          <w:rFonts w:hint="eastAsia" w:ascii="仿宋" w:hAnsi="仿宋" w:eastAsia="仿宋" w:cs="仿宋"/>
          <w:sz w:val="24"/>
          <w:szCs w:val="24"/>
        </w:rPr>
      </w:pPr>
      <w:r>
        <w:rPr>
          <w:rFonts w:hint="eastAsia" w:ascii="仿宋" w:hAnsi="仿宋" w:eastAsia="仿宋" w:cs="仿宋"/>
          <w:sz w:val="24"/>
          <w:szCs w:val="24"/>
        </w:rPr>
        <w:t>财务管理</w:t>
      </w:r>
    </w:p>
    <w:p w14:paraId="35B66743">
      <w:pPr>
        <w:spacing w:line="360" w:lineRule="auto"/>
        <w:ind w:firstLine="496" w:firstLineChars="207"/>
        <w:rPr>
          <w:rFonts w:hint="eastAsia" w:ascii="仿宋" w:hAnsi="仿宋" w:eastAsia="仿宋" w:cs="仿宋"/>
          <w:sz w:val="24"/>
          <w:szCs w:val="24"/>
        </w:rPr>
      </w:pPr>
      <w:r>
        <w:rPr>
          <w:rFonts w:hint="eastAsia" w:ascii="仿宋" w:hAnsi="仿宋" w:eastAsia="仿宋" w:cs="仿宋"/>
          <w:sz w:val="24"/>
          <w:szCs w:val="24"/>
          <w:lang w:val="en-GB"/>
        </w:rPr>
        <w:t>经营管理以全面预算和管理报告为核心，以财务核算为基础，建立集团财务管理与监控信息系统，实现数据集中、信息透明、管理高效。</w:t>
      </w:r>
    </w:p>
    <w:p w14:paraId="07A47A47">
      <w:pPr>
        <w:spacing w:line="360" w:lineRule="auto"/>
        <w:ind w:firstLine="496" w:firstLineChars="207"/>
        <w:rPr>
          <w:rFonts w:hint="eastAsia" w:ascii="仿宋" w:hAnsi="仿宋" w:eastAsia="仿宋" w:cs="仿宋"/>
          <w:sz w:val="24"/>
          <w:szCs w:val="24"/>
          <w:lang w:val="en-GB"/>
        </w:rPr>
      </w:pPr>
      <w:r>
        <w:rPr>
          <w:rFonts w:hint="eastAsia" w:ascii="仿宋" w:hAnsi="仿宋" w:eastAsia="仿宋" w:cs="仿宋"/>
          <w:sz w:val="24"/>
          <w:szCs w:val="24"/>
          <w:lang w:val="en-GB"/>
        </w:rPr>
        <w:t>实现</w:t>
      </w:r>
      <w:r>
        <w:rPr>
          <w:rFonts w:hint="eastAsia" w:ascii="仿宋" w:hAnsi="仿宋" w:eastAsia="仿宋" w:cs="仿宋"/>
          <w:sz w:val="24"/>
          <w:szCs w:val="24"/>
        </w:rPr>
        <w:t>统一的集团财务核算体系，统一的集团预算管理体系</w:t>
      </w:r>
      <w:r>
        <w:rPr>
          <w:rFonts w:hint="eastAsia" w:ascii="仿宋" w:hAnsi="仿宋" w:eastAsia="仿宋" w:cs="仿宋"/>
          <w:sz w:val="24"/>
          <w:szCs w:val="24"/>
          <w:lang w:val="en-GB"/>
        </w:rPr>
        <w:t>。强化总部对下属企业的财务服务与监管职责。财务信息管理系统作为集团整体信息系统的重要组成部分，起到规范流程、有效监控、提高效率、决策支持的作用，为集团财务管控体系持续高效发展提供强有力支撑。</w:t>
      </w:r>
    </w:p>
    <w:p w14:paraId="4E34AD77">
      <w:pPr>
        <w:spacing w:line="360" w:lineRule="auto"/>
        <w:ind w:firstLine="496" w:firstLineChars="207"/>
        <w:rPr>
          <w:rFonts w:hint="eastAsia" w:ascii="仿宋" w:hAnsi="仿宋" w:eastAsia="仿宋" w:cs="仿宋"/>
          <w:sz w:val="24"/>
          <w:szCs w:val="24"/>
          <w:lang w:val="en-GB"/>
        </w:rPr>
      </w:pPr>
      <w:r>
        <w:rPr>
          <w:rFonts w:hint="eastAsia" w:ascii="仿宋" w:hAnsi="仿宋" w:eastAsia="仿宋" w:cs="仿宋"/>
          <w:sz w:val="24"/>
          <w:szCs w:val="24"/>
          <w:lang w:val="en-GB"/>
        </w:rPr>
        <w:t xml:space="preserve">具体目标： </w:t>
      </w:r>
    </w:p>
    <w:p w14:paraId="72823E4C">
      <w:pPr>
        <w:tabs>
          <w:tab w:val="left" w:pos="0"/>
        </w:tabs>
        <w:spacing w:line="360" w:lineRule="auto"/>
        <w:ind w:firstLine="480"/>
        <w:rPr>
          <w:rFonts w:hint="eastAsia" w:ascii="仿宋" w:hAnsi="仿宋" w:eastAsia="仿宋" w:cs="仿宋"/>
          <w:sz w:val="24"/>
          <w:szCs w:val="24"/>
          <w:lang w:val="en-GB"/>
        </w:rPr>
      </w:pPr>
      <w:r>
        <w:rPr>
          <w:rFonts w:hint="eastAsia" w:ascii="仿宋" w:hAnsi="仿宋" w:eastAsia="仿宋" w:cs="仿宋"/>
          <w:sz w:val="24"/>
          <w:szCs w:val="24"/>
          <w:lang w:val="en-GB"/>
        </w:rPr>
        <w:t xml:space="preserve">①优化集团财务管理模式，建立集团集中财务核算体系，规范财务管理。 </w:t>
      </w:r>
    </w:p>
    <w:p w14:paraId="7208F6FC">
      <w:pPr>
        <w:tabs>
          <w:tab w:val="left" w:pos="0"/>
        </w:tabs>
        <w:spacing w:line="360" w:lineRule="auto"/>
        <w:ind w:firstLine="480"/>
        <w:rPr>
          <w:rFonts w:hint="eastAsia" w:ascii="仿宋" w:hAnsi="仿宋" w:eastAsia="仿宋" w:cs="仿宋"/>
          <w:sz w:val="24"/>
          <w:szCs w:val="24"/>
          <w:lang w:val="en-GB"/>
        </w:rPr>
      </w:pPr>
      <w:r>
        <w:rPr>
          <w:rFonts w:hint="eastAsia" w:ascii="仿宋" w:hAnsi="仿宋" w:eastAsia="仿宋" w:cs="仿宋"/>
          <w:sz w:val="24"/>
          <w:szCs w:val="24"/>
          <w:lang w:val="en-GB"/>
        </w:rPr>
        <w:t>②优化集团全面预算管理体系，有效承接集团战略，实现执行、分析、调整、考评的闭环管理 。</w:t>
      </w:r>
    </w:p>
    <w:p w14:paraId="30658C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GB"/>
        </w:rPr>
        <w:t>③以本次建设的经营管理系统为核心搭建集团统一的财务管控平台，基于此平台集成现有财务信息化系统、扩展其他技术模块，实现其他异构系统（的数据采集，为管理报告、财务分析、风险分析等提供支撑。</w:t>
      </w:r>
    </w:p>
    <w:p w14:paraId="6484BCCD">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本次项目经营管理模块范围：集团财务核算模块、集团费用报销模块、集团全面预算管理模块和基础环境模块。</w:t>
      </w:r>
    </w:p>
    <w:p w14:paraId="1971084D">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本次项目涉及的组织及模块建设范围见下表，包含表上组织及下属分子公司：</w:t>
      </w:r>
    </w:p>
    <w:tbl>
      <w:tblPr>
        <w:tblStyle w:val="11"/>
        <w:tblW w:w="7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3827"/>
        <w:gridCol w:w="1706"/>
      </w:tblGrid>
      <w:tr w14:paraId="43AE1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093" w:type="dxa"/>
            <w:noWrap w:val="0"/>
            <w:vAlign w:val="center"/>
          </w:tcPr>
          <w:p w14:paraId="1A208272">
            <w:pPr>
              <w:pStyle w:val="16"/>
              <w:ind w:firstLine="210" w:firstLineChars="100"/>
              <w:jc w:val="center"/>
              <w:rPr>
                <w:rFonts w:hint="eastAsia" w:ascii="仿宋" w:hAnsi="仿宋" w:eastAsia="仿宋" w:cs="仿宋"/>
                <w:bCs/>
                <w:sz w:val="21"/>
                <w:szCs w:val="21"/>
                <w:lang w:eastAsia="zh-Hans"/>
              </w:rPr>
            </w:pPr>
            <w:r>
              <w:rPr>
                <w:rFonts w:hint="eastAsia" w:ascii="仿宋" w:hAnsi="仿宋" w:eastAsia="仿宋" w:cs="仿宋"/>
                <w:bCs/>
                <w:sz w:val="21"/>
                <w:szCs w:val="21"/>
                <w:lang w:eastAsia="zh-Hans"/>
              </w:rPr>
              <w:t>系统分类</w:t>
            </w:r>
          </w:p>
        </w:tc>
        <w:tc>
          <w:tcPr>
            <w:tcW w:w="3827" w:type="dxa"/>
            <w:noWrap w:val="0"/>
            <w:vAlign w:val="center"/>
          </w:tcPr>
          <w:p w14:paraId="1EB885C6">
            <w:pPr>
              <w:pStyle w:val="16"/>
              <w:ind w:firstLine="210" w:firstLineChars="100"/>
              <w:jc w:val="center"/>
              <w:rPr>
                <w:rFonts w:hint="eastAsia" w:ascii="仿宋" w:hAnsi="仿宋" w:eastAsia="仿宋" w:cs="仿宋"/>
                <w:bCs/>
                <w:sz w:val="21"/>
                <w:szCs w:val="21"/>
                <w:lang w:eastAsia="zh-Hans"/>
              </w:rPr>
            </w:pPr>
            <w:r>
              <w:rPr>
                <w:rFonts w:hint="eastAsia" w:ascii="仿宋" w:hAnsi="仿宋" w:eastAsia="仿宋" w:cs="仿宋"/>
                <w:bCs/>
                <w:sz w:val="21"/>
                <w:szCs w:val="21"/>
                <w:lang w:eastAsia="zh-Hans"/>
              </w:rPr>
              <w:t>模块名称</w:t>
            </w:r>
          </w:p>
        </w:tc>
        <w:tc>
          <w:tcPr>
            <w:tcW w:w="1706" w:type="dxa"/>
            <w:noWrap w:val="0"/>
            <w:vAlign w:val="center"/>
          </w:tcPr>
          <w:p w14:paraId="172841D2">
            <w:pPr>
              <w:pStyle w:val="16"/>
              <w:jc w:val="center"/>
              <w:rPr>
                <w:rFonts w:hint="eastAsia" w:ascii="仿宋" w:hAnsi="仿宋" w:eastAsia="仿宋" w:cs="仿宋"/>
                <w:bCs/>
                <w:sz w:val="21"/>
                <w:szCs w:val="21"/>
              </w:rPr>
            </w:pPr>
            <w:r>
              <w:rPr>
                <w:rFonts w:hint="eastAsia" w:ascii="仿宋" w:hAnsi="仿宋" w:eastAsia="仿宋" w:cs="仿宋"/>
                <w:bCs/>
                <w:sz w:val="21"/>
                <w:szCs w:val="21"/>
                <w:lang w:eastAsia="zh-Hans"/>
              </w:rPr>
              <w:t>用户数</w:t>
            </w:r>
          </w:p>
        </w:tc>
      </w:tr>
      <w:tr w14:paraId="0F5A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093" w:type="dxa"/>
            <w:vMerge w:val="restart"/>
            <w:noWrap w:val="0"/>
            <w:vAlign w:val="center"/>
          </w:tcPr>
          <w:p w14:paraId="60AC403B">
            <w:pPr>
              <w:pStyle w:val="16"/>
              <w:jc w:val="center"/>
              <w:rPr>
                <w:rFonts w:hint="eastAsia" w:ascii="仿宋" w:hAnsi="仿宋" w:eastAsia="仿宋" w:cs="仿宋"/>
                <w:bCs/>
                <w:sz w:val="21"/>
                <w:szCs w:val="21"/>
                <w:lang w:eastAsia="zh-Hans"/>
              </w:rPr>
            </w:pPr>
            <w:r>
              <w:rPr>
                <w:rFonts w:hint="eastAsia" w:ascii="仿宋" w:hAnsi="仿宋" w:eastAsia="仿宋" w:cs="仿宋"/>
                <w:bCs/>
                <w:sz w:val="21"/>
                <w:szCs w:val="21"/>
              </w:rPr>
              <w:t>集团财务核算模块</w:t>
            </w:r>
          </w:p>
        </w:tc>
        <w:tc>
          <w:tcPr>
            <w:tcW w:w="3827" w:type="dxa"/>
            <w:noWrap w:val="0"/>
            <w:vAlign w:val="center"/>
          </w:tcPr>
          <w:p w14:paraId="7EEC93BE">
            <w:pPr>
              <w:pStyle w:val="16"/>
              <w:ind w:left="42" w:leftChars="20"/>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lang w:eastAsia="zh-Hans"/>
              </w:rPr>
              <w:t>总账</w:t>
            </w:r>
          </w:p>
        </w:tc>
        <w:tc>
          <w:tcPr>
            <w:tcW w:w="1706" w:type="dxa"/>
            <w:vMerge w:val="restart"/>
            <w:noWrap w:val="0"/>
            <w:vAlign w:val="center"/>
          </w:tcPr>
          <w:p w14:paraId="4088888D">
            <w:pPr>
              <w:pStyle w:val="16"/>
              <w:ind w:left="42" w:leftChars="20"/>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rPr>
              <w:t>44</w:t>
            </w:r>
          </w:p>
        </w:tc>
      </w:tr>
      <w:tr w14:paraId="502B3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093" w:type="dxa"/>
            <w:vMerge w:val="continue"/>
            <w:noWrap w:val="0"/>
            <w:vAlign w:val="center"/>
          </w:tcPr>
          <w:p w14:paraId="2522912D">
            <w:pPr>
              <w:pStyle w:val="16"/>
              <w:rPr>
                <w:rFonts w:hint="eastAsia" w:ascii="仿宋" w:hAnsi="仿宋" w:eastAsia="仿宋" w:cs="仿宋"/>
                <w:bCs/>
                <w:sz w:val="21"/>
                <w:szCs w:val="21"/>
                <w:lang w:eastAsia="zh-Hans"/>
              </w:rPr>
            </w:pPr>
          </w:p>
        </w:tc>
        <w:tc>
          <w:tcPr>
            <w:tcW w:w="3827" w:type="dxa"/>
            <w:noWrap w:val="0"/>
            <w:vAlign w:val="center"/>
          </w:tcPr>
          <w:p w14:paraId="0D6B5171">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lang w:eastAsia="zh-Hans"/>
              </w:rPr>
              <w:t>报表</w:t>
            </w:r>
          </w:p>
        </w:tc>
        <w:tc>
          <w:tcPr>
            <w:tcW w:w="1706" w:type="dxa"/>
            <w:vMerge w:val="continue"/>
            <w:noWrap w:val="0"/>
            <w:vAlign w:val="top"/>
          </w:tcPr>
          <w:p w14:paraId="3EEB64B9">
            <w:pPr>
              <w:pStyle w:val="16"/>
              <w:jc w:val="center"/>
              <w:rPr>
                <w:rFonts w:hint="eastAsia" w:ascii="仿宋" w:hAnsi="仿宋" w:eastAsia="仿宋" w:cs="仿宋"/>
                <w:bCs/>
                <w:spacing w:val="-1"/>
                <w:sz w:val="21"/>
                <w:szCs w:val="21"/>
                <w:lang w:eastAsia="zh-Hans"/>
              </w:rPr>
            </w:pPr>
          </w:p>
        </w:tc>
      </w:tr>
      <w:tr w14:paraId="53365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093" w:type="dxa"/>
            <w:vMerge w:val="continue"/>
            <w:noWrap w:val="0"/>
            <w:vAlign w:val="center"/>
          </w:tcPr>
          <w:p w14:paraId="493E9AFC">
            <w:pPr>
              <w:pStyle w:val="16"/>
              <w:jc w:val="center"/>
              <w:rPr>
                <w:rFonts w:hint="eastAsia" w:ascii="仿宋" w:hAnsi="仿宋" w:eastAsia="仿宋" w:cs="仿宋"/>
                <w:bCs/>
                <w:spacing w:val="-1"/>
                <w:sz w:val="21"/>
                <w:szCs w:val="21"/>
              </w:rPr>
            </w:pPr>
          </w:p>
        </w:tc>
        <w:tc>
          <w:tcPr>
            <w:tcW w:w="3827" w:type="dxa"/>
            <w:noWrap w:val="0"/>
            <w:vAlign w:val="center"/>
          </w:tcPr>
          <w:p w14:paraId="5E8CD335">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lang w:eastAsia="zh-Hans"/>
              </w:rPr>
              <w:t>出纳管理</w:t>
            </w:r>
          </w:p>
        </w:tc>
        <w:tc>
          <w:tcPr>
            <w:tcW w:w="1706" w:type="dxa"/>
            <w:vMerge w:val="continue"/>
            <w:noWrap w:val="0"/>
            <w:vAlign w:val="top"/>
          </w:tcPr>
          <w:p w14:paraId="146C2540">
            <w:pPr>
              <w:pStyle w:val="16"/>
              <w:jc w:val="center"/>
              <w:rPr>
                <w:rFonts w:hint="eastAsia" w:ascii="仿宋" w:hAnsi="仿宋" w:eastAsia="仿宋" w:cs="仿宋"/>
                <w:bCs/>
                <w:spacing w:val="-1"/>
                <w:sz w:val="21"/>
                <w:szCs w:val="21"/>
                <w:lang w:eastAsia="zh-Hans"/>
              </w:rPr>
            </w:pPr>
          </w:p>
        </w:tc>
      </w:tr>
      <w:tr w14:paraId="670CF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093" w:type="dxa"/>
            <w:vMerge w:val="continue"/>
            <w:noWrap w:val="0"/>
            <w:vAlign w:val="center"/>
          </w:tcPr>
          <w:p w14:paraId="3CED1B34">
            <w:pPr>
              <w:pStyle w:val="16"/>
              <w:jc w:val="center"/>
              <w:rPr>
                <w:rFonts w:hint="eastAsia" w:ascii="仿宋" w:hAnsi="仿宋" w:eastAsia="仿宋" w:cs="仿宋"/>
                <w:bCs/>
                <w:spacing w:val="-1"/>
                <w:sz w:val="21"/>
                <w:szCs w:val="21"/>
              </w:rPr>
            </w:pPr>
          </w:p>
        </w:tc>
        <w:tc>
          <w:tcPr>
            <w:tcW w:w="3827" w:type="dxa"/>
            <w:noWrap w:val="0"/>
            <w:vAlign w:val="center"/>
          </w:tcPr>
          <w:p w14:paraId="0CE788A9">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lang w:eastAsia="zh-Hans"/>
              </w:rPr>
              <w:t>应付款管理</w:t>
            </w:r>
          </w:p>
        </w:tc>
        <w:tc>
          <w:tcPr>
            <w:tcW w:w="1706" w:type="dxa"/>
            <w:vMerge w:val="continue"/>
            <w:noWrap w:val="0"/>
            <w:vAlign w:val="top"/>
          </w:tcPr>
          <w:p w14:paraId="28AC44ED">
            <w:pPr>
              <w:pStyle w:val="16"/>
              <w:jc w:val="center"/>
              <w:rPr>
                <w:rFonts w:hint="eastAsia" w:ascii="仿宋" w:hAnsi="仿宋" w:eastAsia="仿宋" w:cs="仿宋"/>
                <w:bCs/>
                <w:spacing w:val="-1"/>
                <w:sz w:val="21"/>
                <w:szCs w:val="21"/>
                <w:lang w:eastAsia="zh-Hans"/>
              </w:rPr>
            </w:pPr>
          </w:p>
        </w:tc>
      </w:tr>
      <w:tr w14:paraId="5924F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093" w:type="dxa"/>
            <w:vMerge w:val="continue"/>
            <w:noWrap w:val="0"/>
            <w:vAlign w:val="center"/>
          </w:tcPr>
          <w:p w14:paraId="4CAF6F79">
            <w:pPr>
              <w:pStyle w:val="16"/>
              <w:jc w:val="center"/>
              <w:rPr>
                <w:rFonts w:hint="eastAsia" w:ascii="仿宋" w:hAnsi="仿宋" w:eastAsia="仿宋" w:cs="仿宋"/>
                <w:bCs/>
                <w:spacing w:val="-1"/>
                <w:sz w:val="21"/>
                <w:szCs w:val="21"/>
              </w:rPr>
            </w:pPr>
          </w:p>
        </w:tc>
        <w:tc>
          <w:tcPr>
            <w:tcW w:w="3827" w:type="dxa"/>
            <w:noWrap w:val="0"/>
            <w:vAlign w:val="center"/>
          </w:tcPr>
          <w:p w14:paraId="4AF6225D">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lang w:eastAsia="zh-Hans"/>
              </w:rPr>
              <w:t>法定合并</w:t>
            </w:r>
          </w:p>
        </w:tc>
        <w:tc>
          <w:tcPr>
            <w:tcW w:w="1706" w:type="dxa"/>
            <w:noWrap w:val="0"/>
            <w:vAlign w:val="top"/>
          </w:tcPr>
          <w:p w14:paraId="39265A17">
            <w:pPr>
              <w:pStyle w:val="16"/>
              <w:jc w:val="center"/>
              <w:rPr>
                <w:rFonts w:hint="eastAsia" w:ascii="仿宋" w:hAnsi="仿宋" w:eastAsia="仿宋" w:cs="仿宋"/>
                <w:bCs/>
                <w:spacing w:val="-1"/>
                <w:sz w:val="21"/>
                <w:szCs w:val="21"/>
              </w:rPr>
            </w:pPr>
            <w:r>
              <w:rPr>
                <w:rFonts w:hint="eastAsia" w:ascii="仿宋" w:hAnsi="仿宋" w:eastAsia="仿宋" w:cs="仿宋"/>
                <w:bCs/>
                <w:spacing w:val="-1"/>
                <w:sz w:val="21"/>
                <w:szCs w:val="21"/>
              </w:rPr>
              <w:t>19</w:t>
            </w:r>
          </w:p>
        </w:tc>
      </w:tr>
      <w:tr w14:paraId="00B2B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093" w:type="dxa"/>
            <w:noWrap w:val="0"/>
            <w:vAlign w:val="center"/>
          </w:tcPr>
          <w:p w14:paraId="6E4A23FE">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z w:val="21"/>
                <w:szCs w:val="21"/>
              </w:rPr>
              <w:t>集团费用报销模块</w:t>
            </w:r>
          </w:p>
        </w:tc>
        <w:tc>
          <w:tcPr>
            <w:tcW w:w="3827" w:type="dxa"/>
            <w:noWrap w:val="0"/>
            <w:vAlign w:val="center"/>
          </w:tcPr>
          <w:p w14:paraId="53F71416">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lang w:eastAsia="zh-Hans"/>
              </w:rPr>
              <w:t>费用报销</w:t>
            </w:r>
          </w:p>
        </w:tc>
        <w:tc>
          <w:tcPr>
            <w:tcW w:w="1706" w:type="dxa"/>
            <w:noWrap w:val="0"/>
            <w:vAlign w:val="top"/>
          </w:tcPr>
          <w:p w14:paraId="4E8818D1">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rPr>
              <w:t>44</w:t>
            </w:r>
          </w:p>
        </w:tc>
      </w:tr>
      <w:tr w14:paraId="1686B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093" w:type="dxa"/>
            <w:noWrap w:val="0"/>
            <w:vAlign w:val="center"/>
          </w:tcPr>
          <w:p w14:paraId="2354402B">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z w:val="21"/>
                <w:szCs w:val="21"/>
              </w:rPr>
              <w:t>集团全面预算管理模块</w:t>
            </w:r>
          </w:p>
        </w:tc>
        <w:tc>
          <w:tcPr>
            <w:tcW w:w="3827" w:type="dxa"/>
            <w:noWrap w:val="0"/>
            <w:vAlign w:val="center"/>
          </w:tcPr>
          <w:p w14:paraId="1B3E09D1">
            <w:pPr>
              <w:pStyle w:val="16"/>
              <w:jc w:val="center"/>
              <w:rPr>
                <w:rFonts w:hint="eastAsia" w:ascii="仿宋" w:hAnsi="仿宋" w:eastAsia="仿宋" w:cs="仿宋"/>
                <w:bCs/>
                <w:spacing w:val="-1"/>
                <w:sz w:val="21"/>
                <w:szCs w:val="21"/>
              </w:rPr>
            </w:pPr>
            <w:r>
              <w:rPr>
                <w:rFonts w:hint="eastAsia" w:ascii="仿宋" w:hAnsi="仿宋" w:eastAsia="仿宋" w:cs="仿宋"/>
                <w:bCs/>
                <w:spacing w:val="-1"/>
                <w:sz w:val="21"/>
                <w:szCs w:val="21"/>
                <w:lang w:eastAsia="zh-Hans"/>
              </w:rPr>
              <w:t>预算控制、</w:t>
            </w:r>
            <w:r>
              <w:rPr>
                <w:rFonts w:hint="eastAsia" w:ascii="仿宋" w:hAnsi="仿宋" w:eastAsia="仿宋" w:cs="仿宋"/>
                <w:bCs/>
                <w:spacing w:val="-1"/>
                <w:sz w:val="21"/>
                <w:szCs w:val="21"/>
              </w:rPr>
              <w:t>预算</w:t>
            </w:r>
            <w:r>
              <w:rPr>
                <w:rFonts w:hint="eastAsia" w:ascii="仿宋" w:hAnsi="仿宋" w:eastAsia="仿宋" w:cs="仿宋"/>
                <w:bCs/>
                <w:spacing w:val="-1"/>
                <w:sz w:val="21"/>
                <w:szCs w:val="21"/>
                <w:lang w:eastAsia="zh-Hans"/>
              </w:rPr>
              <w:t>编制</w:t>
            </w:r>
          </w:p>
        </w:tc>
        <w:tc>
          <w:tcPr>
            <w:tcW w:w="1706" w:type="dxa"/>
            <w:noWrap w:val="0"/>
            <w:vAlign w:val="center"/>
          </w:tcPr>
          <w:p w14:paraId="096C231B">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rPr>
              <w:t>19</w:t>
            </w:r>
          </w:p>
        </w:tc>
      </w:tr>
      <w:tr w14:paraId="1C2E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093" w:type="dxa"/>
            <w:noWrap w:val="0"/>
            <w:vAlign w:val="center"/>
          </w:tcPr>
          <w:p w14:paraId="50675E03">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z w:val="21"/>
                <w:szCs w:val="21"/>
              </w:rPr>
              <w:t>基础环境模块</w:t>
            </w:r>
          </w:p>
        </w:tc>
        <w:tc>
          <w:tcPr>
            <w:tcW w:w="3827" w:type="dxa"/>
            <w:noWrap w:val="0"/>
            <w:vAlign w:val="center"/>
          </w:tcPr>
          <w:p w14:paraId="720C3D0E">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lang w:eastAsia="zh-Hans"/>
              </w:rPr>
              <w:t>中间件、工作流</w:t>
            </w:r>
          </w:p>
        </w:tc>
        <w:tc>
          <w:tcPr>
            <w:tcW w:w="1706" w:type="dxa"/>
            <w:noWrap w:val="0"/>
            <w:vAlign w:val="center"/>
          </w:tcPr>
          <w:p w14:paraId="5EBEBA83">
            <w:pPr>
              <w:pStyle w:val="16"/>
              <w:jc w:val="center"/>
              <w:rPr>
                <w:rFonts w:hint="eastAsia" w:ascii="仿宋" w:hAnsi="仿宋" w:eastAsia="仿宋" w:cs="仿宋"/>
                <w:bCs/>
                <w:spacing w:val="-1"/>
                <w:sz w:val="21"/>
                <w:szCs w:val="21"/>
                <w:lang w:eastAsia="zh-Hans"/>
              </w:rPr>
            </w:pPr>
            <w:r>
              <w:rPr>
                <w:rFonts w:hint="eastAsia" w:ascii="仿宋" w:hAnsi="仿宋" w:eastAsia="仿宋" w:cs="仿宋"/>
                <w:bCs/>
                <w:spacing w:val="-1"/>
                <w:sz w:val="21"/>
                <w:szCs w:val="21"/>
              </w:rPr>
              <w:t>--</w:t>
            </w:r>
          </w:p>
        </w:tc>
      </w:tr>
    </w:tbl>
    <w:p w14:paraId="60560D22">
      <w:pPr>
        <w:pStyle w:val="17"/>
        <w:ind w:firstLine="420"/>
        <w:rPr>
          <w:rFonts w:hint="eastAsia" w:ascii="仿宋" w:hAnsi="仿宋" w:eastAsia="仿宋" w:cs="仿宋"/>
        </w:rPr>
      </w:pPr>
      <w:r>
        <w:rPr>
          <w:rFonts w:hint="eastAsia" w:ascii="仿宋" w:hAnsi="仿宋" w:eastAsia="仿宋" w:cs="仿宋"/>
        </w:rPr>
        <w:t>具体模块建设范围：</w:t>
      </w:r>
    </w:p>
    <w:p w14:paraId="3295207E">
      <w:pPr>
        <w:pStyle w:val="17"/>
        <w:ind w:firstLine="420"/>
        <w:rPr>
          <w:rFonts w:hint="eastAsia" w:ascii="仿宋" w:hAnsi="仿宋" w:eastAsia="仿宋" w:cs="仿宋"/>
        </w:rPr>
      </w:pPr>
      <w:r>
        <w:rPr>
          <w:rFonts w:hint="eastAsia" w:ascii="仿宋" w:hAnsi="仿宋" w:eastAsia="仿宋" w:cs="仿宋"/>
        </w:rPr>
        <w:t>财务核算模块：全集团，及下属分子单位。</w:t>
      </w:r>
    </w:p>
    <w:p w14:paraId="1ABC913F">
      <w:pPr>
        <w:pStyle w:val="17"/>
        <w:ind w:firstLine="420"/>
        <w:rPr>
          <w:rFonts w:hint="eastAsia" w:ascii="仿宋" w:hAnsi="仿宋" w:eastAsia="仿宋" w:cs="仿宋"/>
        </w:rPr>
      </w:pPr>
      <w:r>
        <w:rPr>
          <w:rFonts w:hint="eastAsia" w:ascii="仿宋" w:hAnsi="仿宋" w:eastAsia="仿宋" w:cs="仿宋"/>
        </w:rPr>
        <w:t>费用报销模块：全集团，及下属分子单位。</w:t>
      </w:r>
    </w:p>
    <w:p w14:paraId="700AA44C">
      <w:pPr>
        <w:pStyle w:val="17"/>
        <w:ind w:firstLine="420"/>
        <w:rPr>
          <w:rFonts w:hint="eastAsia" w:ascii="仿宋" w:hAnsi="仿宋" w:eastAsia="仿宋" w:cs="仿宋"/>
        </w:rPr>
      </w:pPr>
      <w:r>
        <w:rPr>
          <w:rFonts w:hint="eastAsia" w:ascii="仿宋" w:hAnsi="仿宋" w:eastAsia="仿宋" w:cs="仿宋"/>
        </w:rPr>
        <w:t>全面预算管理模块：全集团，及下属分子单位。</w:t>
      </w:r>
    </w:p>
    <w:p w14:paraId="37C4DCF5">
      <w:pPr>
        <w:pStyle w:val="6"/>
        <w:numPr>
          <w:ilvl w:val="0"/>
          <w:numId w:val="6"/>
        </w:numPr>
        <w:rPr>
          <w:rFonts w:hint="eastAsia" w:ascii="仿宋" w:hAnsi="仿宋" w:eastAsia="仿宋" w:cs="仿宋"/>
          <w:szCs w:val="21"/>
        </w:rPr>
      </w:pPr>
      <w:r>
        <w:rPr>
          <w:rFonts w:hint="eastAsia" w:ascii="仿宋" w:hAnsi="仿宋" w:eastAsia="仿宋" w:cs="仿宋"/>
          <w:sz w:val="24"/>
          <w:szCs w:val="18"/>
        </w:rPr>
        <w:t>集团财务核算模块</w:t>
      </w:r>
    </w:p>
    <w:p w14:paraId="3CBE5623">
      <w:pPr>
        <w:spacing w:line="360" w:lineRule="auto"/>
        <w:ind w:firstLine="496" w:firstLineChars="207"/>
        <w:rPr>
          <w:rFonts w:hint="eastAsia" w:ascii="仿宋" w:hAnsi="仿宋" w:eastAsia="仿宋" w:cs="仿宋"/>
          <w:sz w:val="24"/>
          <w:szCs w:val="22"/>
          <w:lang w:val="en-GB"/>
        </w:rPr>
      </w:pPr>
      <w:r>
        <w:rPr>
          <w:rFonts w:hint="eastAsia" w:ascii="仿宋" w:hAnsi="仿宋" w:eastAsia="仿宋" w:cs="仿宋"/>
          <w:sz w:val="24"/>
          <w:szCs w:val="22"/>
          <w:lang w:val="en-GB"/>
        </w:rPr>
        <w:t>实现了财务数据的集中，财务核算流程的统一，资产的统一调拨，集团往来的协同处理，支持凭证、总分类账、明细账等跨组织、跨期间的透视联查。实现与合并报表等的集成，支持集团及各子公司的业务系统的集成对接。</w:t>
      </w:r>
    </w:p>
    <w:p w14:paraId="0099AB93">
      <w:pPr>
        <w:pStyle w:val="7"/>
        <w:numPr>
          <w:ilvl w:val="0"/>
          <w:numId w:val="7"/>
        </w:numPr>
        <w:ind w:hanging="156"/>
        <w:rPr>
          <w:rFonts w:hint="eastAsia" w:ascii="仿宋" w:hAnsi="仿宋" w:eastAsia="仿宋" w:cs="仿宋"/>
          <w:lang w:val="en-GB"/>
        </w:rPr>
      </w:pPr>
      <w:r>
        <w:rPr>
          <w:rFonts w:hint="eastAsia" w:ascii="仿宋" w:hAnsi="仿宋" w:eastAsia="仿宋" w:cs="仿宋"/>
          <w:lang w:val="en-GB"/>
        </w:rPr>
        <w:t>总账管理</w:t>
      </w:r>
    </w:p>
    <w:p w14:paraId="7D0A801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①支持多组织架构管理，包括支持多法人、多账套。</w:t>
      </w:r>
    </w:p>
    <w:p w14:paraId="2641FD44">
      <w:pPr>
        <w:numPr>
          <w:ilvl w:val="0"/>
          <w:numId w:val="8"/>
        </w:numPr>
        <w:spacing w:line="360" w:lineRule="auto"/>
        <w:rPr>
          <w:rFonts w:hint="eastAsia" w:ascii="仿宋" w:hAnsi="仿宋" w:eastAsia="仿宋" w:cs="仿宋"/>
          <w:sz w:val="24"/>
          <w:szCs w:val="24"/>
        </w:rPr>
      </w:pPr>
      <w:r>
        <w:rPr>
          <w:rFonts w:hint="eastAsia" w:ascii="仿宋" w:hAnsi="仿宋" w:eastAsia="仿宋" w:cs="仿宋"/>
          <w:sz w:val="24"/>
          <w:szCs w:val="24"/>
        </w:rPr>
        <w:t>支持财务集中管控及财务体系管理；统一规范财务核算体系、核算方法及优化财务核算流程。</w:t>
      </w:r>
    </w:p>
    <w:p w14:paraId="7BACF34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③支持预算控制管理功能，支持灵活的预算控制方式，支持预算控制数据人工维护及导入方式，支持预算额度检查和预警。</w:t>
      </w:r>
    </w:p>
    <w:p w14:paraId="53806BF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④支持账务安全性管理，实现按用户、职责、账套、法人及财务科目等口径的财务数据安全性控制管理。</w:t>
      </w:r>
    </w:p>
    <w:p w14:paraId="25246A2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⑤支持灵活凭证管理，支持多种模板凭证定义，凭证能按多种条件查询，打印及归档管理；支持不同来源的凭证管理；支持出具各类总分类账簿和明细分类账簿。</w:t>
      </w:r>
    </w:p>
    <w:p w14:paraId="04D79F1D">
      <w:pPr>
        <w:pStyle w:val="18"/>
        <w:rPr>
          <w:rFonts w:hint="eastAsia" w:ascii="仿宋" w:hAnsi="仿宋" w:eastAsia="仿宋" w:cs="仿宋"/>
          <w:szCs w:val="24"/>
        </w:rPr>
      </w:pPr>
      <w:r>
        <w:rPr>
          <w:rFonts w:hint="eastAsia" w:ascii="仿宋" w:hAnsi="仿宋" w:eastAsia="仿宋" w:cs="仿宋"/>
          <w:szCs w:val="24"/>
        </w:rPr>
        <w:t>⑥支持总账核算管理，实现各类凭证业务核算。</w:t>
      </w:r>
    </w:p>
    <w:p w14:paraId="3DDBCF6F">
      <w:pPr>
        <w:pStyle w:val="18"/>
        <w:ind w:firstLine="0" w:firstLineChars="0"/>
        <w:rPr>
          <w:rFonts w:hint="eastAsia" w:ascii="仿宋" w:hAnsi="仿宋" w:eastAsia="仿宋" w:cs="仿宋"/>
        </w:rPr>
      </w:pPr>
    </w:p>
    <w:p w14:paraId="520205D2">
      <w:pPr>
        <w:pStyle w:val="7"/>
        <w:numPr>
          <w:ilvl w:val="0"/>
          <w:numId w:val="7"/>
        </w:numPr>
        <w:ind w:hanging="156"/>
        <w:rPr>
          <w:rFonts w:hint="eastAsia" w:ascii="仿宋" w:hAnsi="仿宋" w:eastAsia="仿宋" w:cs="仿宋"/>
          <w:lang w:val="en-GB"/>
        </w:rPr>
      </w:pPr>
      <w:r>
        <w:rPr>
          <w:rFonts w:hint="eastAsia" w:ascii="仿宋" w:hAnsi="仿宋" w:eastAsia="仿宋" w:cs="仿宋"/>
          <w:lang w:val="en-GB"/>
        </w:rPr>
        <w:t>出纳管理</w:t>
      </w:r>
    </w:p>
    <w:p w14:paraId="15D336EE">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①要求可以处理现金、银行存款、票据（如汇票），并提供各种报表的生成、查询和打印，现金日记账与总账对账，银行日记账和银行对账单对账等功能；</w:t>
      </w:r>
    </w:p>
    <w:p w14:paraId="510E6B21">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②能按用户输入的单一或多种并存的条件输出满足条件的各种资金报表；</w:t>
      </w:r>
    </w:p>
    <w:p w14:paraId="125B1D26">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③能自动生成有关现金、银行存款的日报表，自动生成银行存款余额调节表、长期未达账，能维护并生成短期借款、长期借款明细表；</w:t>
      </w:r>
    </w:p>
    <w:p w14:paraId="0321A0DE">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④要求系统既能与账务处理系统配合使用，又能与其它系统分离而独立运行，帮助完成现金出纳的管理工作；</w:t>
      </w:r>
    </w:p>
    <w:p w14:paraId="7B978D11">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⑤单证（报表）显示、输出方式、打印和格式可灵活设置。</w:t>
      </w:r>
    </w:p>
    <w:p w14:paraId="4351FEA6">
      <w:pPr>
        <w:pStyle w:val="7"/>
        <w:numPr>
          <w:ilvl w:val="0"/>
          <w:numId w:val="7"/>
        </w:numPr>
        <w:spacing w:line="360" w:lineRule="auto"/>
        <w:ind w:hanging="156"/>
        <w:rPr>
          <w:rFonts w:hint="eastAsia" w:ascii="仿宋" w:hAnsi="仿宋" w:eastAsia="仿宋" w:cs="仿宋"/>
          <w:lang w:val="en-GB"/>
        </w:rPr>
      </w:pPr>
      <w:r>
        <w:rPr>
          <w:rFonts w:hint="eastAsia" w:ascii="仿宋" w:hAnsi="仿宋" w:eastAsia="仿宋" w:cs="仿宋"/>
          <w:lang w:val="en-GB"/>
        </w:rPr>
        <w:t>应付款管理</w:t>
      </w:r>
    </w:p>
    <w:p w14:paraId="4B67E892">
      <w:pPr>
        <w:numPr>
          <w:ilvl w:val="0"/>
          <w:numId w:val="9"/>
        </w:num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提供包括付款类单据处理、报表查询等企业日常应收应付管理功能，并总账管理系统等各业务系统一体化集成。</w:t>
      </w:r>
    </w:p>
    <w:p w14:paraId="06439E8A">
      <w:pPr>
        <w:numPr>
          <w:ilvl w:val="0"/>
          <w:numId w:val="9"/>
        </w:num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系统功能包含不限于：初始化处理、发票业务处理、应付款单处理、付款申请处理、发票处理、付款单处理、报表分析、结算处理、期末处理。</w:t>
      </w:r>
    </w:p>
    <w:p w14:paraId="0CC02B6B">
      <w:pPr>
        <w:pStyle w:val="7"/>
        <w:numPr>
          <w:ilvl w:val="0"/>
          <w:numId w:val="7"/>
        </w:numPr>
        <w:ind w:hanging="156"/>
        <w:rPr>
          <w:rFonts w:hint="eastAsia" w:ascii="仿宋" w:hAnsi="仿宋" w:eastAsia="仿宋" w:cs="仿宋"/>
          <w:lang w:val="en-GB"/>
        </w:rPr>
      </w:pPr>
      <w:r>
        <w:rPr>
          <w:rFonts w:hint="eastAsia" w:ascii="仿宋" w:hAnsi="仿宋" w:eastAsia="仿宋" w:cs="仿宋"/>
        </w:rPr>
        <w:t>法定合并</w:t>
      </w:r>
    </w:p>
    <w:p w14:paraId="3419C89B">
      <w:pPr>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 xml:space="preserve">支持合并体系管理、股权投资管理、外币折算、调整管理、自动查询管理、自动对账管理、内部交易自动合并抵销、日常财务报表、行业报表上报、行业对账平台、行业对标分析等功能。重点实现跨单位多层级多维度报表查询的统一集成化，解决集团跨单位的内部交易自动抵销，实现合并报表自动提取。 </w:t>
      </w:r>
    </w:p>
    <w:p w14:paraId="08FDF334">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各公司能够灵活设置报表格式、定义报表公式、自动快速地编制各种报表（含统计报表），各种报表与EXCEL系统自由灵活引入、引出；</w:t>
      </w:r>
    </w:p>
    <w:p w14:paraId="44331C24">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报表格式定义，提供灵活、快捷的多种格式的样表定义，允许用户设置样表的表项目、表结构等信息，并保存为其他用户连续使用。上级单位能够统一设置固定报表，报表自动生成。上级单位能够统一设置固定报表的数据来源、逻辑检查等；</w:t>
      </w:r>
    </w:p>
    <w:p w14:paraId="1E4882FB">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报表分配，支持报表的定向分配应用，提供报表的应用权限管理；</w:t>
      </w:r>
    </w:p>
    <w:p w14:paraId="7004B5CB">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报表生成，各类按照会计制度规定报表数据的自动采集生成。上级单位能够统一生成下级单位基础报表，并可以自动生成汇总报表。能够在线数据录入，提供报表逻辑关系检查；</w:t>
      </w:r>
    </w:p>
    <w:p w14:paraId="2AF0BBBC">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支持根据复杂的持股关系自动生成抵销持股比例；</w:t>
      </w:r>
    </w:p>
    <w:p w14:paraId="71A37215">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支持自定义配置不同的权益抵销业务触发条件和相关场景；</w:t>
      </w:r>
    </w:p>
    <w:p w14:paraId="64086A38">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支持根据业务场景自动生成权益分录底稿及权益抵销分录；</w:t>
      </w:r>
    </w:p>
    <w:p w14:paraId="25E518FB">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报表输出，提供报表的分权限查询、打印。提供网络的传输。提供数据导出功能。能够导出到EXECL报表格式；</w:t>
      </w:r>
    </w:p>
    <w:p w14:paraId="372EEEED">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报表具有自动追溯功能，从报表系统不用写脚本、设置任何对照关系即可自动联查到账簿、凭证及原始单据，从集团汇总报表可直接自动联查到下属单位报表，直到账簿、凭证及原始单据；</w:t>
      </w:r>
    </w:p>
    <w:p w14:paraId="7B78B660">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通过工作流实现报表编制流程的管理；</w:t>
      </w:r>
    </w:p>
    <w:p w14:paraId="6D0B0738">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提供计算公式、校验公式、平衡公式，并且这些公式可以共享，如果公式相同只需要定义一次；</w:t>
      </w:r>
    </w:p>
    <w:p w14:paraId="232B990C">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能自动生成各公司间内部往来，债权债务，公司间利润及损失的抵消分录，并自动生成合并报表；</w:t>
      </w:r>
    </w:p>
    <w:p w14:paraId="2A2FD0D3">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根据定义的组织结构自动进行财务报表的合并，系统支持多层次、多角度的合并汇总（如逐级合并，按板块合并，按其他关系合并）；</w:t>
      </w:r>
    </w:p>
    <w:p w14:paraId="70D57576">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自动进行各种报表及合并报表间的逻辑关系检查；</w:t>
      </w:r>
    </w:p>
    <w:p w14:paraId="12661ECD">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系统支持显示下级机构报表编制进度；</w:t>
      </w:r>
    </w:p>
    <w:p w14:paraId="40A18FA8">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对各子公司下发、接收统一的财务报表模式，包括对外公告报表（含合并附注编制所需特定格式报表）和对内管理报表；</w:t>
      </w:r>
    </w:p>
    <w:p w14:paraId="345B26AD">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内部单位往来进行自动对账，生成对账明细情况表。能对内部资金占用进行计息处理，加强内部往来结算管理；</w:t>
      </w:r>
    </w:p>
    <w:p w14:paraId="6D093B39">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高效进行报表合并。可以进行复杂控股关系的合并，在报表系统中生成汇总会计报表，再根据股权关系及内部交易生成抵消分录明细；在生成合并工作底稿基础上最后生成正式的合并报表。自动生成的抵消分录明细要可查询，主管财务人员通过看抵消明细能够清晰了解抵消事项。对于内部交易的采集要在下级单位会计人员进行账务核算时完成。在总部能够实现交易对账处理并自动生成抵消分录，在此基础上允许人工调整；</w:t>
      </w:r>
    </w:p>
    <w:p w14:paraId="44B0978B">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可以设置多套合并方案，对不同的报表项目提供不同的折算方式；</w:t>
      </w:r>
    </w:p>
    <w:p w14:paraId="2A9022BC">
      <w:pPr>
        <w:numPr>
          <w:ilvl w:val="0"/>
          <w:numId w:val="10"/>
        </w:numPr>
        <w:spacing w:line="360" w:lineRule="auto"/>
        <w:ind w:left="0" w:firstLine="480" w:firstLineChars="200"/>
        <w:rPr>
          <w:rFonts w:hint="eastAsia" w:ascii="仿宋" w:hAnsi="仿宋" w:eastAsia="仿宋" w:cs="仿宋"/>
          <w:sz w:val="24"/>
          <w:szCs w:val="22"/>
        </w:rPr>
      </w:pPr>
      <w:r>
        <w:rPr>
          <w:rFonts w:hint="eastAsia" w:ascii="仿宋" w:hAnsi="仿宋" w:eastAsia="仿宋" w:cs="仿宋"/>
          <w:sz w:val="24"/>
          <w:szCs w:val="22"/>
        </w:rPr>
        <w:t>通过往来业务通知单，实现集团企业的财务协同，满足内部对账的需要；</w:t>
      </w:r>
    </w:p>
    <w:p w14:paraId="2DD39D41">
      <w:pPr>
        <w:spacing w:line="360" w:lineRule="auto"/>
        <w:ind w:left="0" w:leftChars="0" w:firstLine="478" w:firstLineChars="228"/>
        <w:rPr>
          <w:rFonts w:hint="eastAsia" w:ascii="仿宋" w:hAnsi="仿宋" w:eastAsia="仿宋" w:cs="仿宋"/>
          <w:sz w:val="24"/>
          <w:szCs w:val="22"/>
        </w:rPr>
      </w:pPr>
      <w:r>
        <w:rPr>
          <w:rFonts w:hint="eastAsia" w:ascii="仿宋" w:hAnsi="仿宋" w:eastAsia="仿宋" w:cs="仿宋"/>
          <w:b w:val="0"/>
          <w:bCs w:val="0"/>
        </w:rPr>
        <w:fldChar w:fldCharType="begin"/>
      </w:r>
      <w:r>
        <w:rPr>
          <w:rFonts w:hint="eastAsia" w:ascii="仿宋" w:hAnsi="仿宋" w:eastAsia="仿宋" w:cs="仿宋"/>
          <w:b w:val="0"/>
          <w:bCs w:val="0"/>
        </w:rPr>
        <w:instrText xml:space="preserve"> eq \o\ac(</w:instrText>
      </w:r>
      <w:r>
        <w:rPr>
          <w:rFonts w:hint="eastAsia" w:ascii="仿宋" w:hAnsi="仿宋" w:eastAsia="仿宋" w:cs="仿宋"/>
          <w:b w:val="0"/>
          <w:bCs w:val="0"/>
          <w:position w:val="-2"/>
          <w:sz w:val="31"/>
        </w:rPr>
        <w:instrText xml:space="preserve">○</w:instrText>
      </w:r>
      <w:r>
        <w:rPr>
          <w:rFonts w:hint="eastAsia" w:ascii="仿宋" w:hAnsi="仿宋" w:eastAsia="仿宋" w:cs="仿宋"/>
          <w:b w:val="0"/>
          <w:bCs w:val="0"/>
        </w:rPr>
        <w:instrText xml:space="preserve">,21)</w:instrText>
      </w:r>
      <w:r>
        <w:rPr>
          <w:rFonts w:hint="eastAsia" w:ascii="仿宋" w:hAnsi="仿宋" w:eastAsia="仿宋" w:cs="仿宋"/>
          <w:b w:val="0"/>
          <w:bCs w:val="0"/>
        </w:rPr>
        <w:fldChar w:fldCharType="end"/>
      </w:r>
      <w:r>
        <w:rPr>
          <w:rFonts w:hint="eastAsia" w:ascii="仿宋" w:hAnsi="仿宋" w:eastAsia="仿宋" w:cs="仿宋"/>
          <w:sz w:val="24"/>
          <w:szCs w:val="22"/>
        </w:rPr>
        <w:t>提供投资与权益间的相关设置；提供企业内部交易的相关设置；</w:t>
      </w:r>
    </w:p>
    <w:p w14:paraId="65F11262">
      <w:pPr>
        <w:spacing w:line="360" w:lineRule="auto"/>
        <w:ind w:left="480"/>
        <w:rPr>
          <w:rFonts w:hint="eastAsia" w:ascii="仿宋" w:hAnsi="仿宋" w:eastAsia="仿宋" w:cs="仿宋"/>
          <w:sz w:val="24"/>
          <w:szCs w:val="22"/>
        </w:rPr>
      </w:pPr>
      <w:r>
        <w:rPr>
          <w:rFonts w:hint="eastAsia" w:ascii="仿宋" w:hAnsi="仿宋" w:eastAsia="仿宋" w:cs="仿宋"/>
          <w:b w:val="0"/>
          <w:bCs w:val="0"/>
        </w:rPr>
        <w:fldChar w:fldCharType="begin"/>
      </w:r>
      <w:r>
        <w:rPr>
          <w:rFonts w:hint="eastAsia" w:ascii="仿宋" w:hAnsi="仿宋" w:eastAsia="仿宋" w:cs="仿宋"/>
          <w:b w:val="0"/>
          <w:bCs w:val="0"/>
        </w:rPr>
        <w:instrText xml:space="preserve"> eq \o\ac(</w:instrText>
      </w:r>
      <w:r>
        <w:rPr>
          <w:rFonts w:hint="eastAsia" w:ascii="仿宋" w:hAnsi="仿宋" w:eastAsia="仿宋" w:cs="仿宋"/>
          <w:b w:val="0"/>
          <w:bCs w:val="0"/>
          <w:position w:val="-2"/>
          <w:sz w:val="31"/>
        </w:rPr>
        <w:instrText xml:space="preserve">○</w:instrText>
      </w:r>
      <w:r>
        <w:rPr>
          <w:rFonts w:hint="eastAsia" w:ascii="仿宋" w:hAnsi="仿宋" w:eastAsia="仿宋" w:cs="仿宋"/>
          <w:b w:val="0"/>
          <w:bCs w:val="0"/>
        </w:rPr>
        <w:instrText xml:space="preserve">,22)</w:instrText>
      </w:r>
      <w:r>
        <w:rPr>
          <w:rFonts w:hint="eastAsia" w:ascii="仿宋" w:hAnsi="仿宋" w:eastAsia="仿宋" w:cs="仿宋"/>
          <w:b w:val="0"/>
          <w:bCs w:val="0"/>
        </w:rPr>
        <w:fldChar w:fldCharType="end"/>
      </w:r>
      <w:r>
        <w:rPr>
          <w:rFonts w:hint="eastAsia" w:ascii="仿宋" w:hAnsi="仿宋" w:eastAsia="仿宋" w:cs="仿宋"/>
          <w:sz w:val="24"/>
          <w:szCs w:val="22"/>
        </w:rPr>
        <w:t>提供工作底稿模板的编制向导；</w:t>
      </w:r>
    </w:p>
    <w:p w14:paraId="4075360A">
      <w:pPr>
        <w:spacing w:line="360" w:lineRule="auto"/>
        <w:ind w:left="480"/>
        <w:rPr>
          <w:rFonts w:hint="eastAsia" w:ascii="仿宋" w:hAnsi="仿宋" w:eastAsia="仿宋" w:cs="仿宋"/>
          <w:sz w:val="24"/>
          <w:szCs w:val="22"/>
        </w:rPr>
      </w:pPr>
      <w:r>
        <w:rPr>
          <w:rFonts w:hint="eastAsia" w:ascii="仿宋" w:hAnsi="仿宋" w:eastAsia="仿宋" w:cs="仿宋"/>
          <w:b w:val="0"/>
          <w:bCs w:val="0"/>
        </w:rPr>
        <w:fldChar w:fldCharType="begin"/>
      </w:r>
      <w:r>
        <w:rPr>
          <w:rFonts w:hint="eastAsia" w:ascii="仿宋" w:hAnsi="仿宋" w:eastAsia="仿宋" w:cs="仿宋"/>
          <w:b w:val="0"/>
          <w:bCs w:val="0"/>
        </w:rPr>
        <w:instrText xml:space="preserve"> eq \o\ac(</w:instrText>
      </w:r>
      <w:r>
        <w:rPr>
          <w:rFonts w:hint="eastAsia" w:ascii="仿宋" w:hAnsi="仿宋" w:eastAsia="仿宋" w:cs="仿宋"/>
          <w:b w:val="0"/>
          <w:bCs w:val="0"/>
          <w:position w:val="-2"/>
          <w:sz w:val="31"/>
        </w:rPr>
        <w:instrText xml:space="preserve">○</w:instrText>
      </w:r>
      <w:r>
        <w:rPr>
          <w:rFonts w:hint="eastAsia" w:ascii="仿宋" w:hAnsi="仿宋" w:eastAsia="仿宋" w:cs="仿宋"/>
          <w:b w:val="0"/>
          <w:bCs w:val="0"/>
        </w:rPr>
        <w:instrText xml:space="preserve">,23)</w:instrText>
      </w:r>
      <w:r>
        <w:rPr>
          <w:rFonts w:hint="eastAsia" w:ascii="仿宋" w:hAnsi="仿宋" w:eastAsia="仿宋" w:cs="仿宋"/>
          <w:b w:val="0"/>
          <w:bCs w:val="0"/>
        </w:rPr>
        <w:fldChar w:fldCharType="end"/>
      </w:r>
      <w:r>
        <w:rPr>
          <w:rFonts w:hint="eastAsia" w:ascii="仿宋" w:hAnsi="仿宋" w:eastAsia="仿宋" w:cs="仿宋"/>
          <w:sz w:val="24"/>
          <w:szCs w:val="22"/>
        </w:rPr>
        <w:t>提供合并报表版本化管理。</w:t>
      </w:r>
    </w:p>
    <w:p w14:paraId="4C8B18D4">
      <w:pPr>
        <w:pStyle w:val="6"/>
        <w:numPr>
          <w:ilvl w:val="0"/>
          <w:numId w:val="6"/>
        </w:numPr>
        <w:rPr>
          <w:rFonts w:hint="eastAsia" w:ascii="仿宋" w:hAnsi="仿宋" w:eastAsia="仿宋" w:cs="仿宋"/>
          <w:sz w:val="24"/>
          <w:szCs w:val="18"/>
        </w:rPr>
      </w:pPr>
      <w:r>
        <w:rPr>
          <w:rFonts w:hint="eastAsia" w:ascii="仿宋" w:hAnsi="仿宋" w:eastAsia="仿宋" w:cs="仿宋"/>
          <w:sz w:val="24"/>
          <w:szCs w:val="18"/>
        </w:rPr>
        <w:t>集团费用报销模块</w:t>
      </w:r>
    </w:p>
    <w:p w14:paraId="7E54EEE5">
      <w:pPr>
        <w:numPr>
          <w:ilvl w:val="0"/>
          <w:numId w:val="11"/>
        </w:numPr>
        <w:spacing w:line="360" w:lineRule="auto"/>
        <w:ind w:left="284" w:firstLine="284"/>
        <w:rPr>
          <w:rFonts w:hint="eastAsia" w:ascii="仿宋" w:hAnsi="仿宋" w:eastAsia="仿宋" w:cs="仿宋"/>
          <w:sz w:val="24"/>
          <w:szCs w:val="24"/>
        </w:rPr>
      </w:pPr>
      <w:r>
        <w:rPr>
          <w:rFonts w:hint="eastAsia" w:ascii="仿宋" w:hAnsi="仿宋" w:eastAsia="仿宋" w:cs="仿宋"/>
          <w:sz w:val="24"/>
          <w:szCs w:val="24"/>
        </w:rPr>
        <w:t>实现费用从申请到报销全流程管理，如差旅费报销，从出差申请开始，到差旅费报销并支付全过程。</w:t>
      </w:r>
    </w:p>
    <w:p w14:paraId="0B9A72B4">
      <w:pPr>
        <w:numPr>
          <w:ilvl w:val="0"/>
          <w:numId w:val="11"/>
        </w:numPr>
        <w:spacing w:line="360" w:lineRule="auto"/>
        <w:ind w:left="284" w:firstLine="284"/>
        <w:rPr>
          <w:rFonts w:hint="eastAsia" w:ascii="仿宋" w:hAnsi="仿宋" w:eastAsia="仿宋" w:cs="仿宋"/>
          <w:sz w:val="24"/>
          <w:szCs w:val="24"/>
        </w:rPr>
      </w:pPr>
      <w:r>
        <w:rPr>
          <w:rFonts w:hint="eastAsia" w:ascii="仿宋" w:hAnsi="仿宋" w:eastAsia="仿宋" w:cs="仿宋"/>
          <w:sz w:val="24"/>
          <w:szCs w:val="24"/>
        </w:rPr>
        <w:t>实现各项费用的网上报销管理，通过网上报销可实现部门费用的预算管控。</w:t>
      </w:r>
    </w:p>
    <w:p w14:paraId="206F1828">
      <w:pPr>
        <w:numPr>
          <w:ilvl w:val="0"/>
          <w:numId w:val="11"/>
        </w:numPr>
        <w:spacing w:line="360" w:lineRule="auto"/>
        <w:ind w:left="284" w:firstLine="284"/>
        <w:rPr>
          <w:rFonts w:hint="eastAsia" w:ascii="仿宋" w:hAnsi="仿宋" w:eastAsia="仿宋" w:cs="仿宋"/>
          <w:sz w:val="24"/>
          <w:szCs w:val="24"/>
        </w:rPr>
      </w:pPr>
      <w:r>
        <w:rPr>
          <w:rFonts w:hint="eastAsia" w:ascii="仿宋" w:hAnsi="仿宋" w:eastAsia="仿宋" w:cs="仿宋"/>
          <w:sz w:val="24"/>
          <w:szCs w:val="24"/>
        </w:rPr>
        <w:t>实现在费用报销到总账凭证一体化管理。</w:t>
      </w:r>
    </w:p>
    <w:p w14:paraId="07D5996B">
      <w:pPr>
        <w:numPr>
          <w:ilvl w:val="0"/>
          <w:numId w:val="11"/>
        </w:numPr>
        <w:spacing w:line="360" w:lineRule="auto"/>
        <w:ind w:left="284" w:firstLine="284"/>
        <w:rPr>
          <w:rFonts w:hint="eastAsia" w:ascii="仿宋" w:hAnsi="仿宋" w:eastAsia="仿宋" w:cs="仿宋"/>
          <w:sz w:val="24"/>
          <w:szCs w:val="24"/>
        </w:rPr>
      </w:pPr>
      <w:r>
        <w:rPr>
          <w:rFonts w:hint="eastAsia" w:ascii="仿宋" w:hAnsi="仿宋" w:eastAsia="仿宋" w:cs="仿宋"/>
          <w:sz w:val="24"/>
          <w:szCs w:val="24"/>
        </w:rPr>
        <w:t>实现员工对费用报销明细自助查询。</w:t>
      </w:r>
    </w:p>
    <w:p w14:paraId="18BF548F">
      <w:pPr>
        <w:numPr>
          <w:ilvl w:val="0"/>
          <w:numId w:val="11"/>
        </w:numPr>
        <w:spacing w:line="360" w:lineRule="auto"/>
        <w:ind w:left="284" w:firstLine="284"/>
        <w:rPr>
          <w:rFonts w:hint="eastAsia" w:ascii="仿宋" w:hAnsi="仿宋" w:eastAsia="仿宋" w:cs="仿宋"/>
          <w:sz w:val="24"/>
          <w:szCs w:val="24"/>
        </w:rPr>
      </w:pPr>
      <w:r>
        <w:rPr>
          <w:rFonts w:hint="eastAsia" w:ascii="仿宋" w:hAnsi="仿宋" w:eastAsia="仿宋" w:cs="仿宋"/>
          <w:sz w:val="24"/>
          <w:szCs w:val="24"/>
        </w:rPr>
        <w:t>实现按不同的费用类别定义自动产生费用科目功能。</w:t>
      </w:r>
    </w:p>
    <w:p w14:paraId="01431DE1">
      <w:pPr>
        <w:numPr>
          <w:ilvl w:val="0"/>
          <w:numId w:val="11"/>
        </w:numPr>
        <w:spacing w:line="360" w:lineRule="auto"/>
        <w:ind w:left="284" w:firstLine="284"/>
        <w:rPr>
          <w:rFonts w:hint="eastAsia" w:ascii="仿宋" w:hAnsi="仿宋" w:eastAsia="仿宋" w:cs="仿宋"/>
          <w:sz w:val="24"/>
          <w:szCs w:val="24"/>
        </w:rPr>
      </w:pPr>
      <w:r>
        <w:rPr>
          <w:rFonts w:hint="eastAsia" w:ascii="仿宋" w:hAnsi="仿宋" w:eastAsia="仿宋" w:cs="仿宋"/>
          <w:sz w:val="24"/>
          <w:szCs w:val="24"/>
        </w:rPr>
        <w:t>实现事前申请、借款、报销等工作流审批定义管理。</w:t>
      </w:r>
    </w:p>
    <w:p w14:paraId="0F10405C">
      <w:pPr>
        <w:numPr>
          <w:ilvl w:val="0"/>
          <w:numId w:val="11"/>
        </w:numPr>
        <w:spacing w:line="360" w:lineRule="auto"/>
        <w:ind w:left="284" w:firstLine="284"/>
        <w:rPr>
          <w:rFonts w:hint="eastAsia" w:ascii="仿宋" w:hAnsi="仿宋" w:eastAsia="仿宋" w:cs="仿宋"/>
          <w:sz w:val="24"/>
          <w:szCs w:val="24"/>
        </w:rPr>
      </w:pPr>
      <w:r>
        <w:rPr>
          <w:rFonts w:hint="eastAsia" w:ascii="仿宋" w:hAnsi="仿宋" w:eastAsia="仿宋" w:cs="仿宋"/>
          <w:sz w:val="24"/>
          <w:szCs w:val="24"/>
        </w:rPr>
        <w:t>实现费用报销与预算的联用，做到费用的申请、报销等环节和预算进行对比，并做到相应的控制。</w:t>
      </w:r>
    </w:p>
    <w:p w14:paraId="0D977202">
      <w:pPr>
        <w:pStyle w:val="6"/>
        <w:numPr>
          <w:ilvl w:val="0"/>
          <w:numId w:val="6"/>
        </w:numPr>
        <w:rPr>
          <w:rFonts w:hint="eastAsia" w:ascii="仿宋" w:hAnsi="仿宋" w:eastAsia="仿宋" w:cs="仿宋"/>
          <w:sz w:val="24"/>
          <w:szCs w:val="24"/>
        </w:rPr>
      </w:pPr>
      <w:r>
        <w:rPr>
          <w:rFonts w:hint="eastAsia" w:ascii="仿宋" w:hAnsi="仿宋" w:eastAsia="仿宋" w:cs="仿宋"/>
          <w:sz w:val="24"/>
          <w:szCs w:val="24"/>
        </w:rPr>
        <w:t>集团全面预算管理模块</w:t>
      </w:r>
    </w:p>
    <w:p w14:paraId="00F636D2">
      <w:pPr>
        <w:numPr>
          <w:ilvl w:val="0"/>
          <w:numId w:val="12"/>
        </w:numPr>
        <w:spacing w:line="360" w:lineRule="auto"/>
        <w:rPr>
          <w:rFonts w:hint="eastAsia" w:ascii="仿宋" w:hAnsi="仿宋" w:eastAsia="仿宋" w:cs="仿宋"/>
          <w:bCs/>
          <w:sz w:val="24"/>
          <w:szCs w:val="24"/>
        </w:rPr>
      </w:pPr>
      <w:r>
        <w:rPr>
          <w:rFonts w:hint="eastAsia" w:ascii="仿宋" w:hAnsi="仿宋" w:eastAsia="仿宋" w:cs="仿宋"/>
          <w:bCs/>
          <w:sz w:val="24"/>
          <w:szCs w:val="24"/>
        </w:rPr>
        <w:t>预算总体建设要求：</w:t>
      </w:r>
    </w:p>
    <w:p w14:paraId="71A9CBE2">
      <w:pPr>
        <w:pStyle w:val="19"/>
        <w:numPr>
          <w:ilvl w:val="0"/>
          <w:numId w:val="0"/>
        </w:numPr>
        <w:spacing w:line="360" w:lineRule="auto"/>
        <w:ind w:left="178" w:leftChars="85" w:firstLine="540" w:firstLineChars="225"/>
        <w:rPr>
          <w:rFonts w:hint="eastAsia" w:ascii="仿宋" w:hAnsi="仿宋" w:eastAsia="仿宋" w:cs="仿宋"/>
          <w:sz w:val="24"/>
          <w:szCs w:val="24"/>
        </w:rPr>
      </w:pPr>
      <w:r>
        <w:rPr>
          <w:rFonts w:hint="eastAsia" w:ascii="仿宋" w:hAnsi="仿宋" w:eastAsia="仿宋" w:cs="仿宋"/>
          <w:sz w:val="24"/>
          <w:szCs w:val="24"/>
        </w:rPr>
        <w:t>供销联社全面预算管理横向上将公司战略、计划与预算编制、执行控制、绩效考核紧密结合，实现预算管理的“全面、全员、全过程”的闭环管理，形成业务到财务的贯通，对各项关键业务进行处理和监控，实现财务、实物和人力资源优化配置；纵向上，形成市供销联社本部到末级单位的数据贯通，提高预算管理效率及准确性，增强市供销联社管控水平，提升市供销联社公司整体预算及绩效管理能力。</w:t>
      </w:r>
    </w:p>
    <w:p w14:paraId="7BBE4D58">
      <w:pPr>
        <w:pStyle w:val="19"/>
        <w:numPr>
          <w:ilvl w:val="0"/>
          <w:numId w:val="0"/>
        </w:numPr>
        <w:spacing w:line="360" w:lineRule="auto"/>
        <w:ind w:left="178" w:leftChars="85" w:firstLine="540" w:firstLineChars="225"/>
        <w:rPr>
          <w:rFonts w:hint="eastAsia" w:ascii="仿宋" w:hAnsi="仿宋" w:eastAsia="仿宋" w:cs="仿宋"/>
          <w:sz w:val="24"/>
          <w:szCs w:val="24"/>
        </w:rPr>
      </w:pPr>
      <w:r>
        <w:rPr>
          <w:rFonts w:hint="eastAsia" w:ascii="仿宋" w:hAnsi="仿宋" w:eastAsia="仿宋" w:cs="仿宋"/>
          <w:sz w:val="24"/>
          <w:szCs w:val="24"/>
        </w:rPr>
        <w:t>供销联社的预算系统建设必须要实现分级管控需求，市供销联社与下级单位按照不同管控要求设置预算方案和行业科目体系，即满足市供销联社集中统一的要求，又要满足各下属公司行业经营管理的实际需要，做到集中管理与个性兼容。</w:t>
      </w:r>
    </w:p>
    <w:p w14:paraId="1DA275C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具体而言，市供销联社的预算管理子系统建设需要包括7个方面的主要内容： </w:t>
      </w:r>
    </w:p>
    <w:p w14:paraId="79A9ACC3">
      <w:pPr>
        <w:pStyle w:val="19"/>
        <w:numPr>
          <w:ilvl w:val="0"/>
          <w:numId w:val="0"/>
        </w:numPr>
        <w:tabs>
          <w:tab w:val="left" w:pos="540"/>
        </w:tabs>
        <w:spacing w:line="360" w:lineRule="auto"/>
        <w:ind w:left="893" w:hanging="1020" w:hangingChars="425"/>
        <w:rPr>
          <w:rFonts w:hint="eastAsia" w:ascii="仿宋" w:hAnsi="仿宋" w:eastAsia="仿宋" w:cs="仿宋"/>
          <w:sz w:val="24"/>
          <w:szCs w:val="24"/>
        </w:rPr>
      </w:pPr>
      <w:r>
        <w:rPr>
          <w:rFonts w:hint="eastAsia" w:ascii="仿宋" w:hAnsi="仿宋" w:eastAsia="仿宋" w:cs="仿宋"/>
          <w:sz w:val="24"/>
          <w:szCs w:val="24"/>
        </w:rPr>
        <w:t xml:space="preserve">     ①梳理优化管控模式及体系</w:t>
      </w:r>
    </w:p>
    <w:p w14:paraId="11253F8D">
      <w:pPr>
        <w:pStyle w:val="19"/>
        <w:numPr>
          <w:ilvl w:val="0"/>
          <w:numId w:val="0"/>
        </w:numPr>
        <w:tabs>
          <w:tab w:val="left" w:pos="540"/>
        </w:tabs>
        <w:spacing w:line="360" w:lineRule="auto"/>
        <w:ind w:left="196" w:firstLine="285" w:firstLineChars="119"/>
        <w:rPr>
          <w:rFonts w:hint="eastAsia" w:ascii="仿宋" w:hAnsi="仿宋" w:eastAsia="仿宋" w:cs="仿宋"/>
          <w:sz w:val="24"/>
          <w:szCs w:val="24"/>
        </w:rPr>
      </w:pPr>
      <w:r>
        <w:rPr>
          <w:rFonts w:hint="eastAsia" w:ascii="仿宋" w:hAnsi="仿宋" w:eastAsia="仿宋" w:cs="仿宋"/>
          <w:sz w:val="24"/>
          <w:szCs w:val="24"/>
        </w:rPr>
        <w:t xml:space="preserve">  通过梳理企业业务及管理现状，明确针对不同业务的管控模式，确定管控指标体系； </w:t>
      </w:r>
    </w:p>
    <w:p w14:paraId="26836E00">
      <w:pPr>
        <w:pStyle w:val="19"/>
        <w:numPr>
          <w:ilvl w:val="0"/>
          <w:numId w:val="0"/>
        </w:numPr>
        <w:tabs>
          <w:tab w:val="left" w:pos="540"/>
        </w:tabs>
        <w:spacing w:line="360" w:lineRule="auto"/>
        <w:ind w:left="224" w:firstLine="256" w:firstLineChars="107"/>
        <w:rPr>
          <w:rFonts w:hint="eastAsia" w:ascii="仿宋" w:hAnsi="仿宋" w:eastAsia="仿宋" w:cs="仿宋"/>
          <w:sz w:val="24"/>
          <w:szCs w:val="24"/>
        </w:rPr>
      </w:pPr>
      <w:r>
        <w:rPr>
          <w:rFonts w:hint="eastAsia" w:ascii="仿宋" w:hAnsi="仿宋" w:eastAsia="仿宋" w:cs="仿宋"/>
          <w:sz w:val="24"/>
          <w:szCs w:val="24"/>
        </w:rPr>
        <w:t xml:space="preserve">  通过优化设计不同业务管理的责任体系，统一管理流程，提高全面预算管理的有效性与效率； </w:t>
      </w:r>
    </w:p>
    <w:p w14:paraId="63AC12CC">
      <w:pPr>
        <w:pStyle w:val="19"/>
        <w:numPr>
          <w:ilvl w:val="0"/>
          <w:numId w:val="0"/>
        </w:numPr>
        <w:tabs>
          <w:tab w:val="left" w:pos="540"/>
        </w:tabs>
        <w:spacing w:line="360" w:lineRule="auto"/>
        <w:ind w:left="284"/>
        <w:rPr>
          <w:rFonts w:hint="eastAsia" w:ascii="仿宋" w:hAnsi="仿宋" w:eastAsia="仿宋" w:cs="仿宋"/>
          <w:sz w:val="24"/>
          <w:szCs w:val="24"/>
        </w:rPr>
      </w:pPr>
      <w:r>
        <w:rPr>
          <w:rFonts w:hint="eastAsia" w:ascii="仿宋" w:hAnsi="仿宋" w:eastAsia="仿宋" w:cs="仿宋"/>
          <w:sz w:val="24"/>
          <w:szCs w:val="24"/>
        </w:rPr>
        <w:t xml:space="preserve">   建立市供销联社层面与二级单位、三级单位的分层级预算管控，实现预算管理在纵向组织架构层级的贯通； </w:t>
      </w:r>
    </w:p>
    <w:p w14:paraId="7E36C357">
      <w:pPr>
        <w:pStyle w:val="19"/>
        <w:numPr>
          <w:ilvl w:val="0"/>
          <w:numId w:val="0"/>
        </w:numPr>
        <w:tabs>
          <w:tab w:val="left" w:pos="540"/>
        </w:tabs>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 xml:space="preserve"> 建立国内先进、科学的预算管理体系，帮助供销联社对已有的预算表格体系进行优化和完善，建立科学的预算表格体系。</w:t>
      </w:r>
    </w:p>
    <w:p w14:paraId="3C3276DF">
      <w:pPr>
        <w:pStyle w:val="19"/>
        <w:numPr>
          <w:ilvl w:val="0"/>
          <w:numId w:val="0"/>
        </w:numPr>
        <w:spacing w:line="360" w:lineRule="auto"/>
        <w:ind w:left="237" w:leftChars="113" w:firstLine="26" w:firstLineChars="11"/>
        <w:rPr>
          <w:rFonts w:hint="eastAsia" w:ascii="仿宋" w:hAnsi="仿宋" w:eastAsia="仿宋" w:cs="仿宋"/>
          <w:sz w:val="24"/>
          <w:szCs w:val="24"/>
        </w:rPr>
      </w:pPr>
      <w:r>
        <w:rPr>
          <w:rFonts w:hint="eastAsia" w:ascii="仿宋" w:hAnsi="仿宋" w:eastAsia="仿宋" w:cs="仿宋"/>
          <w:sz w:val="24"/>
          <w:szCs w:val="24"/>
        </w:rPr>
        <w:t xml:space="preserve">  ② 预算指标与分析 </w:t>
      </w:r>
    </w:p>
    <w:p w14:paraId="71C89499">
      <w:pPr>
        <w:pStyle w:val="19"/>
        <w:numPr>
          <w:ilvl w:val="0"/>
          <w:numId w:val="0"/>
        </w:numPr>
        <w:tabs>
          <w:tab w:val="left" w:pos="540"/>
        </w:tabs>
        <w:spacing w:line="360" w:lineRule="auto"/>
        <w:ind w:left="284" w:firstLine="196" w:firstLineChars="82"/>
        <w:rPr>
          <w:rFonts w:hint="eastAsia" w:ascii="仿宋" w:hAnsi="仿宋" w:eastAsia="仿宋" w:cs="仿宋"/>
          <w:sz w:val="24"/>
          <w:szCs w:val="24"/>
        </w:rPr>
      </w:pPr>
      <w:r>
        <w:rPr>
          <w:rFonts w:hint="eastAsia" w:ascii="仿宋" w:hAnsi="仿宋" w:eastAsia="仿宋" w:cs="仿宋"/>
          <w:sz w:val="24"/>
          <w:szCs w:val="24"/>
        </w:rPr>
        <w:t xml:space="preserve">  支持年度预算启动编制前的目标设定环节，在系统中测算关键财务指标，并进行分解下达，指导预算编制；</w:t>
      </w:r>
    </w:p>
    <w:p w14:paraId="73E48C60">
      <w:pPr>
        <w:pStyle w:val="19"/>
        <w:numPr>
          <w:ilvl w:val="0"/>
          <w:numId w:val="0"/>
        </w:numPr>
        <w:tabs>
          <w:tab w:val="left" w:pos="540"/>
        </w:tabs>
        <w:spacing w:line="360" w:lineRule="auto"/>
        <w:ind w:left="284" w:firstLine="436" w:firstLineChars="182"/>
        <w:rPr>
          <w:rFonts w:hint="eastAsia" w:ascii="仿宋" w:hAnsi="仿宋" w:eastAsia="仿宋" w:cs="仿宋"/>
          <w:sz w:val="24"/>
          <w:szCs w:val="24"/>
        </w:rPr>
      </w:pPr>
      <w:r>
        <w:rPr>
          <w:rFonts w:hint="eastAsia" w:ascii="仿宋" w:hAnsi="仿宋" w:eastAsia="仿宋" w:cs="仿宋"/>
          <w:sz w:val="24"/>
          <w:szCs w:val="24"/>
        </w:rPr>
        <w:t>基于定义的市供销联社预算指标、或各公司定义的行业预算指标，实现预算计划数与执行数的分析，包括对比分析、差异分析等方法，形成不同预算责任主体或预算指标的分析报表。</w:t>
      </w:r>
    </w:p>
    <w:p w14:paraId="6A5A0823">
      <w:pPr>
        <w:pStyle w:val="19"/>
        <w:numPr>
          <w:ilvl w:val="0"/>
          <w:numId w:val="0"/>
        </w:numPr>
        <w:tabs>
          <w:tab w:val="left" w:pos="540"/>
        </w:tabs>
        <w:spacing w:line="360" w:lineRule="auto"/>
        <w:ind w:left="1018" w:leftChars="100" w:hanging="808" w:hangingChars="337"/>
        <w:rPr>
          <w:rFonts w:hint="eastAsia" w:ascii="仿宋" w:hAnsi="仿宋" w:eastAsia="仿宋" w:cs="仿宋"/>
          <w:sz w:val="24"/>
          <w:szCs w:val="24"/>
        </w:rPr>
      </w:pPr>
      <w:r>
        <w:rPr>
          <w:rFonts w:hint="eastAsia" w:ascii="仿宋" w:hAnsi="仿宋" w:eastAsia="仿宋" w:cs="仿宋"/>
          <w:sz w:val="24"/>
          <w:szCs w:val="24"/>
        </w:rPr>
        <w:t xml:space="preserve">   ③建立预算标准定额体系</w:t>
      </w:r>
    </w:p>
    <w:p w14:paraId="4D2171C6">
      <w:pPr>
        <w:pStyle w:val="19"/>
        <w:numPr>
          <w:ilvl w:val="0"/>
          <w:numId w:val="0"/>
        </w:numPr>
        <w:tabs>
          <w:tab w:val="left" w:pos="540"/>
        </w:tabs>
        <w:spacing w:line="360" w:lineRule="auto"/>
        <w:ind w:left="0" w:leftChars="-105" w:hanging="220" w:hangingChars="92"/>
        <w:rPr>
          <w:rFonts w:hint="eastAsia" w:ascii="仿宋" w:hAnsi="仿宋" w:eastAsia="仿宋" w:cs="仿宋"/>
          <w:sz w:val="24"/>
          <w:szCs w:val="24"/>
        </w:rPr>
      </w:pPr>
      <w:r>
        <w:rPr>
          <w:rFonts w:hint="eastAsia" w:ascii="仿宋" w:hAnsi="仿宋" w:eastAsia="仿宋" w:cs="仿宋"/>
          <w:sz w:val="24"/>
          <w:szCs w:val="24"/>
        </w:rPr>
        <w:t xml:space="preserve">      根据核心业务，设计不同行业的标准定额体系，以定额标准作为依据，提高预算编制依据、效率及效果；</w:t>
      </w:r>
    </w:p>
    <w:p w14:paraId="04F81F8E">
      <w:pPr>
        <w:pStyle w:val="19"/>
        <w:numPr>
          <w:ilvl w:val="0"/>
          <w:numId w:val="0"/>
        </w:numPr>
        <w:tabs>
          <w:tab w:val="left" w:pos="540"/>
        </w:tabs>
        <w:spacing w:line="360" w:lineRule="auto"/>
        <w:ind w:left="893" w:hanging="1020" w:hangingChars="425"/>
        <w:rPr>
          <w:rFonts w:hint="eastAsia" w:ascii="仿宋" w:hAnsi="仿宋" w:eastAsia="仿宋" w:cs="仿宋"/>
          <w:sz w:val="24"/>
          <w:szCs w:val="24"/>
        </w:rPr>
      </w:pPr>
      <w:r>
        <w:rPr>
          <w:rFonts w:hint="eastAsia" w:ascii="仿宋" w:hAnsi="仿宋" w:eastAsia="仿宋" w:cs="仿宋"/>
          <w:sz w:val="24"/>
          <w:szCs w:val="24"/>
        </w:rPr>
        <w:t xml:space="preserve">     ④业务、财务一体化的预算编制模型</w:t>
      </w:r>
    </w:p>
    <w:p w14:paraId="36B44A5B">
      <w:pPr>
        <w:pStyle w:val="19"/>
        <w:numPr>
          <w:ilvl w:val="0"/>
          <w:numId w:val="0"/>
        </w:numPr>
        <w:tabs>
          <w:tab w:val="left" w:pos="540"/>
        </w:tabs>
        <w:spacing w:line="360" w:lineRule="auto"/>
        <w:ind w:left="2" w:firstLine="480" w:firstLineChars="200"/>
        <w:rPr>
          <w:rFonts w:hint="eastAsia" w:ascii="仿宋" w:hAnsi="仿宋" w:eastAsia="仿宋" w:cs="仿宋"/>
          <w:sz w:val="24"/>
          <w:szCs w:val="24"/>
        </w:rPr>
      </w:pPr>
      <w:r>
        <w:rPr>
          <w:rFonts w:hint="eastAsia" w:ascii="仿宋" w:hAnsi="仿宋" w:eastAsia="仿宋" w:cs="仿宋"/>
          <w:sz w:val="24"/>
          <w:szCs w:val="24"/>
        </w:rPr>
        <w:t xml:space="preserve">建立市供销联社预算管理的标准化方法、流程及管控模式，加强公司管控，将预算编制工作标准化，流程化，建立主动、真实和科学的预算框架； </w:t>
      </w:r>
    </w:p>
    <w:p w14:paraId="3980C975">
      <w:pPr>
        <w:pStyle w:val="19"/>
        <w:numPr>
          <w:ilvl w:val="0"/>
          <w:numId w:val="0"/>
        </w:numPr>
        <w:tabs>
          <w:tab w:val="left" w:pos="540"/>
        </w:tabs>
        <w:spacing w:line="360" w:lineRule="auto"/>
        <w:ind w:left="2" w:firstLine="480" w:firstLineChars="200"/>
        <w:rPr>
          <w:rFonts w:hint="eastAsia" w:ascii="仿宋" w:hAnsi="仿宋" w:eastAsia="仿宋" w:cs="仿宋"/>
          <w:sz w:val="24"/>
          <w:szCs w:val="24"/>
        </w:rPr>
      </w:pPr>
      <w:r>
        <w:rPr>
          <w:rFonts w:hint="eastAsia" w:ascii="仿宋" w:hAnsi="仿宋" w:eastAsia="仿宋" w:cs="仿宋"/>
          <w:sz w:val="24"/>
          <w:szCs w:val="24"/>
        </w:rPr>
        <w:t xml:space="preserve">预算子系统要覆盖从业务到财务的全方面内容，建立业务预算与财务预算的勾稽关联，实现多业务形态下业务数据预算、成本费用预算、销售预算、人力资源预算、项目预算、固定资产预算等与财务预算的有效衔接； </w:t>
      </w:r>
    </w:p>
    <w:p w14:paraId="1FB9C87A">
      <w:pPr>
        <w:pStyle w:val="19"/>
        <w:numPr>
          <w:ilvl w:val="0"/>
          <w:numId w:val="0"/>
        </w:numPr>
        <w:tabs>
          <w:tab w:val="left" w:pos="540"/>
        </w:tabs>
        <w:spacing w:line="360" w:lineRule="auto"/>
        <w:ind w:left="2" w:firstLine="480" w:firstLineChars="200"/>
        <w:rPr>
          <w:rFonts w:hint="eastAsia" w:ascii="仿宋" w:hAnsi="仿宋" w:eastAsia="仿宋" w:cs="仿宋"/>
          <w:sz w:val="24"/>
          <w:szCs w:val="24"/>
        </w:rPr>
      </w:pPr>
      <w:r>
        <w:rPr>
          <w:rFonts w:hint="eastAsia" w:ascii="仿宋" w:hAnsi="仿宋" w:eastAsia="仿宋" w:cs="仿宋"/>
          <w:sz w:val="24"/>
          <w:szCs w:val="24"/>
        </w:rPr>
        <w:t xml:space="preserve">预算子系统的架构及逻辑框架设计要能够支撑市供销联社多业务板块运营的特点，覆盖横向业务范围，做到各板块的协同统一； </w:t>
      </w:r>
    </w:p>
    <w:p w14:paraId="37E4B421">
      <w:pPr>
        <w:pStyle w:val="19"/>
        <w:numPr>
          <w:ilvl w:val="0"/>
          <w:numId w:val="0"/>
        </w:numPr>
        <w:tabs>
          <w:tab w:val="left" w:pos="540"/>
        </w:tabs>
        <w:spacing w:line="360" w:lineRule="auto"/>
        <w:ind w:left="2" w:firstLine="480" w:firstLineChars="200"/>
        <w:rPr>
          <w:rFonts w:hint="eastAsia" w:ascii="仿宋" w:hAnsi="仿宋" w:eastAsia="仿宋" w:cs="仿宋"/>
          <w:sz w:val="24"/>
          <w:szCs w:val="24"/>
        </w:rPr>
      </w:pPr>
      <w:r>
        <w:rPr>
          <w:rFonts w:hint="eastAsia" w:ascii="仿宋" w:hAnsi="仿宋" w:eastAsia="仿宋" w:cs="仿宋"/>
          <w:sz w:val="24"/>
          <w:szCs w:val="24"/>
        </w:rPr>
        <w:t>基于预算系统的自动化、灵活性、直观性的支撑能力，以及预算管理报告、审批报表的设计，提高预算编制效率，使预算的决策审批更科学有效；</w:t>
      </w:r>
    </w:p>
    <w:p w14:paraId="7C44E10E">
      <w:pPr>
        <w:pStyle w:val="19"/>
        <w:numPr>
          <w:ilvl w:val="0"/>
          <w:numId w:val="0"/>
        </w:numPr>
        <w:tabs>
          <w:tab w:val="left" w:pos="540"/>
        </w:tabs>
        <w:spacing w:line="360" w:lineRule="auto"/>
        <w:ind w:left="893" w:hanging="1020" w:hangingChars="425"/>
        <w:rPr>
          <w:rFonts w:hint="eastAsia" w:ascii="仿宋" w:hAnsi="仿宋" w:eastAsia="仿宋" w:cs="仿宋"/>
          <w:sz w:val="24"/>
          <w:szCs w:val="24"/>
        </w:rPr>
      </w:pPr>
      <w:r>
        <w:rPr>
          <w:rFonts w:hint="eastAsia" w:ascii="仿宋" w:hAnsi="仿宋" w:eastAsia="仿宋" w:cs="仿宋"/>
          <w:sz w:val="24"/>
          <w:szCs w:val="24"/>
        </w:rPr>
        <w:t xml:space="preserve">     ⑤预算执行控制</w:t>
      </w:r>
    </w:p>
    <w:p w14:paraId="0628404A">
      <w:pPr>
        <w:pStyle w:val="19"/>
        <w:numPr>
          <w:ilvl w:val="0"/>
          <w:numId w:val="0"/>
        </w:numPr>
        <w:spacing w:line="360" w:lineRule="auto"/>
        <w:ind w:left="28" w:firstLine="532"/>
        <w:rPr>
          <w:rFonts w:hint="eastAsia" w:ascii="仿宋" w:hAnsi="仿宋" w:eastAsia="仿宋" w:cs="仿宋"/>
          <w:sz w:val="24"/>
          <w:szCs w:val="24"/>
        </w:rPr>
      </w:pPr>
      <w:r>
        <w:rPr>
          <w:rFonts w:hint="eastAsia" w:ascii="仿宋" w:hAnsi="仿宋" w:eastAsia="仿宋" w:cs="仿宋"/>
          <w:sz w:val="24"/>
          <w:szCs w:val="24"/>
        </w:rPr>
        <w:t>设计预算控制的方式，关键节点，变更等内容，做到实际发生额根据预算情况进行实时控制；</w:t>
      </w:r>
    </w:p>
    <w:p w14:paraId="606D1492">
      <w:pPr>
        <w:pStyle w:val="19"/>
        <w:numPr>
          <w:ilvl w:val="0"/>
          <w:numId w:val="0"/>
        </w:numPr>
        <w:tabs>
          <w:tab w:val="left" w:pos="540"/>
        </w:tabs>
        <w:spacing w:line="360" w:lineRule="auto"/>
        <w:ind w:left="1020" w:hanging="1020"/>
        <w:rPr>
          <w:rFonts w:hint="eastAsia" w:ascii="仿宋" w:hAnsi="仿宋" w:eastAsia="仿宋" w:cs="仿宋"/>
          <w:sz w:val="24"/>
          <w:szCs w:val="24"/>
        </w:rPr>
      </w:pPr>
      <w:r>
        <w:rPr>
          <w:rFonts w:hint="eastAsia" w:ascii="仿宋" w:hAnsi="仿宋" w:eastAsia="仿宋" w:cs="仿宋"/>
          <w:sz w:val="24"/>
          <w:szCs w:val="24"/>
        </w:rPr>
        <w:t xml:space="preserve">     ⑥对绩效管理的支持 </w:t>
      </w:r>
    </w:p>
    <w:p w14:paraId="0BEE9386">
      <w:pPr>
        <w:pStyle w:val="19"/>
        <w:numPr>
          <w:ilvl w:val="0"/>
          <w:numId w:val="0"/>
        </w:numPr>
        <w:spacing w:line="360" w:lineRule="auto"/>
        <w:ind w:left="-14" w:firstLine="439" w:firstLineChars="183"/>
        <w:rPr>
          <w:rFonts w:hint="eastAsia" w:ascii="仿宋" w:hAnsi="仿宋" w:eastAsia="仿宋" w:cs="仿宋"/>
          <w:sz w:val="24"/>
          <w:szCs w:val="24"/>
        </w:rPr>
      </w:pPr>
      <w:r>
        <w:rPr>
          <w:rFonts w:hint="eastAsia" w:ascii="仿宋" w:hAnsi="仿宋" w:eastAsia="仿宋" w:cs="仿宋"/>
          <w:sz w:val="24"/>
          <w:szCs w:val="24"/>
        </w:rPr>
        <w:t xml:space="preserve"> 实现预算管理对业务执行、绩效考核的支持，即以预算下达的内容为实际业务执行监控、分析、考核的依据，设计基于多绩效考核方案的预算指标分解体系，保障预算管理对企业绩效考核的支持力度。</w:t>
      </w:r>
    </w:p>
    <w:p w14:paraId="7E72E035">
      <w:pPr>
        <w:pStyle w:val="19"/>
        <w:numPr>
          <w:ilvl w:val="0"/>
          <w:numId w:val="0"/>
        </w:numPr>
        <w:tabs>
          <w:tab w:val="left" w:pos="540"/>
        </w:tabs>
        <w:spacing w:line="360" w:lineRule="auto"/>
        <w:ind w:left="2" w:firstLine="480" w:firstLineChars="200"/>
        <w:rPr>
          <w:rFonts w:hint="eastAsia" w:ascii="仿宋" w:hAnsi="仿宋" w:eastAsia="仿宋" w:cs="仿宋"/>
          <w:sz w:val="24"/>
          <w:szCs w:val="24"/>
        </w:rPr>
      </w:pPr>
      <w:r>
        <w:rPr>
          <w:rFonts w:hint="eastAsia" w:ascii="仿宋" w:hAnsi="仿宋" w:eastAsia="仿宋" w:cs="仿宋"/>
          <w:sz w:val="24"/>
          <w:szCs w:val="24"/>
        </w:rPr>
        <w:t xml:space="preserve"> 实现预算管理对决策制定的支持，优化资源配置。 </w:t>
      </w:r>
    </w:p>
    <w:p w14:paraId="3D36018C">
      <w:pPr>
        <w:spacing w:line="360" w:lineRule="auto"/>
        <w:ind w:firstLine="562"/>
        <w:rPr>
          <w:rFonts w:hint="eastAsia" w:ascii="仿宋" w:hAnsi="仿宋" w:eastAsia="仿宋" w:cs="仿宋"/>
          <w:bCs/>
          <w:sz w:val="24"/>
          <w:szCs w:val="24"/>
        </w:rPr>
      </w:pPr>
      <w:r>
        <w:rPr>
          <w:rFonts w:hint="eastAsia" w:ascii="仿宋" w:hAnsi="仿宋" w:eastAsia="仿宋" w:cs="仿宋"/>
          <w:bCs/>
          <w:sz w:val="24"/>
          <w:szCs w:val="24"/>
        </w:rPr>
        <w:t>预算子系统建设需求</w:t>
      </w:r>
    </w:p>
    <w:p w14:paraId="30B3E1EA">
      <w:pPr>
        <w:pStyle w:val="19"/>
        <w:numPr>
          <w:ilvl w:val="0"/>
          <w:numId w:val="0"/>
        </w:numPr>
        <w:tabs>
          <w:tab w:val="left" w:pos="540"/>
        </w:tabs>
        <w:spacing w:line="360" w:lineRule="auto"/>
        <w:ind w:left="893" w:hanging="1020" w:hangingChars="425"/>
        <w:rPr>
          <w:rFonts w:hint="eastAsia" w:ascii="仿宋" w:hAnsi="仿宋" w:eastAsia="仿宋" w:cs="仿宋"/>
          <w:sz w:val="24"/>
          <w:szCs w:val="24"/>
        </w:rPr>
      </w:pPr>
      <w:bookmarkStart w:id="0" w:name="_Toc414450636"/>
      <w:r>
        <w:rPr>
          <w:rFonts w:hint="eastAsia" w:ascii="仿宋" w:hAnsi="仿宋" w:eastAsia="仿宋" w:cs="仿宋"/>
          <w:sz w:val="24"/>
          <w:szCs w:val="24"/>
        </w:rPr>
        <w:t xml:space="preserve">     ①编制功能需求</w:t>
      </w:r>
      <w:bookmarkEnd w:id="0"/>
    </w:p>
    <w:p w14:paraId="72209335">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A、支持并适应不断变化的组织结构和业务需求，通过调整配置，确保系统内组织架构与实际组织架构及时同步，自动实现预算分层级、分类型、分组织结构的拆分和合并。</w:t>
      </w:r>
    </w:p>
    <w:p w14:paraId="24858D0A">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B、建立预算指标库、预算定额库，根据组织不同层级、不同类型，分别设置。</w:t>
      </w:r>
    </w:p>
    <w:p w14:paraId="21A18C97">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C、预算数据按照维度进行存储，减少预算模板，数据自动按照维度层级汇总，无需数据核对，避免大量重复手工。</w:t>
      </w:r>
    </w:p>
    <w:p w14:paraId="4A811CBC">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D、支持预算编制模板的自定义、发布及多版本管理。</w:t>
      </w:r>
    </w:p>
    <w:p w14:paraId="709B5F3F">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E、实现零基预算、固定预算、作业预算等多种预算编制方式，支持以业务驱动的预算编制。</w:t>
      </w:r>
    </w:p>
    <w:p w14:paraId="6A1037C7">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F、支持预算安全性管理，实现按用户、职责、账套、责任组织、法人及预算指标等口径的数据安全性控制管理。</w:t>
      </w:r>
    </w:p>
    <w:p w14:paraId="5210DB24">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G、支持年、季、月的时间维度编制，可设置相应规则，实现月度自动分解额度。</w:t>
      </w:r>
    </w:p>
    <w:p w14:paraId="29944233">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H、实现相同业务不同部门的不同编制方法。</w:t>
      </w:r>
    </w:p>
    <w:p w14:paraId="48EDDA39">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I、支持归口业务编制，实现额度的纵、横向分摊。</w:t>
      </w:r>
    </w:p>
    <w:p w14:paraId="6C7D17A9">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J、实现预算的从上往下、从下往上及上下结合等多种流程化编报模式。</w:t>
      </w:r>
    </w:p>
    <w:p w14:paraId="5D062836">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K、能实现预算编制多版本管理。</w:t>
      </w:r>
    </w:p>
    <w:p w14:paraId="1B916A6C">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L、支持系统内各级关联交易预算数据合并抵消。</w:t>
      </w:r>
    </w:p>
    <w:p w14:paraId="613F8A2E">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M、支持各组织层级、各类型、各时间段等维度预算数据自动汇总。</w:t>
      </w:r>
    </w:p>
    <w:p w14:paraId="7002706E">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 xml:space="preserve">N、支持编制附件、附注及描述信息。 </w:t>
      </w:r>
    </w:p>
    <w:p w14:paraId="6E2F0863">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O、支持对表单进行数据验证，包含但不限于：表单的表内基本的财务核算勾稽关系校验和表间勾稽关系验证。</w:t>
      </w:r>
    </w:p>
    <w:p w14:paraId="2FCB51F8">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P、与WORD、PPT、EXCEL软件OFFICE（含OFFICE版本升级和兼容功能）软件深度集成，方便用户预算数据编制、分析、整理。</w:t>
      </w:r>
    </w:p>
    <w:p w14:paraId="1EEBA9F2">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Q、支持任务管理，包括编制顺序控制、任务发布、任务监控等，支持任务催办提醒</w:t>
      </w:r>
    </w:p>
    <w:p w14:paraId="09F63067">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R、包括多种预算编制模型的选择。</w:t>
      </w:r>
    </w:p>
    <w:p w14:paraId="726ED14C">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S、预算数据多种方式的输入（手工录入、批量导入等），并支持导入数据质量的验证。</w:t>
      </w:r>
    </w:p>
    <w:p w14:paraId="7BD0DD7A">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T、支持简单自定义批注功能。</w:t>
      </w:r>
    </w:p>
    <w:p w14:paraId="2050E3BD">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U、支持鼠标的右键功能，包括通用的复制粘贴等。</w:t>
      </w:r>
    </w:p>
    <w:p w14:paraId="2A537937">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V、滚动预测时，支持多种（月度、季度、半年度等）滚动方式的选择及多版本管理。</w:t>
      </w:r>
    </w:p>
    <w:p w14:paraId="5F39E35E">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W、支持罗列表中可以添加预算组织，添加后，预算表内可以同时查看或编辑多个预算组织下的数据；同一张罗列预算表中，可以查看或编辑多个组织的预算；</w:t>
      </w:r>
    </w:p>
    <w:p w14:paraId="7283E57B">
      <w:pPr>
        <w:pStyle w:val="19"/>
        <w:numPr>
          <w:ilvl w:val="0"/>
          <w:numId w:val="0"/>
        </w:numPr>
        <w:tabs>
          <w:tab w:val="left" w:pos="540"/>
        </w:tabs>
        <w:spacing w:line="360" w:lineRule="auto"/>
        <w:ind w:left="2" w:leftChars="1" w:firstLine="600" w:firstLineChars="250"/>
        <w:rPr>
          <w:rFonts w:hint="eastAsia" w:ascii="仿宋" w:hAnsi="仿宋" w:eastAsia="仿宋" w:cs="仿宋"/>
          <w:sz w:val="24"/>
          <w:szCs w:val="24"/>
        </w:rPr>
      </w:pPr>
      <w:r>
        <w:rPr>
          <w:rFonts w:hint="eastAsia" w:ascii="仿宋" w:hAnsi="仿宋" w:eastAsia="仿宋" w:cs="仿宋"/>
          <w:sz w:val="24"/>
          <w:szCs w:val="24"/>
        </w:rPr>
        <w:t>②预算执行需求</w:t>
      </w:r>
    </w:p>
    <w:p w14:paraId="0EBC273B">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A、支持预算调整功能。支持预算表格和数据调整、调整审批等功能，满足预算执行过程中，由于经营环境发生变化，对预算调整的要求。</w:t>
      </w:r>
    </w:p>
    <w:p w14:paraId="712DA0E2">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B、支持实际发生数取数。支持预算子系统中手工录入实际数据、从EXCEL表中导入实际数据，以及从其他财务、业务系统自动获取实际数据的功能。</w:t>
      </w:r>
    </w:p>
    <w:p w14:paraId="092D31D9">
      <w:pPr>
        <w:pStyle w:val="19"/>
        <w:numPr>
          <w:ilvl w:val="0"/>
          <w:numId w:val="0"/>
        </w:numPr>
        <w:tabs>
          <w:tab w:val="left" w:pos="540"/>
        </w:tabs>
        <w:spacing w:line="360" w:lineRule="auto"/>
        <w:ind w:left="2" w:leftChars="1" w:firstLine="600" w:firstLineChars="250"/>
        <w:rPr>
          <w:rFonts w:hint="eastAsia" w:ascii="仿宋" w:hAnsi="仿宋" w:eastAsia="仿宋" w:cs="仿宋"/>
          <w:sz w:val="24"/>
          <w:szCs w:val="24"/>
        </w:rPr>
      </w:pPr>
      <w:r>
        <w:rPr>
          <w:rFonts w:hint="eastAsia" w:ascii="仿宋" w:hAnsi="仿宋" w:eastAsia="仿宋" w:cs="仿宋"/>
          <w:sz w:val="24"/>
          <w:szCs w:val="24"/>
        </w:rPr>
        <w:t>③控制功能需求</w:t>
      </w:r>
    </w:p>
    <w:p w14:paraId="6F6FD3E3">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A、支持预算控制功能。能够通过业务系统实现预算的事前、事中、事后控制，如财务系统凭证控制、费用系统费用报销控制等。</w:t>
      </w:r>
    </w:p>
    <w:p w14:paraId="7619D250">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B、支持多种预算控制方式。支持当期控制、累计控制、总量控制、本年控制、弹性控制、组合控制等多种预算控制方式。</w:t>
      </w:r>
    </w:p>
    <w:p w14:paraId="3C1487E2">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C、能够根据预算管理要求，分别为各单位设置不同的预算控制策略。</w:t>
      </w:r>
    </w:p>
    <w:p w14:paraId="040BBC49">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D、支持预算申请功能。预算申请能够事前保留预算额度，保证业务的顺利执行。</w:t>
      </w:r>
      <w:bookmarkStart w:id="1" w:name="_Toc414450637"/>
    </w:p>
    <w:p w14:paraId="726843BC">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E、预算控制可以在的任意层级维度实现，例如预算编制到办公费，数据按照管理费用总数控制，可以很好实现部分公司提出的预算控制口径比核算口径粗的管控需求。</w:t>
      </w:r>
    </w:p>
    <w:p w14:paraId="51BCA5A6">
      <w:pPr>
        <w:pStyle w:val="19"/>
        <w:numPr>
          <w:ilvl w:val="0"/>
          <w:numId w:val="0"/>
        </w:numPr>
        <w:spacing w:line="360" w:lineRule="auto"/>
        <w:ind w:left="482"/>
        <w:rPr>
          <w:rFonts w:hint="eastAsia" w:ascii="仿宋" w:hAnsi="仿宋" w:eastAsia="仿宋" w:cs="仿宋"/>
          <w:sz w:val="24"/>
          <w:szCs w:val="24"/>
        </w:rPr>
      </w:pPr>
      <w:r>
        <w:rPr>
          <w:rFonts w:hint="eastAsia" w:ascii="仿宋" w:hAnsi="仿宋" w:eastAsia="仿宋" w:cs="仿宋"/>
          <w:sz w:val="24"/>
          <w:szCs w:val="24"/>
        </w:rPr>
        <w:t>④分析功能需求</w:t>
      </w:r>
      <w:bookmarkEnd w:id="1"/>
    </w:p>
    <w:p w14:paraId="37447D90">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A、支持分析的常用表现形式（饼状图、柱状图、图表组合等），并可自由切换图表。</w:t>
      </w:r>
    </w:p>
    <w:p w14:paraId="795281F6">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B、支持分析同比、趋势、标准(杆)值、模拟值，多版本分析，进度比率、绝对值及百分比比较。</w:t>
      </w:r>
    </w:p>
    <w:p w14:paraId="18141420">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C、查询条件组合，根据部门、费用类型、项目等多维度分析，分析数据可自定文档格式（ppt、doc、pdf、xls或图形文件）输出。</w:t>
      </w:r>
    </w:p>
    <w:p w14:paraId="5A6E8746">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D、支持分析数据分层级数据追踪和数据联查。</w:t>
      </w:r>
    </w:p>
    <w:p w14:paraId="7666E318">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E、支持根据预设指标报表、责任主体等考评结果的输出。</w:t>
      </w:r>
    </w:p>
    <w:p w14:paraId="50D8164B">
      <w:pPr>
        <w:pStyle w:val="19"/>
        <w:numPr>
          <w:ilvl w:val="0"/>
          <w:numId w:val="0"/>
        </w:numPr>
        <w:spacing w:line="360" w:lineRule="auto"/>
        <w:ind w:left="142" w:firstLine="480" w:firstLineChars="200"/>
        <w:rPr>
          <w:rFonts w:hint="eastAsia" w:ascii="仿宋" w:hAnsi="仿宋" w:eastAsia="仿宋" w:cs="仿宋"/>
          <w:sz w:val="24"/>
          <w:szCs w:val="24"/>
        </w:rPr>
      </w:pPr>
      <w:r>
        <w:rPr>
          <w:rFonts w:hint="eastAsia" w:ascii="仿宋" w:hAnsi="仿宋" w:eastAsia="仿宋" w:cs="仿宋"/>
          <w:sz w:val="24"/>
          <w:szCs w:val="24"/>
        </w:rPr>
        <w:t>F、支持预算数据场景化分析。</w:t>
      </w:r>
    </w:p>
    <w:p w14:paraId="31B246C4">
      <w:pPr>
        <w:rPr>
          <w:rFonts w:hint="eastAsia" w:ascii="仿宋" w:hAnsi="仿宋" w:eastAsia="仿宋" w:cs="仿宋"/>
          <w:sz w:val="24"/>
          <w:szCs w:val="24"/>
        </w:rPr>
      </w:pPr>
      <w:r>
        <w:rPr>
          <w:rFonts w:hint="eastAsia" w:ascii="仿宋" w:hAnsi="仿宋" w:eastAsia="仿宋" w:cs="仿宋"/>
          <w:sz w:val="24"/>
          <w:szCs w:val="24"/>
        </w:rPr>
        <w:t>G、支持用户自定义报表设置，可保存设置并共享</w:t>
      </w:r>
    </w:p>
    <w:p w14:paraId="471F9373">
      <w:pPr>
        <w:pStyle w:val="6"/>
        <w:numPr>
          <w:ilvl w:val="0"/>
          <w:numId w:val="6"/>
        </w:numPr>
        <w:rPr>
          <w:rFonts w:hint="eastAsia" w:ascii="仿宋" w:hAnsi="仿宋" w:eastAsia="仿宋" w:cs="仿宋"/>
          <w:sz w:val="24"/>
          <w:szCs w:val="24"/>
        </w:rPr>
      </w:pPr>
      <w:r>
        <w:rPr>
          <w:rFonts w:hint="eastAsia" w:ascii="仿宋" w:hAnsi="仿宋" w:eastAsia="仿宋" w:cs="仿宋"/>
          <w:sz w:val="24"/>
          <w:szCs w:val="24"/>
        </w:rPr>
        <w:t>基础环境模块</w:t>
      </w:r>
    </w:p>
    <w:p w14:paraId="70ABFC69">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中间件及工作流：财务系统匹配独立中间件软件，能支持现在及后续数据集成的要求，可通过灵活的配置，实现数据的采集、加工、转换、交换等时，更好的实现系统整合或共享数据中心解决方案应用。</w:t>
      </w:r>
      <w:r>
        <w:rPr>
          <w:rFonts w:hint="eastAsia" w:ascii="仿宋" w:hAnsi="仿宋" w:eastAsia="仿宋" w:cs="仿宋"/>
          <w:b/>
          <w:bCs/>
          <w:sz w:val="24"/>
          <w:szCs w:val="24"/>
        </w:rPr>
        <w:t xml:space="preserve">      </w:t>
      </w:r>
    </w:p>
    <w:p w14:paraId="1662AD0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异构系统集成：本次提供异构系统集成接口，</w:t>
      </w:r>
      <w:r>
        <w:rPr>
          <w:rFonts w:hint="eastAsia" w:ascii="仿宋" w:hAnsi="仿宋" w:eastAsia="仿宋" w:cs="仿宋"/>
          <w:sz w:val="24"/>
          <w:szCs w:val="24"/>
          <w:lang w:val="en-GB"/>
        </w:rPr>
        <w:t>以本次建设的核算预算一体化系统为核心搭建集团统一的财务管控平台，基于此平台集成现有财务信息化系统、扩展其他技术模块，</w:t>
      </w:r>
      <w:r>
        <w:rPr>
          <w:rFonts w:hint="eastAsia" w:ascii="仿宋" w:hAnsi="仿宋" w:eastAsia="仿宋" w:cs="仿宋"/>
          <w:sz w:val="24"/>
          <w:szCs w:val="24"/>
        </w:rPr>
        <w:t>支持</w:t>
      </w:r>
      <w:r>
        <w:rPr>
          <w:rFonts w:hint="eastAsia" w:ascii="仿宋" w:hAnsi="仿宋" w:eastAsia="仿宋" w:cs="仿宋"/>
          <w:sz w:val="24"/>
          <w:szCs w:val="24"/>
          <w:lang w:val="en-GB"/>
        </w:rPr>
        <w:t>内部系统集成。</w:t>
      </w:r>
      <w:r>
        <w:rPr>
          <w:rFonts w:hint="eastAsia" w:ascii="仿宋" w:hAnsi="仿宋" w:eastAsia="仿宋" w:cs="仿宋"/>
          <w:b/>
          <w:bCs/>
          <w:sz w:val="24"/>
          <w:szCs w:val="24"/>
        </w:rPr>
        <w:t xml:space="preserve">   </w:t>
      </w:r>
    </w:p>
    <w:p w14:paraId="6CEE4132">
      <w:pPr>
        <w:pStyle w:val="6"/>
        <w:numPr>
          <w:ilvl w:val="0"/>
          <w:numId w:val="6"/>
        </w:numPr>
        <w:rPr>
          <w:rFonts w:hint="eastAsia" w:ascii="仿宋" w:hAnsi="仿宋" w:eastAsia="仿宋" w:cs="仿宋"/>
          <w:sz w:val="24"/>
          <w:szCs w:val="24"/>
        </w:rPr>
      </w:pPr>
      <w:r>
        <w:rPr>
          <w:rFonts w:hint="eastAsia" w:ascii="仿宋" w:hAnsi="仿宋" w:eastAsia="仿宋" w:cs="仿宋"/>
          <w:sz w:val="24"/>
          <w:szCs w:val="24"/>
        </w:rPr>
        <w:t>财务管理其他要求</w:t>
      </w:r>
    </w:p>
    <w:p w14:paraId="62C5836A">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软件系统正版化要求</w:t>
      </w:r>
    </w:p>
    <w:p w14:paraId="37D51F0B">
      <w:pPr>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供应商提供的财务管理软件应为合法授权产品，应提供制造商授权书；（明确授权使用人为采购单位（业主方），即西安市供销合作联社。）</w:t>
      </w:r>
    </w:p>
    <w:p w14:paraId="48E0B2CF">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培训要求</w:t>
      </w:r>
    </w:p>
    <w:p w14:paraId="55CB5C00">
      <w:pPr>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针对财务管理软件进行单独的系统培训，包括：</w:t>
      </w:r>
    </w:p>
    <w:p w14:paraId="3B042BCC">
      <w:pPr>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业务人员培训，确保相关业务人员能够独立进行软件的日常操作、管理。</w:t>
      </w:r>
    </w:p>
    <w:p w14:paraId="03F6E561">
      <w:pPr>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系统维护人员培训：包括系统安装前的培训、安装现场培训和调试结束后的技术培训，主要为软件功能、安装、操作、设计、维护的培训；确保受训人员能够独立进行软件的日常操作、管理与维护，并能对一般性故障进行诊断、排除与恢复。</w:t>
      </w:r>
    </w:p>
    <w:p w14:paraId="3C594F37">
      <w:pPr>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业务人员现场培训每年不少于10次，系统维护人员现场培训每年不少于4次。</w:t>
      </w:r>
    </w:p>
    <w:p w14:paraId="383F516C">
      <w:pPr>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项目上线后，质保期内提供现场支持服务人天数不少于30人天。</w:t>
      </w:r>
    </w:p>
    <w:p w14:paraId="00D690A9">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产品升级</w:t>
      </w:r>
    </w:p>
    <w:p w14:paraId="0AFC5417">
      <w:pPr>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服务期内财务管理系统版本升级可获得同一产品在服务生命周期内的可使用版本的产品许可，不收取升级的产品许可费用。</w:t>
      </w:r>
    </w:p>
    <w:p w14:paraId="20138D51">
      <w:pPr>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通过版本更新可获得与产品相关的软件修正补丁、产品功能包等。</w:t>
      </w:r>
    </w:p>
    <w:p w14:paraId="6144020E">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系统维护</w:t>
      </w:r>
    </w:p>
    <w:p w14:paraId="0AFD482F">
      <w:pPr>
        <w:numPr>
          <w:ilvl w:val="0"/>
          <w:numId w:val="14"/>
        </w:numPr>
        <w:spacing w:line="360" w:lineRule="auto"/>
        <w:rPr>
          <w:rFonts w:hint="eastAsia" w:ascii="仿宋" w:hAnsi="仿宋" w:eastAsia="仿宋" w:cs="仿宋"/>
          <w:sz w:val="24"/>
          <w:szCs w:val="24"/>
          <w:lang w:val="zh-TW"/>
        </w:rPr>
      </w:pPr>
      <w:r>
        <w:rPr>
          <w:rFonts w:hint="eastAsia" w:ascii="仿宋" w:hAnsi="仿宋" w:eastAsia="仿宋" w:cs="仿宋"/>
          <w:sz w:val="24"/>
          <w:szCs w:val="24"/>
          <w:lang w:val="zh-TW"/>
        </w:rPr>
        <w:t>如出现影响正常业务的重大紧急故障，在1小时内响应。</w:t>
      </w:r>
    </w:p>
    <w:p w14:paraId="6E4A083D">
      <w:pPr>
        <w:numPr>
          <w:ilvl w:val="0"/>
          <w:numId w:val="14"/>
        </w:numPr>
        <w:spacing w:line="360" w:lineRule="auto"/>
        <w:rPr>
          <w:rFonts w:hint="eastAsia" w:ascii="仿宋" w:hAnsi="仿宋" w:eastAsia="仿宋" w:cs="仿宋"/>
          <w:sz w:val="24"/>
          <w:szCs w:val="24"/>
          <w:lang w:val="zh-TW"/>
        </w:rPr>
      </w:pPr>
      <w:r>
        <w:rPr>
          <w:rFonts w:hint="eastAsia" w:ascii="仿宋" w:hAnsi="仿宋" w:eastAsia="仿宋" w:cs="仿宋"/>
          <w:sz w:val="24"/>
          <w:szCs w:val="24"/>
          <w:lang w:val="zh-TW"/>
        </w:rPr>
        <w:t>一般问题均做到当时解决；对于无法立即提供解决办法的问题，在寻找到解决方法后，采用电话、Email的方式回复，时间不超过自接到通知后８小时。所有服务均提供7×24小时不间断服务。</w:t>
      </w:r>
    </w:p>
    <w:p w14:paraId="2A262EE0">
      <w:pPr>
        <w:numPr>
          <w:ilvl w:val="0"/>
          <w:numId w:val="14"/>
        </w:numPr>
        <w:spacing w:line="360" w:lineRule="auto"/>
        <w:rPr>
          <w:rFonts w:hint="eastAsia" w:ascii="仿宋" w:hAnsi="仿宋" w:eastAsia="仿宋" w:cs="仿宋"/>
          <w:sz w:val="24"/>
          <w:szCs w:val="24"/>
          <w:lang w:val="zh-TW"/>
        </w:rPr>
      </w:pPr>
      <w:r>
        <w:rPr>
          <w:rFonts w:hint="eastAsia" w:ascii="仿宋" w:hAnsi="仿宋" w:eastAsia="仿宋" w:cs="仿宋"/>
          <w:sz w:val="24"/>
          <w:szCs w:val="24"/>
          <w:lang w:val="zh-TW"/>
        </w:rPr>
        <w:t>对于确实无法解决的问题，将问题备案，并在24小时内通知招标人，在深入了解情况之后，进行协调，共同制定切实可行的行动计划，以继续解决问题。</w:t>
      </w:r>
    </w:p>
    <w:p w14:paraId="71ECF0E0">
      <w:pPr>
        <w:numPr>
          <w:ilvl w:val="0"/>
          <w:numId w:val="14"/>
        </w:numPr>
        <w:spacing w:line="360" w:lineRule="auto"/>
        <w:rPr>
          <w:rFonts w:hint="eastAsia" w:ascii="仿宋" w:hAnsi="仿宋" w:eastAsia="仿宋" w:cs="仿宋"/>
          <w:sz w:val="24"/>
          <w:szCs w:val="24"/>
          <w:lang w:val="zh-TW"/>
        </w:rPr>
      </w:pPr>
      <w:r>
        <w:rPr>
          <w:rFonts w:hint="eastAsia" w:ascii="仿宋" w:hAnsi="仿宋" w:eastAsia="仿宋" w:cs="仿宋"/>
          <w:sz w:val="24"/>
          <w:szCs w:val="24"/>
          <w:lang w:val="zh-TW"/>
        </w:rPr>
        <w:t>系统使用过程中，接受电话技术咨询和提供网络远程协助，帮助招标人解决在使用过程中遇到的各种技术问题及功能需求。</w:t>
      </w:r>
    </w:p>
    <w:p w14:paraId="381A82B4">
      <w:pPr>
        <w:numPr>
          <w:ilvl w:val="0"/>
          <w:numId w:val="14"/>
        </w:numPr>
        <w:spacing w:line="360" w:lineRule="auto"/>
        <w:rPr>
          <w:rFonts w:hint="eastAsia" w:ascii="仿宋" w:hAnsi="仿宋" w:eastAsia="仿宋" w:cs="仿宋"/>
          <w:sz w:val="24"/>
          <w:szCs w:val="24"/>
          <w:lang w:val="zh-TW"/>
        </w:rPr>
      </w:pPr>
      <w:r>
        <w:rPr>
          <w:rFonts w:hint="eastAsia" w:ascii="仿宋" w:hAnsi="仿宋" w:eastAsia="仿宋" w:cs="仿宋"/>
          <w:sz w:val="24"/>
          <w:szCs w:val="24"/>
          <w:lang w:val="zh-TW"/>
        </w:rPr>
        <w:t>通过专业的检测工具主动预警目前可能存在的各种风险和隐患，避免由于隐患产生严重后果，保障甲方系统稳定高效运行。</w:t>
      </w:r>
    </w:p>
    <w:p w14:paraId="393813E3">
      <w:pPr>
        <w:numPr>
          <w:ilvl w:val="0"/>
          <w:numId w:val="14"/>
        </w:numPr>
        <w:spacing w:line="360" w:lineRule="auto"/>
        <w:rPr>
          <w:rFonts w:hint="eastAsia" w:ascii="仿宋" w:hAnsi="仿宋" w:eastAsia="仿宋" w:cs="仿宋"/>
          <w:sz w:val="24"/>
          <w:szCs w:val="24"/>
        </w:rPr>
      </w:pPr>
      <w:r>
        <w:rPr>
          <w:rFonts w:hint="eastAsia" w:ascii="仿宋" w:hAnsi="仿宋" w:eastAsia="仿宋" w:cs="仿宋"/>
          <w:sz w:val="24"/>
          <w:szCs w:val="24"/>
        </w:rPr>
        <w:t>每月结账、年结等关键节点，投标方需提供不少于3天的驻场支持服务。</w:t>
      </w:r>
    </w:p>
    <w:p w14:paraId="5EF9EFD0">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项目交付物要求</w:t>
      </w:r>
    </w:p>
    <w:p w14:paraId="3D01C68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为了更好的保证项目落地可交付，以及信息化系统建设能够满足市供销联社未来发展需要，财务管理产品制造商须针对本次项目财务管理建设内容进行调研和深化设计，并通过社内相关部门审核通过后，方可进行实施交付工作。</w:t>
      </w:r>
    </w:p>
    <w:p w14:paraId="04EE7C2E">
      <w:pPr>
        <w:pStyle w:val="2"/>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要求实现的成果主要体现为财务主数据的标准化、会计核算政策的标准化、会计核算流程的标准化和财务报表、预算管理标准化、费用报销业务流程，最终形成文字、流程图、制度等电子文档交付予甲方。</w:t>
      </w:r>
    </w:p>
    <w:p w14:paraId="7098C6C8">
      <w:pPr>
        <w:numPr>
          <w:ilvl w:val="0"/>
          <w:numId w:val="13"/>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项目交付团队要求</w:t>
      </w:r>
    </w:p>
    <w:p w14:paraId="7D6FD8B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针对本次项目财务管理软件部分的技术负责人须具备8年及以上财务软件产品实施工作经验，具备近三年（2021年至今）至少已完成1个类似项目业绩（类似项目业绩是指大型集团企业财务信息化核算、预算的实施案例），且须承诺全职全程参与，并提供项目案例。</w:t>
      </w:r>
    </w:p>
    <w:p w14:paraId="19AF8DA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2、针对本次项目财务管理软件部分</w:t>
      </w:r>
      <w:r>
        <w:rPr>
          <w:rFonts w:hint="eastAsia" w:ascii="仿宋" w:hAnsi="仿宋" w:eastAsia="仿宋" w:cs="仿宋"/>
          <w:bCs/>
          <w:sz w:val="24"/>
          <w:szCs w:val="24"/>
          <w:highlight w:val="none"/>
        </w:rPr>
        <w:t>的技术团队须具有5年及以上实施集团财务系统经验的工程师5人及以上</w:t>
      </w:r>
      <w:r>
        <w:rPr>
          <w:rFonts w:hint="eastAsia" w:ascii="仿宋" w:hAnsi="仿宋" w:eastAsia="仿宋" w:cs="仿宋"/>
          <w:bCs/>
          <w:sz w:val="24"/>
          <w:szCs w:val="24"/>
          <w:highlight w:val="none"/>
          <w:lang w:val="zh-TW"/>
        </w:rPr>
        <w:t>，且须承诺全职全程参与，提供项目</w:t>
      </w:r>
      <w:r>
        <w:rPr>
          <w:rFonts w:hint="eastAsia" w:ascii="仿宋" w:hAnsi="仿宋" w:eastAsia="仿宋" w:cs="仿宋"/>
          <w:bCs/>
          <w:sz w:val="24"/>
          <w:szCs w:val="24"/>
          <w:highlight w:val="none"/>
        </w:rPr>
        <w:t>案例。</w:t>
      </w:r>
    </w:p>
    <w:p w14:paraId="5D0937C6">
      <w:pPr>
        <w:spacing w:line="360" w:lineRule="auto"/>
        <w:ind w:firstLine="480" w:firstLineChars="200"/>
        <w:rPr>
          <w:rFonts w:hint="eastAsia" w:ascii="仿宋" w:hAnsi="仿宋" w:eastAsia="仿宋" w:cs="仿宋"/>
        </w:rPr>
      </w:pPr>
      <w:r>
        <w:rPr>
          <w:rFonts w:hint="eastAsia" w:ascii="仿宋" w:hAnsi="仿宋" w:eastAsia="仿宋" w:cs="仿宋"/>
          <w:sz w:val="24"/>
          <w:szCs w:val="24"/>
          <w:highlight w:val="none"/>
        </w:rPr>
        <w:t>3、针对财务管理模块的实施交付，财务模块技术负责人及实施团队入场前需要先进行顾问面试，如果面试未通过，投标人须尽快进行团队人员优化达到市社要求，否则市社有权解除合同，并由投标人赔偿业主方因此带来的一切损失</w:t>
      </w:r>
      <w:r>
        <w:rPr>
          <w:rFonts w:hint="eastAsia" w:ascii="仿宋" w:hAnsi="仿宋" w:eastAsia="仿宋" w:cs="仿宋"/>
          <w:sz w:val="24"/>
          <w:szCs w:val="24"/>
          <w:highlight w:val="none"/>
          <w:lang w:val="zh-TW"/>
        </w:rPr>
        <w:t>。</w:t>
      </w:r>
    </w:p>
    <w:p w14:paraId="709728F4">
      <w:pPr>
        <w:pStyle w:val="14"/>
        <w:numPr>
          <w:ilvl w:val="3"/>
          <w:numId w:val="5"/>
        </w:numPr>
        <w:spacing w:line="360" w:lineRule="auto"/>
        <w:rPr>
          <w:rFonts w:hint="eastAsia" w:ascii="仿宋" w:hAnsi="仿宋" w:eastAsia="仿宋" w:cs="仿宋"/>
          <w:sz w:val="24"/>
          <w:szCs w:val="24"/>
        </w:rPr>
      </w:pPr>
      <w:r>
        <w:rPr>
          <w:rFonts w:hint="eastAsia" w:ascii="仿宋" w:hAnsi="仿宋" w:eastAsia="仿宋" w:cs="仿宋"/>
          <w:sz w:val="24"/>
          <w:szCs w:val="24"/>
        </w:rPr>
        <w:t>人力资源</w:t>
      </w:r>
    </w:p>
    <w:p w14:paraId="0F3FA6D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组织管理：组织管理可实现组织架构管理功能，主要的功能包括创建组织架构、修改组织架构、日常维护、组织架构调整。</w:t>
      </w:r>
    </w:p>
    <w:p w14:paraId="2BEC4B1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人事管理：实现市供销联社及企业对于内部干部、领导班子成员、员工的信息管理。信息主要包括基本信息、工作信息、学历信息、家庭信息、职务信息、职级信息等。系统须支持批量导入人员信息。</w:t>
      </w:r>
    </w:p>
    <w:p w14:paraId="168AA50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报表查询：提供人员信息的各类统计分析功能，可以按人员数量、按年龄、按工龄、按学历、按专业、按在职状态、按人员流动等维度进行统计分析。</w:t>
      </w:r>
    </w:p>
    <w:p w14:paraId="45FD3E8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薪酬核算：包含了薪酬报表查询和薪酬统计分析等功能。</w:t>
      </w:r>
    </w:p>
    <w:p w14:paraId="7AC49DB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经理人自助服务：针对经理人提供人员信息的综合查询，满足自助服务要求。</w:t>
      </w:r>
    </w:p>
    <w:p w14:paraId="2300CF81">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管理者分析：收集直属企业报年度工作报告，进行管理。</w:t>
      </w:r>
    </w:p>
    <w:p w14:paraId="6FA84A2C">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人力管理：市社下发干部任免文件；直属企业报送中层任免执行文件。</w:t>
      </w:r>
    </w:p>
    <w:p w14:paraId="10C5CA77">
      <w:pPr>
        <w:pStyle w:val="14"/>
        <w:numPr>
          <w:ilvl w:val="3"/>
          <w:numId w:val="5"/>
        </w:numPr>
        <w:spacing w:line="360" w:lineRule="auto"/>
        <w:rPr>
          <w:rFonts w:hint="eastAsia" w:ascii="仿宋" w:hAnsi="仿宋" w:eastAsia="仿宋" w:cs="仿宋"/>
          <w:sz w:val="24"/>
          <w:szCs w:val="24"/>
        </w:rPr>
      </w:pPr>
      <w:r>
        <w:rPr>
          <w:rFonts w:hint="eastAsia" w:ascii="仿宋" w:hAnsi="仿宋" w:eastAsia="仿宋" w:cs="仿宋"/>
          <w:sz w:val="24"/>
          <w:szCs w:val="24"/>
        </w:rPr>
        <w:t>资产管理</w:t>
      </w:r>
    </w:p>
    <w:p w14:paraId="6146EA5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资产分类管理：建立资产管理动态数据库，全面、准确、动态的反映系统内资产总量、构成、分布、出租等信息。根据资产增减变动情况及出租情况实时更新。</w:t>
      </w:r>
    </w:p>
    <w:p w14:paraId="4367B67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租赁合同管理：租赁合同管理，对租赁合同进行网上报备，并建立合同即将到期及过期未更新预警提醒。</w:t>
      </w:r>
    </w:p>
    <w:p w14:paraId="2DFF608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租金收入预警：租金收入预警，资产出租比例、出租价格对比，欠租提醒。</w:t>
      </w:r>
    </w:p>
    <w:p w14:paraId="40B38EEB">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投资管理</w:t>
      </w:r>
    </w:p>
    <w:p w14:paraId="05EB76EB">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实现对西安供销各类投资数据的统计、查询及展示功能。</w:t>
      </w:r>
    </w:p>
    <w:p w14:paraId="61ED10DE">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产权管理</w:t>
      </w:r>
    </w:p>
    <w:p w14:paraId="136B4117">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实现对西安供销直属企业产权数据的统计、查询及展示功能。</w:t>
      </w:r>
    </w:p>
    <w:p w14:paraId="59B0CAD4">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综合改革</w:t>
      </w:r>
    </w:p>
    <w:p w14:paraId="480CCB02">
      <w:pPr>
        <w:spacing w:line="240" w:lineRule="auto"/>
        <w:ind w:firstLine="480"/>
        <w:rPr>
          <w:rFonts w:hint="eastAsia" w:ascii="仿宋" w:hAnsi="仿宋" w:eastAsia="仿宋" w:cs="仿宋"/>
          <w:sz w:val="24"/>
          <w:szCs w:val="24"/>
        </w:rPr>
      </w:pPr>
      <w:r>
        <w:rPr>
          <w:rFonts w:hint="eastAsia" w:ascii="仿宋" w:hAnsi="仿宋" w:eastAsia="仿宋" w:cs="仿宋"/>
          <w:sz w:val="24"/>
          <w:szCs w:val="24"/>
        </w:rPr>
        <w:t>实现对西安供销综合改革信息管理、改革项目统计管理。</w:t>
      </w:r>
    </w:p>
    <w:p w14:paraId="27B9C3A9">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直属企业信息</w:t>
      </w:r>
    </w:p>
    <w:p w14:paraId="15082B06">
      <w:pPr>
        <w:spacing w:line="240" w:lineRule="auto"/>
        <w:ind w:firstLine="480"/>
        <w:rPr>
          <w:rFonts w:hint="eastAsia" w:ascii="仿宋" w:hAnsi="仿宋" w:eastAsia="仿宋" w:cs="仿宋"/>
          <w:sz w:val="24"/>
          <w:szCs w:val="24"/>
        </w:rPr>
      </w:pPr>
      <w:r>
        <w:rPr>
          <w:rFonts w:hint="eastAsia" w:ascii="仿宋" w:hAnsi="仿宋" w:eastAsia="仿宋" w:cs="仿宋"/>
          <w:sz w:val="24"/>
          <w:szCs w:val="24"/>
        </w:rPr>
        <w:t xml:space="preserve">展示西安供销直属企业的工商信息、股东信息等基本信息。 </w:t>
      </w:r>
    </w:p>
    <w:p w14:paraId="47FA2C31">
      <w:pPr>
        <w:pStyle w:val="5"/>
        <w:spacing w:line="240" w:lineRule="auto"/>
        <w:rPr>
          <w:rFonts w:hint="eastAsia" w:ascii="仿宋" w:hAnsi="仿宋" w:eastAsia="仿宋" w:cs="仿宋"/>
          <w:sz w:val="24"/>
          <w:szCs w:val="24"/>
        </w:rPr>
      </w:pPr>
      <w:r>
        <w:rPr>
          <w:rFonts w:hint="eastAsia" w:ascii="仿宋" w:hAnsi="仿宋" w:eastAsia="仿宋" w:cs="仿宋"/>
          <w:sz w:val="24"/>
          <w:szCs w:val="24"/>
        </w:rPr>
        <w:t>现代流通体系</w:t>
      </w:r>
    </w:p>
    <w:p w14:paraId="0F5AC0CD">
      <w:pPr>
        <w:pStyle w:val="14"/>
        <w:numPr>
          <w:ilvl w:val="3"/>
          <w:numId w:val="15"/>
        </w:numPr>
        <w:spacing w:line="240" w:lineRule="auto"/>
        <w:rPr>
          <w:rFonts w:hint="eastAsia" w:ascii="仿宋" w:hAnsi="仿宋" w:eastAsia="仿宋" w:cs="仿宋"/>
          <w:sz w:val="24"/>
          <w:szCs w:val="24"/>
        </w:rPr>
      </w:pPr>
      <w:r>
        <w:rPr>
          <w:rFonts w:hint="eastAsia" w:ascii="仿宋" w:hAnsi="仿宋" w:eastAsia="仿宋" w:cs="仿宋"/>
          <w:sz w:val="24"/>
          <w:szCs w:val="24"/>
        </w:rPr>
        <w:t>农产品流通</w:t>
      </w:r>
    </w:p>
    <w:p w14:paraId="603FC78D">
      <w:pPr>
        <w:numPr>
          <w:ilvl w:val="0"/>
          <w:numId w:val="16"/>
        </w:numPr>
        <w:spacing w:line="360" w:lineRule="auto"/>
        <w:rPr>
          <w:rFonts w:hint="eastAsia" w:ascii="仿宋" w:hAnsi="仿宋" w:eastAsia="仿宋" w:cs="仿宋"/>
          <w:sz w:val="24"/>
          <w:szCs w:val="24"/>
        </w:rPr>
      </w:pPr>
      <w:r>
        <w:rPr>
          <w:rFonts w:hint="eastAsia" w:ascii="仿宋" w:hAnsi="仿宋" w:eastAsia="仿宋" w:cs="仿宋"/>
          <w:sz w:val="24"/>
          <w:szCs w:val="24"/>
        </w:rPr>
        <w:t>农产品销售</w:t>
      </w:r>
    </w:p>
    <w:p w14:paraId="1FA0ABAC">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农产品销售价格汇总，包括蔬菜、瓜果、米面油、肉蛋奶、调料等。</w:t>
      </w:r>
    </w:p>
    <w:p w14:paraId="78CF4E29">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农产品销售品牌建设，包括农产品包装、制定口号、讲述产品的故事等。</w:t>
      </w:r>
    </w:p>
    <w:p w14:paraId="67A49A21">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农产品销售渠道联合，包括农贸市场、超市、电商平台、新媒体等。</w:t>
      </w:r>
    </w:p>
    <w:p w14:paraId="682976C2">
      <w:pPr>
        <w:numPr>
          <w:ilvl w:val="0"/>
          <w:numId w:val="16"/>
        </w:numPr>
        <w:spacing w:line="360" w:lineRule="auto"/>
        <w:rPr>
          <w:rFonts w:hint="eastAsia" w:ascii="仿宋" w:hAnsi="仿宋" w:eastAsia="仿宋" w:cs="仿宋"/>
          <w:sz w:val="24"/>
          <w:szCs w:val="24"/>
        </w:rPr>
      </w:pPr>
      <w:r>
        <w:rPr>
          <w:rFonts w:hint="eastAsia" w:ascii="仿宋" w:hAnsi="仿宋" w:eastAsia="仿宋" w:cs="仿宋"/>
          <w:sz w:val="24"/>
          <w:szCs w:val="24"/>
        </w:rPr>
        <w:t>农产品展示</w:t>
      </w:r>
    </w:p>
    <w:p w14:paraId="396A3BF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农产品信息录入、查询及统计，包括农产品名称、产地农产品简介、广告语、产品特征等，形成特色农产品展示库。</w:t>
      </w:r>
    </w:p>
    <w:p w14:paraId="4D68452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农产品展销活动基本信息通知展示；待展销农产品信息上报、统计。</w:t>
      </w:r>
    </w:p>
    <w:p w14:paraId="3BDAF77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农产品展销活动数据上报统计，包括所销售的农产品数量、签订的合同、签订的采购意向等信息。</w:t>
      </w:r>
    </w:p>
    <w:p w14:paraId="4902CE79">
      <w:pPr>
        <w:pStyle w:val="14"/>
        <w:numPr>
          <w:ilvl w:val="3"/>
          <w:numId w:val="15"/>
        </w:numPr>
        <w:spacing w:line="240" w:lineRule="auto"/>
        <w:rPr>
          <w:rFonts w:hint="eastAsia" w:ascii="仿宋" w:hAnsi="仿宋" w:eastAsia="仿宋" w:cs="仿宋"/>
          <w:sz w:val="24"/>
          <w:szCs w:val="24"/>
        </w:rPr>
      </w:pPr>
      <w:r>
        <w:rPr>
          <w:rFonts w:hint="eastAsia" w:ascii="仿宋" w:hAnsi="仿宋" w:eastAsia="仿宋" w:cs="仿宋"/>
          <w:sz w:val="24"/>
          <w:szCs w:val="24"/>
        </w:rPr>
        <w:t>农资流通</w:t>
      </w:r>
    </w:p>
    <w:p w14:paraId="1A3A7711">
      <w:pPr>
        <w:numPr>
          <w:ilvl w:val="0"/>
          <w:numId w:val="17"/>
        </w:numPr>
        <w:spacing w:line="360" w:lineRule="auto"/>
        <w:rPr>
          <w:rFonts w:hint="eastAsia" w:ascii="仿宋" w:hAnsi="仿宋" w:eastAsia="仿宋" w:cs="仿宋"/>
          <w:sz w:val="24"/>
          <w:szCs w:val="24"/>
        </w:rPr>
      </w:pPr>
      <w:r>
        <w:rPr>
          <w:rFonts w:hint="eastAsia" w:ascii="仿宋" w:hAnsi="仿宋" w:eastAsia="仿宋" w:cs="仿宋"/>
          <w:sz w:val="24"/>
          <w:szCs w:val="24"/>
        </w:rPr>
        <w:t>集采集配</w:t>
      </w:r>
    </w:p>
    <w:p w14:paraId="7923159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展示集中采购农资品类、数量、价格及渠道等。</w:t>
      </w:r>
    </w:p>
    <w:p w14:paraId="3E66AE6A">
      <w:pPr>
        <w:numPr>
          <w:ilvl w:val="0"/>
          <w:numId w:val="17"/>
        </w:numPr>
        <w:spacing w:line="360" w:lineRule="auto"/>
        <w:rPr>
          <w:rFonts w:hint="eastAsia" w:ascii="仿宋" w:hAnsi="仿宋" w:eastAsia="仿宋" w:cs="仿宋"/>
          <w:sz w:val="24"/>
          <w:szCs w:val="24"/>
        </w:rPr>
      </w:pPr>
      <w:r>
        <w:rPr>
          <w:rFonts w:hint="eastAsia" w:ascii="仿宋" w:hAnsi="仿宋" w:eastAsia="仿宋" w:cs="仿宋"/>
          <w:sz w:val="24"/>
          <w:szCs w:val="24"/>
        </w:rPr>
        <w:t>农资储备</w:t>
      </w:r>
    </w:p>
    <w:p w14:paraId="0E520C5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展示储备农资总量、农资品类及数量、农资储备仓库、品类及数量等。</w:t>
      </w:r>
    </w:p>
    <w:p w14:paraId="7A8734EC">
      <w:pPr>
        <w:numPr>
          <w:ilvl w:val="0"/>
          <w:numId w:val="17"/>
        </w:numPr>
        <w:spacing w:line="360" w:lineRule="auto"/>
        <w:rPr>
          <w:rFonts w:hint="eastAsia" w:ascii="仿宋" w:hAnsi="仿宋" w:eastAsia="仿宋" w:cs="仿宋"/>
          <w:sz w:val="24"/>
          <w:szCs w:val="24"/>
        </w:rPr>
      </w:pPr>
      <w:r>
        <w:rPr>
          <w:rFonts w:hint="eastAsia" w:ascii="仿宋" w:hAnsi="仿宋" w:eastAsia="仿宋" w:cs="仿宋"/>
          <w:sz w:val="24"/>
          <w:szCs w:val="24"/>
        </w:rPr>
        <w:t>绿色农资推广</w:t>
      </w:r>
    </w:p>
    <w:p w14:paraId="6DF6A19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展示绿色农资推广，包括绿色农资品牌、价格、性价比、功效等。</w:t>
      </w:r>
    </w:p>
    <w:p w14:paraId="3BCC52EF">
      <w:pPr>
        <w:numPr>
          <w:ilvl w:val="0"/>
          <w:numId w:val="17"/>
        </w:numPr>
        <w:spacing w:line="360" w:lineRule="auto"/>
        <w:rPr>
          <w:rFonts w:hint="eastAsia" w:ascii="仿宋" w:hAnsi="仿宋" w:eastAsia="仿宋" w:cs="仿宋"/>
          <w:sz w:val="24"/>
          <w:szCs w:val="24"/>
        </w:rPr>
      </w:pPr>
      <w:r>
        <w:rPr>
          <w:rFonts w:hint="eastAsia" w:ascii="仿宋" w:hAnsi="仿宋" w:eastAsia="仿宋" w:cs="仿宋"/>
          <w:sz w:val="24"/>
          <w:szCs w:val="24"/>
        </w:rPr>
        <w:t>动态信息</w:t>
      </w:r>
    </w:p>
    <w:p w14:paraId="26660D3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实现农资信息填报、上传。</w:t>
      </w:r>
    </w:p>
    <w:p w14:paraId="4F356E5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实现农资市场动态信息的填报、上传、发布。</w:t>
      </w:r>
    </w:p>
    <w:p w14:paraId="6C23B97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实现农资保供相关制度文件的上传和展示。</w:t>
      </w:r>
    </w:p>
    <w:p w14:paraId="3AD70926">
      <w:pPr>
        <w:numPr>
          <w:ilvl w:val="0"/>
          <w:numId w:val="17"/>
        </w:numPr>
        <w:spacing w:line="360" w:lineRule="auto"/>
        <w:rPr>
          <w:rFonts w:hint="eastAsia" w:ascii="仿宋" w:hAnsi="仿宋" w:eastAsia="仿宋" w:cs="仿宋"/>
          <w:sz w:val="24"/>
          <w:szCs w:val="24"/>
        </w:rPr>
      </w:pPr>
      <w:r>
        <w:rPr>
          <w:rFonts w:hint="eastAsia" w:ascii="仿宋" w:hAnsi="仿宋" w:eastAsia="仿宋" w:cs="仿宋"/>
          <w:sz w:val="24"/>
          <w:szCs w:val="24"/>
        </w:rPr>
        <w:t>农资质量监管</w:t>
      </w:r>
    </w:p>
    <w:p w14:paraId="75B772D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发布假冒伪劣产品信息。</w:t>
      </w:r>
    </w:p>
    <w:p w14:paraId="40EACA76">
      <w:pPr>
        <w:pStyle w:val="14"/>
        <w:numPr>
          <w:ilvl w:val="3"/>
          <w:numId w:val="15"/>
        </w:numPr>
        <w:spacing w:line="240" w:lineRule="auto"/>
        <w:rPr>
          <w:rFonts w:hint="eastAsia" w:ascii="仿宋" w:hAnsi="仿宋" w:eastAsia="仿宋" w:cs="仿宋"/>
          <w:sz w:val="24"/>
          <w:szCs w:val="24"/>
        </w:rPr>
      </w:pPr>
      <w:r>
        <w:rPr>
          <w:rFonts w:hint="eastAsia" w:ascii="仿宋" w:hAnsi="仿宋" w:eastAsia="仿宋" w:cs="仿宋"/>
          <w:sz w:val="24"/>
          <w:szCs w:val="24"/>
        </w:rPr>
        <w:t>日用消费品流通</w:t>
      </w:r>
    </w:p>
    <w:p w14:paraId="54E275E6">
      <w:pPr>
        <w:numPr>
          <w:ilvl w:val="0"/>
          <w:numId w:val="18"/>
        </w:numPr>
        <w:spacing w:line="360" w:lineRule="auto"/>
        <w:rPr>
          <w:rFonts w:hint="eastAsia" w:ascii="仿宋" w:hAnsi="仿宋" w:eastAsia="仿宋" w:cs="仿宋"/>
          <w:sz w:val="24"/>
          <w:szCs w:val="24"/>
        </w:rPr>
      </w:pPr>
      <w:r>
        <w:rPr>
          <w:rFonts w:hint="eastAsia" w:ascii="仿宋" w:hAnsi="仿宋" w:eastAsia="仿宋" w:cs="仿宋"/>
          <w:sz w:val="24"/>
          <w:szCs w:val="24"/>
        </w:rPr>
        <w:t>集采集配</w:t>
      </w:r>
    </w:p>
    <w:p w14:paraId="43188C9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展示集中采购农资品类、数量、价格及渠道等。</w:t>
      </w:r>
    </w:p>
    <w:p w14:paraId="2264838C">
      <w:pPr>
        <w:numPr>
          <w:ilvl w:val="0"/>
          <w:numId w:val="18"/>
        </w:numPr>
        <w:spacing w:line="360" w:lineRule="auto"/>
        <w:rPr>
          <w:rFonts w:hint="eastAsia" w:ascii="仿宋" w:hAnsi="仿宋" w:eastAsia="仿宋" w:cs="仿宋"/>
          <w:sz w:val="24"/>
          <w:szCs w:val="24"/>
        </w:rPr>
      </w:pPr>
      <w:r>
        <w:rPr>
          <w:rFonts w:hint="eastAsia" w:ascii="仿宋" w:hAnsi="仿宋" w:eastAsia="仿宋" w:cs="仿宋"/>
          <w:sz w:val="24"/>
          <w:szCs w:val="24"/>
        </w:rPr>
        <w:t>日用品销售</w:t>
      </w:r>
    </w:p>
    <w:p w14:paraId="04FCE75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统计日用品销售，展示包括日用品品类、数量、销售网点等。</w:t>
      </w:r>
    </w:p>
    <w:p w14:paraId="4D7537B3">
      <w:pPr>
        <w:numPr>
          <w:ilvl w:val="0"/>
          <w:numId w:val="18"/>
        </w:numPr>
        <w:spacing w:line="360" w:lineRule="auto"/>
        <w:rPr>
          <w:rFonts w:hint="eastAsia" w:ascii="仿宋" w:hAnsi="仿宋" w:eastAsia="仿宋" w:cs="仿宋"/>
          <w:sz w:val="24"/>
          <w:szCs w:val="24"/>
        </w:rPr>
      </w:pPr>
      <w:r>
        <w:rPr>
          <w:rFonts w:hint="eastAsia" w:ascii="仿宋" w:hAnsi="仿宋" w:eastAsia="仿宋" w:cs="仿宋"/>
          <w:sz w:val="24"/>
          <w:szCs w:val="24"/>
        </w:rPr>
        <w:t>集镇超市</w:t>
      </w:r>
    </w:p>
    <w:p w14:paraId="0DB8817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展示集镇超市销售，展示包括日用品品类、数量、销售网点等。</w:t>
      </w:r>
    </w:p>
    <w:p w14:paraId="2510738F">
      <w:pPr>
        <w:pStyle w:val="14"/>
        <w:numPr>
          <w:ilvl w:val="3"/>
          <w:numId w:val="15"/>
        </w:numPr>
        <w:spacing w:line="240" w:lineRule="auto"/>
        <w:rPr>
          <w:rFonts w:hint="eastAsia" w:ascii="仿宋" w:hAnsi="仿宋" w:eastAsia="仿宋" w:cs="仿宋"/>
          <w:sz w:val="24"/>
          <w:szCs w:val="24"/>
        </w:rPr>
      </w:pPr>
      <w:r>
        <w:rPr>
          <w:rFonts w:hint="eastAsia" w:ascii="仿宋" w:hAnsi="仿宋" w:eastAsia="仿宋" w:cs="仿宋"/>
          <w:sz w:val="24"/>
          <w:szCs w:val="24"/>
        </w:rPr>
        <w:t>可再生资源管理</w:t>
      </w:r>
    </w:p>
    <w:p w14:paraId="19ACA523">
      <w:pPr>
        <w:numPr>
          <w:ilvl w:val="0"/>
          <w:numId w:val="19"/>
        </w:numPr>
        <w:spacing w:line="360" w:lineRule="auto"/>
        <w:rPr>
          <w:rFonts w:hint="eastAsia" w:ascii="仿宋" w:hAnsi="仿宋" w:eastAsia="仿宋" w:cs="仿宋"/>
          <w:sz w:val="24"/>
          <w:szCs w:val="24"/>
        </w:rPr>
      </w:pPr>
      <w:r>
        <w:rPr>
          <w:rFonts w:hint="eastAsia" w:ascii="仿宋" w:hAnsi="仿宋" w:eastAsia="仿宋" w:cs="仿宋"/>
          <w:sz w:val="24"/>
          <w:szCs w:val="24"/>
        </w:rPr>
        <w:t>无废城市</w:t>
      </w:r>
    </w:p>
    <w:p w14:paraId="229B7ED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收益类、回收可二次利用的资源品类的出库和入库，体现重量（t）和总金额。</w:t>
      </w:r>
    </w:p>
    <w:p w14:paraId="5628986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服务宣传类：垃圾分类与再生资源，分类和活动，照片简讯活动的管理；大件垃圾清运（数量）；家电以旧换新（数量）。"</w:t>
      </w:r>
    </w:p>
    <w:p w14:paraId="0758F92B">
      <w:pPr>
        <w:numPr>
          <w:ilvl w:val="0"/>
          <w:numId w:val="19"/>
        </w:numPr>
        <w:spacing w:line="360" w:lineRule="auto"/>
        <w:rPr>
          <w:rFonts w:hint="eastAsia" w:ascii="仿宋" w:hAnsi="仿宋" w:eastAsia="仿宋" w:cs="仿宋"/>
          <w:sz w:val="24"/>
          <w:szCs w:val="24"/>
        </w:rPr>
      </w:pPr>
      <w:r>
        <w:rPr>
          <w:rFonts w:hint="eastAsia" w:ascii="仿宋" w:hAnsi="仿宋" w:eastAsia="仿宋" w:cs="仿宋"/>
          <w:sz w:val="24"/>
          <w:szCs w:val="24"/>
        </w:rPr>
        <w:t>资讯平台</w:t>
      </w:r>
    </w:p>
    <w:p w14:paraId="610D87E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发布可再生资源回收价格，发布垃圾分类回收和可再生资源回收的公益活动。</w:t>
      </w:r>
    </w:p>
    <w:p w14:paraId="7E4B8AE2">
      <w:pPr>
        <w:pStyle w:val="14"/>
        <w:numPr>
          <w:ilvl w:val="3"/>
          <w:numId w:val="15"/>
        </w:numPr>
        <w:spacing w:line="240" w:lineRule="auto"/>
        <w:rPr>
          <w:rFonts w:hint="eastAsia" w:ascii="仿宋" w:hAnsi="仿宋" w:eastAsia="仿宋" w:cs="仿宋"/>
          <w:sz w:val="24"/>
          <w:szCs w:val="24"/>
        </w:rPr>
      </w:pPr>
      <w:r>
        <w:rPr>
          <w:rFonts w:hint="eastAsia" w:ascii="仿宋" w:hAnsi="仿宋" w:eastAsia="仿宋" w:cs="仿宋"/>
          <w:sz w:val="24"/>
          <w:szCs w:val="24"/>
        </w:rPr>
        <w:t>仓储物流</w:t>
      </w:r>
    </w:p>
    <w:p w14:paraId="388774D7">
      <w:pPr>
        <w:numPr>
          <w:ilvl w:val="0"/>
          <w:numId w:val="20"/>
        </w:numPr>
        <w:spacing w:line="360" w:lineRule="auto"/>
        <w:rPr>
          <w:rFonts w:hint="eastAsia" w:ascii="仿宋" w:hAnsi="仿宋" w:eastAsia="仿宋" w:cs="仿宋"/>
          <w:sz w:val="24"/>
          <w:szCs w:val="24"/>
        </w:rPr>
      </w:pPr>
      <w:r>
        <w:rPr>
          <w:rFonts w:hint="eastAsia" w:ascii="仿宋" w:hAnsi="仿宋" w:eastAsia="仿宋" w:cs="仿宋"/>
          <w:sz w:val="24"/>
          <w:szCs w:val="24"/>
        </w:rPr>
        <w:t>仓储管理</w:t>
      </w:r>
    </w:p>
    <w:p w14:paraId="0C77E6F6">
      <w:pPr>
        <w:numPr>
          <w:ilvl w:val="0"/>
          <w:numId w:val="21"/>
        </w:numPr>
        <w:spacing w:line="360" w:lineRule="auto"/>
        <w:ind w:left="709" w:hanging="211"/>
        <w:rPr>
          <w:rFonts w:hint="eastAsia" w:ascii="仿宋" w:hAnsi="仿宋" w:eastAsia="仿宋" w:cs="仿宋"/>
          <w:sz w:val="24"/>
          <w:szCs w:val="24"/>
        </w:rPr>
      </w:pPr>
      <w:r>
        <w:rPr>
          <w:rFonts w:hint="eastAsia" w:ascii="仿宋" w:hAnsi="仿宋" w:eastAsia="仿宋" w:cs="仿宋"/>
          <w:sz w:val="24"/>
          <w:szCs w:val="24"/>
        </w:rPr>
        <w:t>抓取或填报电商后端仓储供应链的发货、采、存、售、过程数据</w:t>
      </w:r>
    </w:p>
    <w:p w14:paraId="21D3C11F">
      <w:pPr>
        <w:numPr>
          <w:ilvl w:val="0"/>
          <w:numId w:val="21"/>
        </w:numPr>
        <w:spacing w:line="360" w:lineRule="auto"/>
        <w:ind w:left="709" w:hanging="211"/>
        <w:rPr>
          <w:rFonts w:hint="eastAsia" w:ascii="仿宋" w:hAnsi="仿宋" w:eastAsia="仿宋" w:cs="仿宋"/>
          <w:sz w:val="24"/>
          <w:szCs w:val="24"/>
        </w:rPr>
      </w:pPr>
      <w:r>
        <w:rPr>
          <w:rFonts w:hint="eastAsia" w:ascii="仿宋" w:hAnsi="仿宋" w:eastAsia="仿宋" w:cs="仿宋"/>
          <w:sz w:val="24"/>
          <w:szCs w:val="24"/>
        </w:rPr>
        <w:t>展示当日发货量、件数、发货流向等关键数据</w:t>
      </w:r>
    </w:p>
    <w:p w14:paraId="4512313C">
      <w:pPr>
        <w:numPr>
          <w:ilvl w:val="0"/>
          <w:numId w:val="21"/>
        </w:numPr>
        <w:spacing w:line="360" w:lineRule="auto"/>
        <w:ind w:left="709" w:hanging="211"/>
        <w:rPr>
          <w:rFonts w:hint="eastAsia" w:ascii="仿宋" w:hAnsi="仿宋" w:eastAsia="仿宋" w:cs="仿宋"/>
          <w:sz w:val="24"/>
          <w:szCs w:val="24"/>
        </w:rPr>
      </w:pPr>
      <w:r>
        <w:rPr>
          <w:rFonts w:hint="eastAsia" w:ascii="仿宋" w:hAnsi="仿宋" w:eastAsia="仿宋" w:cs="仿宋"/>
          <w:sz w:val="24"/>
          <w:szCs w:val="24"/>
        </w:rPr>
        <w:t>根据表单填写货主、库存量等相关数据</w:t>
      </w:r>
    </w:p>
    <w:p w14:paraId="58ED770A">
      <w:pPr>
        <w:numPr>
          <w:ilvl w:val="0"/>
          <w:numId w:val="21"/>
        </w:numPr>
        <w:spacing w:line="360" w:lineRule="auto"/>
        <w:ind w:left="709" w:hanging="211"/>
        <w:rPr>
          <w:rFonts w:hint="eastAsia" w:ascii="仿宋" w:hAnsi="仿宋" w:eastAsia="仿宋" w:cs="仿宋"/>
          <w:sz w:val="24"/>
          <w:szCs w:val="24"/>
        </w:rPr>
      </w:pPr>
      <w:r>
        <w:rPr>
          <w:rFonts w:hint="eastAsia" w:ascii="仿宋" w:hAnsi="仿宋" w:eastAsia="仿宋" w:cs="仿宋"/>
          <w:sz w:val="24"/>
          <w:szCs w:val="24"/>
        </w:rPr>
        <w:t>按照不同周期统计出入库数量，形成柱状图、折线图等同比、环比的统计分析结果。</w:t>
      </w:r>
    </w:p>
    <w:p w14:paraId="241CBA88">
      <w:pPr>
        <w:numPr>
          <w:ilvl w:val="0"/>
          <w:numId w:val="20"/>
        </w:numPr>
        <w:spacing w:line="360" w:lineRule="auto"/>
        <w:rPr>
          <w:rFonts w:hint="eastAsia" w:ascii="仿宋" w:hAnsi="仿宋" w:eastAsia="仿宋" w:cs="仿宋"/>
          <w:sz w:val="24"/>
          <w:szCs w:val="24"/>
        </w:rPr>
      </w:pPr>
      <w:r>
        <w:rPr>
          <w:rFonts w:hint="eastAsia" w:ascii="仿宋" w:hAnsi="仿宋" w:eastAsia="仿宋" w:cs="仿宋"/>
          <w:sz w:val="24"/>
          <w:szCs w:val="24"/>
        </w:rPr>
        <w:t>冷链物流</w:t>
      </w:r>
    </w:p>
    <w:p w14:paraId="2A5BD6E8">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收集并展示冷链仓库相关数据。</w:t>
      </w:r>
    </w:p>
    <w:p w14:paraId="772E6B9C">
      <w:pPr>
        <w:pStyle w:val="5"/>
        <w:spacing w:line="240" w:lineRule="auto"/>
        <w:rPr>
          <w:rFonts w:hint="eastAsia" w:ascii="仿宋" w:hAnsi="仿宋" w:eastAsia="仿宋" w:cs="仿宋"/>
          <w:sz w:val="24"/>
          <w:szCs w:val="24"/>
        </w:rPr>
      </w:pPr>
      <w:r>
        <w:rPr>
          <w:rFonts w:hint="eastAsia" w:ascii="仿宋" w:hAnsi="仿宋" w:eastAsia="仿宋" w:cs="仿宋"/>
          <w:sz w:val="24"/>
          <w:szCs w:val="24"/>
        </w:rPr>
        <w:t>合作经济</w:t>
      </w:r>
    </w:p>
    <w:p w14:paraId="23E77CC4">
      <w:pPr>
        <w:pStyle w:val="14"/>
        <w:numPr>
          <w:ilvl w:val="3"/>
          <w:numId w:val="22"/>
        </w:numPr>
        <w:spacing w:line="240" w:lineRule="auto"/>
        <w:rPr>
          <w:rFonts w:hint="eastAsia" w:ascii="仿宋" w:hAnsi="仿宋" w:eastAsia="仿宋" w:cs="仿宋"/>
          <w:sz w:val="24"/>
          <w:szCs w:val="24"/>
        </w:rPr>
      </w:pPr>
      <w:r>
        <w:rPr>
          <w:rFonts w:hint="eastAsia" w:ascii="仿宋" w:hAnsi="仿宋" w:eastAsia="仿宋" w:cs="仿宋"/>
          <w:sz w:val="24"/>
          <w:szCs w:val="24"/>
        </w:rPr>
        <w:t>基层组织管理</w:t>
      </w:r>
    </w:p>
    <w:p w14:paraId="6C9F8C82">
      <w:pPr>
        <w:pStyle w:val="13"/>
        <w:numPr>
          <w:ilvl w:val="0"/>
          <w:numId w:val="23"/>
        </w:numPr>
        <w:spacing w:line="360" w:lineRule="auto"/>
        <w:ind w:hanging="69"/>
        <w:rPr>
          <w:rFonts w:hint="eastAsia" w:ascii="仿宋" w:hAnsi="仿宋" w:eastAsia="仿宋" w:cs="仿宋"/>
          <w:sz w:val="24"/>
          <w:szCs w:val="24"/>
        </w:rPr>
      </w:pPr>
      <w:r>
        <w:rPr>
          <w:rFonts w:hint="eastAsia" w:ascii="仿宋" w:hAnsi="仿宋" w:eastAsia="仿宋" w:cs="仿宋"/>
          <w:sz w:val="24"/>
          <w:szCs w:val="24"/>
        </w:rPr>
        <w:t>基层供销社</w:t>
      </w:r>
    </w:p>
    <w:p w14:paraId="206473E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形成薄弱基层社、示范基层社的定义标准。通过定义标准、数据上传及审核，实现展示示范基层社基本情况。通过定义标准、数据上传及审核，实现展示薄弱基层社改造情况。查看基层社统计结果。</w:t>
      </w:r>
    </w:p>
    <w:p w14:paraId="3A48675A">
      <w:pPr>
        <w:pStyle w:val="13"/>
        <w:numPr>
          <w:ilvl w:val="0"/>
          <w:numId w:val="23"/>
        </w:numPr>
        <w:spacing w:line="360" w:lineRule="auto"/>
        <w:ind w:hanging="69"/>
        <w:rPr>
          <w:rFonts w:hint="eastAsia" w:ascii="仿宋" w:hAnsi="仿宋" w:eastAsia="仿宋" w:cs="仿宋"/>
          <w:sz w:val="24"/>
          <w:szCs w:val="24"/>
        </w:rPr>
      </w:pPr>
      <w:r>
        <w:rPr>
          <w:rFonts w:hint="eastAsia" w:ascii="仿宋" w:hAnsi="仿宋" w:eastAsia="仿宋" w:cs="仿宋"/>
          <w:sz w:val="24"/>
          <w:szCs w:val="24"/>
        </w:rPr>
        <w:t>农民专业合作社</w:t>
      </w:r>
    </w:p>
    <w:p w14:paraId="32D53AC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统计农民合作社经营情况，展示合作社成员数量；通过GIS地图展示“合作社”的分布地，并展现合作社的基本信息等。</w:t>
      </w:r>
    </w:p>
    <w:p w14:paraId="1EADE346">
      <w:pPr>
        <w:pStyle w:val="13"/>
        <w:numPr>
          <w:ilvl w:val="0"/>
          <w:numId w:val="23"/>
        </w:numPr>
        <w:spacing w:line="360" w:lineRule="auto"/>
        <w:ind w:hanging="69"/>
        <w:rPr>
          <w:rFonts w:hint="eastAsia" w:ascii="仿宋" w:hAnsi="仿宋" w:eastAsia="仿宋" w:cs="仿宋"/>
          <w:sz w:val="24"/>
          <w:szCs w:val="24"/>
        </w:rPr>
      </w:pPr>
      <w:r>
        <w:rPr>
          <w:rFonts w:hint="eastAsia" w:ascii="仿宋" w:hAnsi="仿宋" w:eastAsia="仿宋" w:cs="仿宋"/>
          <w:sz w:val="24"/>
          <w:szCs w:val="24"/>
        </w:rPr>
        <w:t>综合服务社</w:t>
      </w:r>
    </w:p>
    <w:p w14:paraId="29AF9CC6">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星级服务社建设情况，展示星级服务社建设情况。</w:t>
      </w:r>
    </w:p>
    <w:p w14:paraId="2F015BAA">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联合会及协会</w:t>
      </w:r>
    </w:p>
    <w:p w14:paraId="0390E78D">
      <w:pPr>
        <w:pStyle w:val="13"/>
        <w:numPr>
          <w:ilvl w:val="0"/>
          <w:numId w:val="24"/>
        </w:numPr>
        <w:spacing w:line="360" w:lineRule="auto"/>
        <w:ind w:left="1276"/>
        <w:rPr>
          <w:rFonts w:hint="eastAsia" w:ascii="仿宋" w:hAnsi="仿宋" w:eastAsia="仿宋" w:cs="仿宋"/>
          <w:sz w:val="24"/>
          <w:szCs w:val="24"/>
        </w:rPr>
      </w:pPr>
      <w:r>
        <w:rPr>
          <w:rFonts w:hint="eastAsia" w:ascii="仿宋" w:hAnsi="仿宋" w:eastAsia="仿宋" w:cs="仿宋"/>
          <w:sz w:val="24"/>
          <w:szCs w:val="24"/>
        </w:rPr>
        <w:t>分布展示</w:t>
      </w:r>
    </w:p>
    <w:p w14:paraId="1D9D07FF">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展现协会的基本信息、会员数量（单位会员、个人会员）、成立时间、办公地址、注册地、有无分社、党组织人数、党组织等相关信息。</w:t>
      </w:r>
    </w:p>
    <w:p w14:paraId="057D8994">
      <w:pPr>
        <w:pStyle w:val="13"/>
        <w:numPr>
          <w:ilvl w:val="0"/>
          <w:numId w:val="24"/>
        </w:numPr>
        <w:spacing w:line="360" w:lineRule="auto"/>
        <w:ind w:left="1276"/>
        <w:rPr>
          <w:rFonts w:hint="eastAsia" w:ascii="仿宋" w:hAnsi="仿宋" w:eastAsia="仿宋" w:cs="仿宋"/>
          <w:sz w:val="24"/>
          <w:szCs w:val="24"/>
        </w:rPr>
      </w:pPr>
      <w:r>
        <w:rPr>
          <w:rFonts w:hint="eastAsia" w:ascii="仿宋" w:hAnsi="仿宋" w:eastAsia="仿宋" w:cs="仿宋"/>
          <w:sz w:val="24"/>
          <w:szCs w:val="24"/>
        </w:rPr>
        <w:t>主要产品</w:t>
      </w:r>
    </w:p>
    <w:p w14:paraId="7EB771FE">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展示联合会各类活动及主要产品情况。</w:t>
      </w:r>
    </w:p>
    <w:p w14:paraId="2880256B">
      <w:pPr>
        <w:pStyle w:val="13"/>
        <w:numPr>
          <w:ilvl w:val="0"/>
          <w:numId w:val="24"/>
        </w:numPr>
        <w:spacing w:line="360" w:lineRule="auto"/>
        <w:ind w:left="1276"/>
        <w:rPr>
          <w:rFonts w:hint="eastAsia" w:ascii="仿宋" w:hAnsi="仿宋" w:eastAsia="仿宋" w:cs="仿宋"/>
          <w:sz w:val="24"/>
          <w:szCs w:val="24"/>
        </w:rPr>
      </w:pPr>
      <w:r>
        <w:rPr>
          <w:rFonts w:hint="eastAsia" w:ascii="仿宋" w:hAnsi="仿宋" w:eastAsia="仿宋" w:cs="仿宋"/>
          <w:sz w:val="24"/>
          <w:szCs w:val="24"/>
        </w:rPr>
        <w:t>协会管理</w:t>
      </w:r>
    </w:p>
    <w:p w14:paraId="548D51FD">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实现对协会相关制度的编辑、上传、展示和维护。</w:t>
      </w:r>
    </w:p>
    <w:p w14:paraId="0667F781">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开放办社</w:t>
      </w:r>
    </w:p>
    <w:p w14:paraId="182CAECA">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对推荐加入供销社的经营主体的基本信息进行审核，实现企业入社和退社流程，并展示企业基本信息。</w:t>
      </w:r>
    </w:p>
    <w:p w14:paraId="3839178C">
      <w:pPr>
        <w:pStyle w:val="5"/>
        <w:spacing w:line="360" w:lineRule="auto"/>
        <w:rPr>
          <w:rFonts w:hint="eastAsia" w:ascii="仿宋" w:hAnsi="仿宋" w:eastAsia="仿宋" w:cs="仿宋"/>
          <w:sz w:val="24"/>
          <w:szCs w:val="24"/>
        </w:rPr>
      </w:pPr>
      <w:r>
        <w:rPr>
          <w:rFonts w:hint="eastAsia" w:ascii="仿宋" w:hAnsi="仿宋" w:eastAsia="仿宋" w:cs="仿宋"/>
          <w:sz w:val="24"/>
          <w:szCs w:val="24"/>
        </w:rPr>
        <w:t>为农服务</w:t>
      </w:r>
    </w:p>
    <w:p w14:paraId="05ECD06A">
      <w:pPr>
        <w:pStyle w:val="14"/>
        <w:numPr>
          <w:ilvl w:val="3"/>
          <w:numId w:val="25"/>
        </w:numPr>
        <w:spacing w:line="240" w:lineRule="auto"/>
        <w:rPr>
          <w:rFonts w:hint="eastAsia" w:ascii="仿宋" w:hAnsi="仿宋" w:eastAsia="仿宋" w:cs="仿宋"/>
          <w:sz w:val="24"/>
          <w:szCs w:val="24"/>
        </w:rPr>
      </w:pPr>
      <w:r>
        <w:rPr>
          <w:rFonts w:hint="eastAsia" w:ascii="仿宋" w:hAnsi="仿宋" w:eastAsia="仿宋" w:cs="仿宋"/>
          <w:sz w:val="24"/>
          <w:szCs w:val="24"/>
        </w:rPr>
        <w:t>大田托管</w:t>
      </w:r>
    </w:p>
    <w:p w14:paraId="69743449">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（1）统计展示企业托管情况，包括企业基本信息、经营情况、企业资质、托管面积、托管类型、托管费、农户数、农产品及产量等。</w:t>
      </w:r>
    </w:p>
    <w:p w14:paraId="1979157D">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（2）展示土地托管地图，通过GIS地图展示“土地托管”的分布地。</w:t>
      </w:r>
    </w:p>
    <w:p w14:paraId="75621795">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金融服务</w:t>
      </w:r>
    </w:p>
    <w:p w14:paraId="345C1E9D">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发布银行金融服务信息，包括存款、贷款、理财、信用卡等服务信息。</w:t>
      </w:r>
    </w:p>
    <w:p w14:paraId="615DC84E">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科教培训</w:t>
      </w:r>
    </w:p>
    <w:p w14:paraId="4F8139A4">
      <w:pPr>
        <w:pStyle w:val="13"/>
        <w:numPr>
          <w:ilvl w:val="0"/>
          <w:numId w:val="26"/>
        </w:numPr>
        <w:spacing w:line="360" w:lineRule="auto"/>
        <w:rPr>
          <w:rFonts w:hint="eastAsia" w:ascii="仿宋" w:hAnsi="仿宋" w:eastAsia="仿宋" w:cs="仿宋"/>
          <w:sz w:val="24"/>
          <w:szCs w:val="24"/>
        </w:rPr>
      </w:pPr>
      <w:r>
        <w:rPr>
          <w:rFonts w:hint="eastAsia" w:ascii="仿宋" w:hAnsi="仿宋" w:eastAsia="仿宋" w:cs="仿宋"/>
          <w:sz w:val="24"/>
          <w:szCs w:val="24"/>
        </w:rPr>
        <w:t>科技推广宣传</w:t>
      </w:r>
    </w:p>
    <w:p w14:paraId="33342C21">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科技推广宣传，以分类，列表的形式，展示科技推广宣传。</w:t>
      </w:r>
    </w:p>
    <w:p w14:paraId="150280BD">
      <w:pPr>
        <w:pStyle w:val="13"/>
        <w:numPr>
          <w:ilvl w:val="0"/>
          <w:numId w:val="26"/>
        </w:numPr>
        <w:spacing w:line="360" w:lineRule="auto"/>
        <w:rPr>
          <w:rFonts w:hint="eastAsia" w:ascii="仿宋" w:hAnsi="仿宋" w:eastAsia="仿宋" w:cs="仿宋"/>
          <w:sz w:val="24"/>
          <w:szCs w:val="24"/>
        </w:rPr>
      </w:pPr>
      <w:r>
        <w:rPr>
          <w:rFonts w:hint="eastAsia" w:ascii="仿宋" w:hAnsi="仿宋" w:eastAsia="仿宋" w:cs="仿宋"/>
          <w:sz w:val="24"/>
          <w:szCs w:val="24"/>
        </w:rPr>
        <w:t>年度培训计划管理</w:t>
      </w:r>
    </w:p>
    <w:p w14:paraId="22A7629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对年度培训计划进行新增、修改、删除、查询等操作，实现对年度培训计划的全面管理。支持将年度培训计划下发至市社机关、各区县供销联社、企业等，并能查看市社机关、各区县供销联社、企业等对年度培训计划查收情况。</w:t>
      </w:r>
    </w:p>
    <w:p w14:paraId="20587AA2">
      <w:pPr>
        <w:pStyle w:val="13"/>
        <w:numPr>
          <w:ilvl w:val="0"/>
          <w:numId w:val="26"/>
        </w:numPr>
        <w:spacing w:line="360" w:lineRule="auto"/>
        <w:rPr>
          <w:rFonts w:hint="eastAsia" w:ascii="仿宋" w:hAnsi="仿宋" w:eastAsia="仿宋" w:cs="仿宋"/>
          <w:sz w:val="24"/>
          <w:szCs w:val="24"/>
        </w:rPr>
      </w:pPr>
      <w:r>
        <w:rPr>
          <w:rFonts w:hint="eastAsia" w:ascii="仿宋" w:hAnsi="仿宋" w:eastAsia="仿宋" w:cs="仿宋"/>
          <w:sz w:val="24"/>
          <w:szCs w:val="24"/>
        </w:rPr>
        <w:t>具体培训计划管理</w:t>
      </w:r>
    </w:p>
    <w:p w14:paraId="0DEA060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对具体培训计划进行新增、修改、删除、查询等操作，实现对具体培训计划的全面管理。支持将培训计划下发至市社机关、各区县供销联社、企业等，并能查看市社机关、各区县供销联社、企业等对培训计划查收和报名情况。</w:t>
      </w:r>
    </w:p>
    <w:p w14:paraId="095F32DA">
      <w:pPr>
        <w:pStyle w:val="13"/>
        <w:numPr>
          <w:ilvl w:val="0"/>
          <w:numId w:val="26"/>
        </w:numPr>
        <w:spacing w:line="360" w:lineRule="auto"/>
        <w:rPr>
          <w:rFonts w:hint="eastAsia" w:ascii="仿宋" w:hAnsi="仿宋" w:eastAsia="仿宋" w:cs="仿宋"/>
          <w:sz w:val="24"/>
          <w:szCs w:val="24"/>
        </w:rPr>
      </w:pPr>
      <w:r>
        <w:rPr>
          <w:rFonts w:hint="eastAsia" w:ascii="仿宋" w:hAnsi="仿宋" w:eastAsia="仿宋" w:cs="仿宋"/>
          <w:sz w:val="24"/>
          <w:szCs w:val="24"/>
        </w:rPr>
        <w:t>培训计划查看</w:t>
      </w:r>
    </w:p>
    <w:p w14:paraId="5997684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市社机关、各区县供销联社、企业等能够查收下发的具体培训计划，并反馈查收情况。具体培训计划的内容包括：培训时间、培训地点、培训内容、培训对象、培训费用、相关要求、报名回执表、名额分配、课程表等。</w:t>
      </w:r>
    </w:p>
    <w:p w14:paraId="119503C5">
      <w:pPr>
        <w:pStyle w:val="13"/>
        <w:numPr>
          <w:ilvl w:val="0"/>
          <w:numId w:val="26"/>
        </w:numPr>
        <w:spacing w:line="360" w:lineRule="auto"/>
        <w:rPr>
          <w:rFonts w:hint="eastAsia" w:ascii="仿宋" w:hAnsi="仿宋" w:eastAsia="仿宋" w:cs="仿宋"/>
          <w:sz w:val="24"/>
          <w:szCs w:val="24"/>
        </w:rPr>
      </w:pPr>
      <w:r>
        <w:rPr>
          <w:rFonts w:hint="eastAsia" w:ascii="仿宋" w:hAnsi="仿宋" w:eastAsia="仿宋" w:cs="仿宋"/>
          <w:sz w:val="24"/>
          <w:szCs w:val="24"/>
        </w:rPr>
        <w:t>培训报名</w:t>
      </w:r>
    </w:p>
    <w:p w14:paraId="36A6003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市社机关、各区县供销联社、企业等根据下发的具体培训计划，填写报表回执表，并提交。</w:t>
      </w:r>
    </w:p>
    <w:p w14:paraId="2C188A87">
      <w:pPr>
        <w:pStyle w:val="13"/>
        <w:numPr>
          <w:ilvl w:val="0"/>
          <w:numId w:val="26"/>
        </w:numPr>
        <w:spacing w:line="360" w:lineRule="auto"/>
        <w:rPr>
          <w:rFonts w:hint="eastAsia" w:ascii="仿宋" w:hAnsi="仿宋" w:eastAsia="仿宋" w:cs="仿宋"/>
          <w:sz w:val="24"/>
          <w:szCs w:val="24"/>
        </w:rPr>
      </w:pPr>
      <w:r>
        <w:rPr>
          <w:rFonts w:hint="eastAsia" w:ascii="仿宋" w:hAnsi="仿宋" w:eastAsia="仿宋" w:cs="仿宋"/>
          <w:sz w:val="24"/>
          <w:szCs w:val="24"/>
        </w:rPr>
        <w:t>培训过程及培训结果管理</w:t>
      </w:r>
    </w:p>
    <w:p w14:paraId="6F0AA80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对培训签到及培训会议纪要等进行管理。</w:t>
      </w:r>
    </w:p>
    <w:p w14:paraId="21944B69">
      <w:pPr>
        <w:pStyle w:val="13"/>
        <w:numPr>
          <w:ilvl w:val="0"/>
          <w:numId w:val="26"/>
        </w:numPr>
        <w:spacing w:line="360" w:lineRule="auto"/>
        <w:rPr>
          <w:rFonts w:hint="eastAsia" w:ascii="仿宋" w:hAnsi="仿宋" w:eastAsia="仿宋" w:cs="仿宋"/>
          <w:sz w:val="24"/>
          <w:szCs w:val="24"/>
        </w:rPr>
      </w:pPr>
      <w:r>
        <w:rPr>
          <w:rFonts w:hint="eastAsia" w:ascii="仿宋" w:hAnsi="仿宋" w:eastAsia="仿宋" w:cs="仿宋"/>
          <w:sz w:val="24"/>
          <w:szCs w:val="24"/>
        </w:rPr>
        <w:t>精品课程</w:t>
      </w:r>
    </w:p>
    <w:p w14:paraId="54565849">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对优秀视频和课件进行分类管理和展示，供企业查看和下载。</w:t>
      </w:r>
    </w:p>
    <w:p w14:paraId="78A85C47">
      <w:pPr>
        <w:pStyle w:val="5"/>
        <w:spacing w:line="240" w:lineRule="auto"/>
        <w:rPr>
          <w:rFonts w:hint="eastAsia" w:ascii="仿宋" w:hAnsi="仿宋" w:eastAsia="仿宋" w:cs="仿宋"/>
          <w:sz w:val="24"/>
          <w:szCs w:val="24"/>
        </w:rPr>
      </w:pPr>
      <w:r>
        <w:rPr>
          <w:rFonts w:hint="eastAsia" w:ascii="仿宋" w:hAnsi="仿宋" w:eastAsia="仿宋" w:cs="仿宋"/>
          <w:sz w:val="24"/>
          <w:szCs w:val="24"/>
        </w:rPr>
        <w:t>应急保供</w:t>
      </w:r>
    </w:p>
    <w:p w14:paraId="2C8BFD51">
      <w:pPr>
        <w:pStyle w:val="14"/>
        <w:numPr>
          <w:ilvl w:val="3"/>
          <w:numId w:val="27"/>
        </w:numPr>
        <w:spacing w:line="240" w:lineRule="auto"/>
        <w:rPr>
          <w:rFonts w:hint="eastAsia" w:ascii="仿宋" w:hAnsi="仿宋" w:eastAsia="仿宋" w:cs="仿宋"/>
          <w:sz w:val="24"/>
          <w:szCs w:val="24"/>
        </w:rPr>
      </w:pPr>
      <w:r>
        <w:rPr>
          <w:rFonts w:hint="eastAsia" w:ascii="仿宋" w:hAnsi="仿宋" w:eastAsia="仿宋" w:cs="仿宋"/>
          <w:sz w:val="24"/>
          <w:szCs w:val="24"/>
        </w:rPr>
        <w:t>储备管理</w:t>
      </w:r>
    </w:p>
    <w:p w14:paraId="187ECB35">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展示资源的储备情况，包括储备清单、储备数量等，并实现查询及数据维护。</w:t>
      </w:r>
    </w:p>
    <w:p w14:paraId="3D7185B3">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储备库建设</w:t>
      </w:r>
    </w:p>
    <w:p w14:paraId="7451AE80">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展示应急资源储备库的数量、分布及基本情况，具体包括：基本说明、位置信息、交通情况、面积信息、储备能力、储备物资内容、管理规范等内容。</w:t>
      </w:r>
    </w:p>
    <w:p w14:paraId="6D15C412">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农资储备</w:t>
      </w:r>
    </w:p>
    <w:p w14:paraId="551D338F">
      <w:pPr>
        <w:pStyle w:val="13"/>
        <w:spacing w:line="360" w:lineRule="auto"/>
        <w:rPr>
          <w:rFonts w:hint="eastAsia" w:ascii="仿宋" w:hAnsi="仿宋" w:eastAsia="仿宋" w:cs="仿宋"/>
          <w:sz w:val="24"/>
          <w:szCs w:val="24"/>
        </w:rPr>
      </w:pPr>
      <w:r>
        <w:rPr>
          <w:rFonts w:hint="eastAsia" w:ascii="仿宋" w:hAnsi="仿宋" w:eastAsia="仿宋" w:cs="仿宋"/>
          <w:sz w:val="24"/>
          <w:szCs w:val="24"/>
        </w:rPr>
        <w:t>展示农用物资的储备总数量，各品类及数量；农用物资储备地及各品类、数量等信息。</w:t>
      </w:r>
    </w:p>
    <w:p w14:paraId="52CB107A">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应急物资</w:t>
      </w:r>
    </w:p>
    <w:p w14:paraId="536E0220">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展示应急物资的储备总数量，各品类及数量；应急物资储备地及各品类、数量等信息。</w:t>
      </w:r>
    </w:p>
    <w:p w14:paraId="59EC2DF9">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平急两用</w:t>
      </w:r>
    </w:p>
    <w:p w14:paraId="5914EEA2">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展示平急两用的物资的库存情况、出入库情况等信息。</w:t>
      </w:r>
    </w:p>
    <w:p w14:paraId="1731C6EA">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生活必需品</w:t>
      </w:r>
    </w:p>
    <w:p w14:paraId="4254739A">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展示生活必需品的储备总数量，各品类及数量；生活必需品储备地及各品类、数量、质保期等信息。</w:t>
      </w:r>
    </w:p>
    <w:p w14:paraId="540C3C1C">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应急预案</w:t>
      </w:r>
    </w:p>
    <w:p w14:paraId="06337D01">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展示各种应急预案的信息，包括预案的名称、内容、适用范围等。</w:t>
      </w:r>
    </w:p>
    <w:p w14:paraId="1C8E4A6A">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应急响应报告</w:t>
      </w:r>
    </w:p>
    <w:p w14:paraId="0070196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展示应急响应事件的基本信息，包括事件时间、地点、简要经过、应急措施、效果等相关信息。</w:t>
      </w:r>
    </w:p>
    <w:p w14:paraId="1C2A1BBA">
      <w:pPr>
        <w:pStyle w:val="5"/>
        <w:spacing w:line="360" w:lineRule="auto"/>
        <w:rPr>
          <w:rFonts w:hint="eastAsia" w:ascii="仿宋" w:hAnsi="仿宋" w:eastAsia="仿宋" w:cs="仿宋"/>
          <w:sz w:val="24"/>
          <w:szCs w:val="24"/>
        </w:rPr>
      </w:pPr>
      <w:r>
        <w:rPr>
          <w:rFonts w:hint="eastAsia" w:ascii="仿宋" w:hAnsi="仿宋" w:eastAsia="仿宋" w:cs="仿宋"/>
          <w:sz w:val="24"/>
          <w:szCs w:val="24"/>
        </w:rPr>
        <w:t>安全生产</w:t>
      </w:r>
    </w:p>
    <w:p w14:paraId="264EF258">
      <w:pPr>
        <w:pStyle w:val="14"/>
        <w:numPr>
          <w:ilvl w:val="3"/>
          <w:numId w:val="28"/>
        </w:numPr>
        <w:spacing w:line="240" w:lineRule="auto"/>
        <w:rPr>
          <w:rFonts w:hint="eastAsia" w:ascii="仿宋" w:hAnsi="仿宋" w:eastAsia="仿宋" w:cs="仿宋"/>
          <w:sz w:val="24"/>
          <w:szCs w:val="24"/>
        </w:rPr>
      </w:pPr>
      <w:r>
        <w:rPr>
          <w:rFonts w:hint="eastAsia" w:ascii="仿宋" w:hAnsi="仿宋" w:eastAsia="仿宋" w:cs="仿宋"/>
          <w:sz w:val="24"/>
          <w:szCs w:val="24"/>
        </w:rPr>
        <w:t>在建项目管理</w:t>
      </w:r>
    </w:p>
    <w:p w14:paraId="2AC63FE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展示在建项目的基本信息，包括了项目名称、建设内容、金额、参与成员、项目进度计划、安全管理制度等内容。</w:t>
      </w:r>
    </w:p>
    <w:p w14:paraId="6B27E2E8">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安全监管</w:t>
      </w:r>
    </w:p>
    <w:p w14:paraId="16C4D85F">
      <w:pPr>
        <w:pStyle w:val="13"/>
        <w:numPr>
          <w:ilvl w:val="0"/>
          <w:numId w:val="29"/>
        </w:numPr>
        <w:spacing w:line="360" w:lineRule="auto"/>
        <w:rPr>
          <w:rFonts w:hint="eastAsia" w:ascii="仿宋" w:hAnsi="仿宋" w:eastAsia="仿宋" w:cs="仿宋"/>
          <w:sz w:val="24"/>
          <w:szCs w:val="24"/>
        </w:rPr>
      </w:pPr>
      <w:r>
        <w:rPr>
          <w:rFonts w:hint="eastAsia" w:ascii="仿宋" w:hAnsi="仿宋" w:eastAsia="仿宋" w:cs="仿宋"/>
          <w:sz w:val="24"/>
          <w:szCs w:val="24"/>
        </w:rPr>
        <w:t>安全管理</w:t>
      </w:r>
    </w:p>
    <w:p w14:paraId="57F6144A">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安全信息展示：安全生产小组成员；市社安全生产职责、领导安全职责、处室安全职责、单位安全职责；重点工作进度、检查动态信息。</w:t>
      </w:r>
    </w:p>
    <w:p w14:paraId="623088FA">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安全生产任务管理，包括任务部署、任务反馈、申请延期、反馈审核、统计分析；</w:t>
      </w:r>
    </w:p>
    <w:p w14:paraId="383F9401">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安全生产制度和规范，包括安全生产知识库、安全生产标准化管理；</w:t>
      </w:r>
    </w:p>
    <w:p w14:paraId="75F0AFE4">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安全生产事件上报管理。</w:t>
      </w:r>
    </w:p>
    <w:p w14:paraId="5D45DC8B">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安全活动上报，可自定义活动内容</w:t>
      </w:r>
    </w:p>
    <w:p w14:paraId="453DF5E8">
      <w:pPr>
        <w:pStyle w:val="13"/>
        <w:numPr>
          <w:ilvl w:val="0"/>
          <w:numId w:val="29"/>
        </w:numPr>
        <w:spacing w:line="360" w:lineRule="auto"/>
        <w:rPr>
          <w:rFonts w:hint="eastAsia" w:ascii="仿宋" w:hAnsi="仿宋" w:eastAsia="仿宋" w:cs="仿宋"/>
          <w:sz w:val="24"/>
          <w:szCs w:val="24"/>
        </w:rPr>
      </w:pPr>
      <w:r>
        <w:rPr>
          <w:rFonts w:hint="eastAsia" w:ascii="仿宋" w:hAnsi="仿宋" w:eastAsia="仿宋" w:cs="仿宋"/>
          <w:sz w:val="24"/>
          <w:szCs w:val="24"/>
        </w:rPr>
        <w:t>安全检查</w:t>
      </w:r>
    </w:p>
    <w:p w14:paraId="606144FE">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安全生产检查，包括安全生产检查、监督检查归档。</w:t>
      </w:r>
    </w:p>
    <w:p w14:paraId="3AE65079">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安全隐患管理：隐患上报，按期整改、延迟整改申请等。</w:t>
      </w:r>
    </w:p>
    <w:p w14:paraId="23BDA046">
      <w:pPr>
        <w:pStyle w:val="13"/>
        <w:numPr>
          <w:ilvl w:val="0"/>
          <w:numId w:val="29"/>
        </w:numPr>
        <w:spacing w:line="360" w:lineRule="auto"/>
        <w:rPr>
          <w:rFonts w:hint="eastAsia" w:ascii="仿宋" w:hAnsi="仿宋" w:eastAsia="仿宋" w:cs="仿宋"/>
          <w:sz w:val="24"/>
          <w:szCs w:val="24"/>
        </w:rPr>
      </w:pPr>
      <w:r>
        <w:rPr>
          <w:rFonts w:hint="eastAsia" w:ascii="仿宋" w:hAnsi="仿宋" w:eastAsia="仿宋" w:cs="仿宋"/>
          <w:sz w:val="24"/>
          <w:szCs w:val="24"/>
        </w:rPr>
        <w:t>安全教育</w:t>
      </w:r>
    </w:p>
    <w:p w14:paraId="7FC45B1E">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安全生产教育任务下发，结果反馈，归档。</w:t>
      </w:r>
    </w:p>
    <w:p w14:paraId="0F96FC88">
      <w:pPr>
        <w:pStyle w:val="13"/>
        <w:numPr>
          <w:ilvl w:val="0"/>
          <w:numId w:val="29"/>
        </w:numPr>
        <w:spacing w:line="360" w:lineRule="auto"/>
        <w:rPr>
          <w:rFonts w:hint="eastAsia" w:ascii="仿宋" w:hAnsi="仿宋" w:eastAsia="仿宋" w:cs="仿宋"/>
          <w:sz w:val="24"/>
          <w:szCs w:val="24"/>
        </w:rPr>
      </w:pPr>
      <w:r>
        <w:rPr>
          <w:rFonts w:hint="eastAsia" w:ascii="仿宋" w:hAnsi="仿宋" w:eastAsia="仿宋" w:cs="仿宋"/>
          <w:sz w:val="24"/>
          <w:szCs w:val="24"/>
        </w:rPr>
        <w:t>应急预案</w:t>
      </w:r>
    </w:p>
    <w:p w14:paraId="5787CD22">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展示各种应急预案的信息及历史数据，包括预案的名称、内容、适用范围等。</w:t>
      </w:r>
    </w:p>
    <w:p w14:paraId="15F3C67A">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经营网点可视化</w:t>
      </w:r>
    </w:p>
    <w:p w14:paraId="553FC175">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通过GIS地图展示“经营网点”的分布，并展现经营网点的基本情况及安全管理责任、落实当年安全排查要求。</w:t>
      </w:r>
    </w:p>
    <w:p w14:paraId="61C2EF7E">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数据分析</w:t>
      </w:r>
    </w:p>
    <w:p w14:paraId="47537FAE">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（1）月度情况分析，通过文字和图表，进行月度安全分析。</w:t>
      </w:r>
    </w:p>
    <w:p w14:paraId="160AA4F7">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（2）季度情况分析，通过文字和图表，进行季度安全分析。</w:t>
      </w:r>
    </w:p>
    <w:p w14:paraId="4D3080FE">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（3）年度情况分析，通过文字和图表，进行年度安全分析。</w:t>
      </w:r>
    </w:p>
    <w:p w14:paraId="77C63884">
      <w:pPr>
        <w:pStyle w:val="5"/>
        <w:spacing w:line="240" w:lineRule="auto"/>
        <w:rPr>
          <w:rFonts w:hint="eastAsia" w:ascii="仿宋" w:hAnsi="仿宋" w:eastAsia="仿宋" w:cs="仿宋"/>
          <w:sz w:val="24"/>
          <w:szCs w:val="24"/>
        </w:rPr>
      </w:pPr>
      <w:r>
        <w:rPr>
          <w:rFonts w:hint="eastAsia" w:ascii="仿宋" w:hAnsi="仿宋" w:eastAsia="仿宋" w:cs="仿宋"/>
          <w:sz w:val="24"/>
          <w:szCs w:val="24"/>
        </w:rPr>
        <w:t>考核管理</w:t>
      </w:r>
    </w:p>
    <w:p w14:paraId="4BC5AA5C">
      <w:pPr>
        <w:pStyle w:val="14"/>
        <w:numPr>
          <w:ilvl w:val="3"/>
          <w:numId w:val="30"/>
        </w:numPr>
        <w:spacing w:line="240" w:lineRule="auto"/>
        <w:rPr>
          <w:rFonts w:hint="eastAsia" w:ascii="仿宋" w:hAnsi="仿宋" w:eastAsia="仿宋" w:cs="仿宋"/>
          <w:sz w:val="24"/>
          <w:szCs w:val="24"/>
        </w:rPr>
      </w:pPr>
      <w:r>
        <w:rPr>
          <w:rFonts w:hint="eastAsia" w:ascii="仿宋" w:hAnsi="仿宋" w:eastAsia="仿宋" w:cs="仿宋"/>
          <w:sz w:val="24"/>
          <w:szCs w:val="24"/>
        </w:rPr>
        <w:t>综合业绩考核</w:t>
      </w:r>
    </w:p>
    <w:p w14:paraId="586A4F90">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综合业绩考核目标及进度展示；</w:t>
      </w:r>
    </w:p>
    <w:p w14:paraId="04E265CD">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考核打分，考核分析展示。</w:t>
      </w:r>
    </w:p>
    <w:p w14:paraId="267F148D">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中省考核</w:t>
      </w:r>
    </w:p>
    <w:p w14:paraId="07F96584">
      <w:pPr>
        <w:pStyle w:val="13"/>
        <w:spacing w:line="240" w:lineRule="auto"/>
        <w:ind w:firstLine="482"/>
        <w:rPr>
          <w:rFonts w:hint="eastAsia" w:ascii="仿宋" w:hAnsi="仿宋" w:eastAsia="仿宋" w:cs="仿宋"/>
          <w:color w:val="000000"/>
          <w:sz w:val="24"/>
          <w:szCs w:val="24"/>
        </w:rPr>
      </w:pPr>
      <w:r>
        <w:rPr>
          <w:rFonts w:hint="eastAsia" w:ascii="仿宋" w:hAnsi="仿宋" w:eastAsia="仿宋" w:cs="仿宋"/>
          <w:color w:val="000000"/>
          <w:sz w:val="24"/>
          <w:szCs w:val="24"/>
        </w:rPr>
        <w:t>中省考核内容展示。</w:t>
      </w:r>
    </w:p>
    <w:p w14:paraId="4D78DF50">
      <w:pPr>
        <w:pStyle w:val="14"/>
        <w:numPr>
          <w:ilvl w:val="3"/>
          <w:numId w:val="5"/>
        </w:num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省级考核</w:t>
      </w:r>
    </w:p>
    <w:p w14:paraId="12C66EAE">
      <w:pPr>
        <w:pStyle w:val="13"/>
        <w:spacing w:line="360" w:lineRule="auto"/>
        <w:ind w:firstLine="482"/>
        <w:rPr>
          <w:rFonts w:hint="eastAsia" w:ascii="仿宋" w:hAnsi="仿宋" w:eastAsia="仿宋" w:cs="仿宋"/>
          <w:color w:val="000000"/>
          <w:sz w:val="24"/>
          <w:szCs w:val="24"/>
        </w:rPr>
      </w:pPr>
      <w:r>
        <w:rPr>
          <w:rFonts w:hint="eastAsia" w:ascii="仿宋" w:hAnsi="仿宋" w:eastAsia="仿宋" w:cs="仿宋"/>
          <w:color w:val="000000"/>
          <w:sz w:val="24"/>
          <w:szCs w:val="24"/>
        </w:rPr>
        <w:t>省级考核内容展示。</w:t>
      </w:r>
    </w:p>
    <w:p w14:paraId="181C49CD">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下属企业考核</w:t>
      </w:r>
    </w:p>
    <w:p w14:paraId="34D79269">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展示下属企业考核报告。</w:t>
      </w:r>
    </w:p>
    <w:p w14:paraId="6EDB4243">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区县基层社考核</w:t>
      </w:r>
    </w:p>
    <w:p w14:paraId="68E42A26">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区县基层社考核目标及进度展示。</w:t>
      </w:r>
    </w:p>
    <w:p w14:paraId="55F0C1B3">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市政府考核</w:t>
      </w:r>
    </w:p>
    <w:p w14:paraId="3EA7870B">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展示市政府考核报告。</w:t>
      </w:r>
    </w:p>
    <w:p w14:paraId="590556B2">
      <w:pPr>
        <w:pStyle w:val="5"/>
        <w:spacing w:line="240" w:lineRule="auto"/>
        <w:rPr>
          <w:rFonts w:hint="eastAsia" w:ascii="仿宋" w:hAnsi="仿宋" w:eastAsia="仿宋" w:cs="仿宋"/>
          <w:sz w:val="24"/>
          <w:szCs w:val="24"/>
        </w:rPr>
      </w:pPr>
      <w:r>
        <w:rPr>
          <w:rFonts w:hint="eastAsia" w:ascii="仿宋" w:hAnsi="仿宋" w:eastAsia="仿宋" w:cs="仿宋"/>
          <w:sz w:val="24"/>
          <w:szCs w:val="24"/>
        </w:rPr>
        <w:t>监事会监督</w:t>
      </w:r>
    </w:p>
    <w:p w14:paraId="5FA964C8">
      <w:pPr>
        <w:pStyle w:val="14"/>
        <w:numPr>
          <w:ilvl w:val="3"/>
          <w:numId w:val="31"/>
        </w:numPr>
        <w:spacing w:line="240" w:lineRule="auto"/>
        <w:rPr>
          <w:rFonts w:hint="eastAsia" w:ascii="仿宋" w:hAnsi="仿宋" w:eastAsia="仿宋" w:cs="仿宋"/>
          <w:sz w:val="24"/>
          <w:szCs w:val="24"/>
        </w:rPr>
      </w:pPr>
      <w:r>
        <w:rPr>
          <w:rFonts w:hint="eastAsia" w:ascii="仿宋" w:hAnsi="仿宋" w:eastAsia="仿宋" w:cs="仿宋"/>
          <w:sz w:val="24"/>
          <w:szCs w:val="24"/>
        </w:rPr>
        <w:t>工作报告管理</w:t>
      </w:r>
    </w:p>
    <w:p w14:paraId="55E64545">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实现工作报告报送、工作报告分类、工作报告处置、总结及查询等功能。</w:t>
      </w:r>
    </w:p>
    <w:p w14:paraId="51064F1D">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调研报告报送系统</w:t>
      </w:r>
    </w:p>
    <w:p w14:paraId="39CA678C">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实现调研工作通知、调研工作报告提交、调研工作报告评审打分等功能</w:t>
      </w:r>
    </w:p>
    <w:p w14:paraId="51566129">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社情民意信息报送系统</w:t>
      </w:r>
    </w:p>
    <w:p w14:paraId="32005E46">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社情民意信息上报、信息查询、信息统计、信息研判、信息反馈、打分排名等功能。</w:t>
      </w:r>
    </w:p>
    <w:p w14:paraId="14B0C065">
      <w:pPr>
        <w:pStyle w:val="5"/>
        <w:spacing w:line="240" w:lineRule="auto"/>
        <w:rPr>
          <w:rFonts w:hint="eastAsia" w:ascii="仿宋" w:hAnsi="仿宋" w:eastAsia="仿宋" w:cs="仿宋"/>
          <w:sz w:val="24"/>
          <w:szCs w:val="24"/>
        </w:rPr>
      </w:pPr>
      <w:r>
        <w:rPr>
          <w:rFonts w:hint="eastAsia" w:ascii="仿宋" w:hAnsi="仿宋" w:eastAsia="仿宋" w:cs="仿宋"/>
          <w:sz w:val="24"/>
          <w:szCs w:val="24"/>
        </w:rPr>
        <w:t>项目管理</w:t>
      </w:r>
    </w:p>
    <w:p w14:paraId="03AFF4E7">
      <w:pPr>
        <w:pStyle w:val="14"/>
        <w:numPr>
          <w:ilvl w:val="3"/>
          <w:numId w:val="32"/>
        </w:numPr>
        <w:spacing w:line="240" w:lineRule="auto"/>
        <w:rPr>
          <w:rFonts w:hint="eastAsia" w:ascii="仿宋" w:hAnsi="仿宋" w:eastAsia="仿宋" w:cs="仿宋"/>
          <w:sz w:val="24"/>
          <w:szCs w:val="24"/>
        </w:rPr>
      </w:pPr>
      <w:r>
        <w:rPr>
          <w:rFonts w:hint="eastAsia" w:ascii="仿宋" w:hAnsi="仿宋" w:eastAsia="仿宋" w:cs="仿宋"/>
          <w:sz w:val="24"/>
          <w:szCs w:val="24"/>
        </w:rPr>
        <w:t>项目申报</w:t>
      </w:r>
    </w:p>
    <w:p w14:paraId="252CF088">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审批申报项目；实现项目投资计划管理；</w:t>
      </w:r>
    </w:p>
    <w:p w14:paraId="721030EC">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在建项目</w:t>
      </w:r>
    </w:p>
    <w:p w14:paraId="6A652AD1">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对在建项目工作流程进行审核管理，展示在建项目的基本信息，包括：目的成效、规模、内容、进度计划等相关内容。</w:t>
      </w:r>
    </w:p>
    <w:p w14:paraId="39886289">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项目库</w:t>
      </w:r>
    </w:p>
    <w:p w14:paraId="6B1F4577">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建立项目库并进行管理，形成全年申报的项目清单。</w:t>
      </w:r>
    </w:p>
    <w:p w14:paraId="017DCA11">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绩效评价</w:t>
      </w:r>
    </w:p>
    <w:p w14:paraId="14411C19">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根据项目质量、进度等情况进行评价。</w:t>
      </w:r>
    </w:p>
    <w:p w14:paraId="01DC405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对项目管理数据进行统计分析、展示，支持报告导出，预留Word编辑内容。</w:t>
      </w:r>
    </w:p>
    <w:p w14:paraId="6A816B6A">
      <w:pPr>
        <w:spacing w:line="360" w:lineRule="auto"/>
        <w:ind w:firstLine="480"/>
        <w:rPr>
          <w:rFonts w:hint="eastAsia" w:ascii="仿宋" w:hAnsi="仿宋" w:eastAsia="仿宋" w:cs="仿宋"/>
          <w:sz w:val="24"/>
          <w:szCs w:val="24"/>
        </w:rPr>
      </w:pPr>
    </w:p>
    <w:p w14:paraId="0BDAF06B">
      <w:pPr>
        <w:pStyle w:val="5"/>
        <w:spacing w:line="360" w:lineRule="auto"/>
        <w:rPr>
          <w:rFonts w:hint="eastAsia" w:ascii="仿宋" w:hAnsi="仿宋" w:eastAsia="仿宋" w:cs="仿宋"/>
          <w:sz w:val="24"/>
          <w:szCs w:val="24"/>
        </w:rPr>
      </w:pPr>
      <w:r>
        <w:rPr>
          <w:rFonts w:hint="eastAsia" w:ascii="仿宋" w:hAnsi="仿宋" w:eastAsia="仿宋" w:cs="仿宋"/>
          <w:sz w:val="24"/>
          <w:szCs w:val="24"/>
        </w:rPr>
        <w:t>三重一大管理</w:t>
      </w:r>
    </w:p>
    <w:p w14:paraId="705D1F95">
      <w:pPr>
        <w:pStyle w:val="14"/>
        <w:numPr>
          <w:ilvl w:val="3"/>
          <w:numId w:val="33"/>
        </w:numPr>
        <w:spacing w:line="240" w:lineRule="auto"/>
        <w:rPr>
          <w:rFonts w:hint="eastAsia" w:ascii="仿宋" w:hAnsi="仿宋" w:eastAsia="仿宋" w:cs="仿宋"/>
          <w:sz w:val="24"/>
          <w:szCs w:val="24"/>
        </w:rPr>
      </w:pPr>
      <w:r>
        <w:rPr>
          <w:rFonts w:hint="eastAsia" w:ascii="仿宋" w:hAnsi="仿宋" w:eastAsia="仿宋" w:cs="仿宋"/>
          <w:sz w:val="24"/>
          <w:szCs w:val="24"/>
        </w:rPr>
        <w:t>决策制度</w:t>
      </w:r>
    </w:p>
    <w:p w14:paraId="550A38ED">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实现“三重一大”决策制度填报、审批功能。</w:t>
      </w:r>
    </w:p>
    <w:p w14:paraId="142540E5">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决策事项</w:t>
      </w:r>
    </w:p>
    <w:p w14:paraId="3A120A67">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实现“三重一大”事项清单的填报、审批功能。</w:t>
      </w:r>
    </w:p>
    <w:p w14:paraId="2C82453B">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议题管理</w:t>
      </w:r>
    </w:p>
    <w:p w14:paraId="0B907AB3">
      <w:pPr>
        <w:pStyle w:val="13"/>
        <w:spacing w:line="240" w:lineRule="auto"/>
        <w:ind w:firstLine="480"/>
        <w:rPr>
          <w:rFonts w:hint="eastAsia" w:ascii="仿宋" w:hAnsi="仿宋" w:eastAsia="仿宋" w:cs="仿宋"/>
          <w:sz w:val="24"/>
          <w:szCs w:val="24"/>
        </w:rPr>
      </w:pPr>
      <w:r>
        <w:rPr>
          <w:rFonts w:hint="eastAsia" w:ascii="仿宋" w:hAnsi="仿宋" w:eastAsia="仿宋" w:cs="仿宋"/>
          <w:sz w:val="24"/>
          <w:szCs w:val="24"/>
        </w:rPr>
        <w:t>实现企业内部各部门的 关于“三重一大”议题的申请、审批。</w:t>
      </w:r>
    </w:p>
    <w:p w14:paraId="6C4B8E73">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决策会议</w:t>
      </w:r>
    </w:p>
    <w:p w14:paraId="666A7F02">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实现监管 “三重一大”决策会议的填报、审批功能。</w:t>
      </w:r>
    </w:p>
    <w:p w14:paraId="75962ABD">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预警分析</w:t>
      </w:r>
    </w:p>
    <w:p w14:paraId="414AE14C">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对三重一大会议及议题中不符合规则的内容进行统计分析、告警。</w:t>
      </w:r>
    </w:p>
    <w:p w14:paraId="4C84E63A">
      <w:pPr>
        <w:pStyle w:val="5"/>
        <w:spacing w:line="240" w:lineRule="auto"/>
        <w:rPr>
          <w:rFonts w:hint="eastAsia" w:ascii="仿宋" w:hAnsi="仿宋" w:eastAsia="仿宋" w:cs="仿宋"/>
          <w:sz w:val="24"/>
          <w:szCs w:val="24"/>
        </w:rPr>
      </w:pPr>
      <w:r>
        <w:rPr>
          <w:rFonts w:hint="eastAsia" w:ascii="仿宋" w:hAnsi="仿宋" w:eastAsia="仿宋" w:cs="仿宋"/>
          <w:sz w:val="24"/>
          <w:szCs w:val="24"/>
        </w:rPr>
        <w:t>城乡融合</w:t>
      </w:r>
    </w:p>
    <w:p w14:paraId="343323B4">
      <w:pPr>
        <w:pStyle w:val="14"/>
        <w:numPr>
          <w:ilvl w:val="3"/>
          <w:numId w:val="34"/>
        </w:numPr>
        <w:spacing w:line="240" w:lineRule="auto"/>
        <w:rPr>
          <w:rFonts w:hint="eastAsia" w:ascii="仿宋" w:hAnsi="仿宋" w:eastAsia="仿宋" w:cs="仿宋"/>
          <w:sz w:val="24"/>
          <w:szCs w:val="24"/>
        </w:rPr>
      </w:pPr>
      <w:r>
        <w:rPr>
          <w:rFonts w:hint="eastAsia" w:ascii="仿宋" w:hAnsi="仿宋" w:eastAsia="仿宋" w:cs="仿宋"/>
          <w:sz w:val="24"/>
          <w:szCs w:val="24"/>
        </w:rPr>
        <w:t>蔬菜直通车</w:t>
      </w:r>
    </w:p>
    <w:p w14:paraId="1D88C58F">
      <w:pPr>
        <w:pStyle w:val="13"/>
        <w:numPr>
          <w:ilvl w:val="0"/>
          <w:numId w:val="35"/>
        </w:numPr>
        <w:spacing w:line="360" w:lineRule="auto"/>
        <w:rPr>
          <w:rFonts w:hint="eastAsia" w:ascii="仿宋" w:hAnsi="仿宋" w:eastAsia="仿宋" w:cs="仿宋"/>
          <w:sz w:val="24"/>
          <w:szCs w:val="24"/>
        </w:rPr>
      </w:pPr>
      <w:r>
        <w:rPr>
          <w:rFonts w:hint="eastAsia" w:ascii="仿宋" w:hAnsi="仿宋" w:eastAsia="仿宋" w:cs="仿宋"/>
          <w:sz w:val="24"/>
          <w:szCs w:val="24"/>
        </w:rPr>
        <w:t>运营管理</w:t>
      </w:r>
    </w:p>
    <w:p w14:paraId="3F765497">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展示蔬菜直通车网点分布情况、区县蔬菜直通车建设情况、配送中心相关信息。</w:t>
      </w:r>
    </w:p>
    <w:p w14:paraId="05E83526">
      <w:pPr>
        <w:pStyle w:val="13"/>
        <w:numPr>
          <w:ilvl w:val="0"/>
          <w:numId w:val="35"/>
        </w:numPr>
        <w:spacing w:line="360" w:lineRule="auto"/>
        <w:rPr>
          <w:rFonts w:hint="eastAsia" w:ascii="仿宋" w:hAnsi="仿宋" w:eastAsia="仿宋" w:cs="仿宋"/>
          <w:sz w:val="24"/>
          <w:szCs w:val="24"/>
        </w:rPr>
      </w:pPr>
      <w:r>
        <w:rPr>
          <w:rFonts w:hint="eastAsia" w:ascii="仿宋" w:hAnsi="仿宋" w:eastAsia="仿宋" w:cs="仿宋"/>
          <w:sz w:val="24"/>
          <w:szCs w:val="24"/>
        </w:rPr>
        <w:t>蔬菜惠民</w:t>
      </w:r>
    </w:p>
    <w:p w14:paraId="76ADF945">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管理并展示惠民蔬菜信息。</w:t>
      </w:r>
    </w:p>
    <w:p w14:paraId="6400050D">
      <w:pPr>
        <w:pStyle w:val="13"/>
        <w:numPr>
          <w:ilvl w:val="0"/>
          <w:numId w:val="35"/>
        </w:numPr>
        <w:spacing w:line="360" w:lineRule="auto"/>
        <w:rPr>
          <w:rFonts w:hint="eastAsia" w:ascii="仿宋" w:hAnsi="仿宋" w:eastAsia="仿宋" w:cs="仿宋"/>
          <w:sz w:val="24"/>
          <w:szCs w:val="24"/>
        </w:rPr>
      </w:pPr>
      <w:r>
        <w:rPr>
          <w:rFonts w:hint="eastAsia" w:ascii="仿宋" w:hAnsi="仿宋" w:eastAsia="仿宋" w:cs="仿宋"/>
          <w:sz w:val="24"/>
          <w:szCs w:val="24"/>
        </w:rPr>
        <w:t>滞销农产品</w:t>
      </w:r>
    </w:p>
    <w:p w14:paraId="153EAD0E">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管理并展示滞销农产品。</w:t>
      </w:r>
    </w:p>
    <w:p w14:paraId="61F9E45E">
      <w:pPr>
        <w:pStyle w:val="13"/>
        <w:numPr>
          <w:ilvl w:val="0"/>
          <w:numId w:val="35"/>
        </w:numPr>
        <w:spacing w:line="360" w:lineRule="auto"/>
        <w:rPr>
          <w:rFonts w:hint="eastAsia" w:ascii="仿宋" w:hAnsi="仿宋" w:eastAsia="仿宋" w:cs="仿宋"/>
          <w:sz w:val="24"/>
          <w:szCs w:val="24"/>
        </w:rPr>
      </w:pPr>
      <w:r>
        <w:rPr>
          <w:rFonts w:hint="eastAsia" w:ascii="仿宋" w:hAnsi="仿宋" w:eastAsia="仿宋" w:cs="仿宋"/>
          <w:sz w:val="24"/>
          <w:szCs w:val="24"/>
        </w:rPr>
        <w:t>蔬菜信息</w:t>
      </w:r>
    </w:p>
    <w:p w14:paraId="64743918">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发布蔬菜种类及价格。</w:t>
      </w:r>
    </w:p>
    <w:p w14:paraId="1F395F53">
      <w:pPr>
        <w:pStyle w:val="14"/>
        <w:numPr>
          <w:ilvl w:val="3"/>
          <w:numId w:val="5"/>
        </w:numPr>
        <w:spacing w:line="240" w:lineRule="auto"/>
        <w:rPr>
          <w:rFonts w:hint="eastAsia" w:ascii="仿宋" w:hAnsi="仿宋" w:eastAsia="仿宋" w:cs="仿宋"/>
          <w:sz w:val="24"/>
          <w:szCs w:val="24"/>
        </w:rPr>
      </w:pPr>
      <w:r>
        <w:rPr>
          <w:rFonts w:hint="eastAsia" w:ascii="仿宋" w:hAnsi="仿宋" w:eastAsia="仿宋" w:cs="仿宋"/>
          <w:sz w:val="24"/>
          <w:szCs w:val="24"/>
        </w:rPr>
        <w:t>两网融合建设</w:t>
      </w:r>
    </w:p>
    <w:p w14:paraId="137121AF">
      <w:pPr>
        <w:pStyle w:val="13"/>
        <w:numPr>
          <w:ilvl w:val="0"/>
          <w:numId w:val="36"/>
        </w:numPr>
        <w:spacing w:line="360" w:lineRule="auto"/>
        <w:rPr>
          <w:rFonts w:hint="eastAsia" w:ascii="仿宋" w:hAnsi="仿宋" w:eastAsia="仿宋" w:cs="仿宋"/>
          <w:sz w:val="24"/>
          <w:szCs w:val="24"/>
        </w:rPr>
      </w:pPr>
      <w:r>
        <w:rPr>
          <w:rFonts w:hint="eastAsia" w:ascii="仿宋" w:hAnsi="仿宋" w:eastAsia="仿宋" w:cs="仿宋"/>
          <w:sz w:val="24"/>
          <w:szCs w:val="24"/>
        </w:rPr>
        <w:t>运营情况</w:t>
      </w:r>
    </w:p>
    <w:p w14:paraId="5C3DE899">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展示垃圾分类回收点和再生资源回收点情况。</w:t>
      </w:r>
    </w:p>
    <w:p w14:paraId="6C10427F">
      <w:pPr>
        <w:pStyle w:val="13"/>
        <w:numPr>
          <w:ilvl w:val="0"/>
          <w:numId w:val="36"/>
        </w:numPr>
        <w:spacing w:line="360" w:lineRule="auto"/>
        <w:rPr>
          <w:rFonts w:hint="eastAsia" w:ascii="仿宋" w:hAnsi="仿宋" w:eastAsia="仿宋" w:cs="仿宋"/>
          <w:sz w:val="24"/>
          <w:szCs w:val="24"/>
        </w:rPr>
      </w:pPr>
      <w:r>
        <w:rPr>
          <w:rFonts w:hint="eastAsia" w:ascii="仿宋" w:hAnsi="仿宋" w:eastAsia="仿宋" w:cs="仿宋"/>
          <w:sz w:val="24"/>
          <w:szCs w:val="24"/>
        </w:rPr>
        <w:t>公益活动</w:t>
      </w:r>
    </w:p>
    <w:p w14:paraId="7C03F0DD">
      <w:pPr>
        <w:pStyle w:val="13"/>
        <w:spacing w:line="360" w:lineRule="auto"/>
        <w:ind w:firstLine="480"/>
        <w:rPr>
          <w:rFonts w:hint="eastAsia" w:ascii="仿宋" w:hAnsi="仿宋" w:eastAsia="仿宋" w:cs="仿宋"/>
        </w:rPr>
      </w:pPr>
      <w:r>
        <w:rPr>
          <w:rFonts w:hint="eastAsia" w:ascii="仿宋" w:hAnsi="仿宋" w:eastAsia="仿宋" w:cs="仿宋"/>
          <w:sz w:val="24"/>
          <w:szCs w:val="24"/>
        </w:rPr>
        <w:t>展示垃圾分类回收和可再生资源回收的公益活动。</w:t>
      </w:r>
    </w:p>
    <w:p w14:paraId="25862BFB">
      <w:pPr>
        <w:pStyle w:val="5"/>
        <w:spacing w:line="240" w:lineRule="auto"/>
        <w:rPr>
          <w:rFonts w:hint="eastAsia" w:ascii="仿宋" w:hAnsi="仿宋" w:eastAsia="仿宋" w:cs="仿宋"/>
          <w:sz w:val="24"/>
          <w:szCs w:val="24"/>
        </w:rPr>
      </w:pPr>
      <w:r>
        <w:rPr>
          <w:rFonts w:hint="eastAsia" w:ascii="仿宋" w:hAnsi="仿宋" w:eastAsia="仿宋" w:cs="仿宋"/>
          <w:sz w:val="24"/>
          <w:szCs w:val="24"/>
        </w:rPr>
        <w:t>内审监督</w:t>
      </w:r>
    </w:p>
    <w:p w14:paraId="0EA0B86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（1）审计登记：收集审计相关资料，进行整理和分类，为后续的审计工作提供基础；</w:t>
      </w:r>
    </w:p>
    <w:p w14:paraId="078568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（2）疑点核查：核对资料、核对财务数据、核对内部控制情况。</w:t>
      </w:r>
    </w:p>
    <w:p w14:paraId="6B7675B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（3）问题整改：定期通过多种途径广泛搜集工作中的问题点，进行深入剖析，明确改进的方向和目标。形成整改方案、推进实施，形成闭环管理。</w:t>
      </w:r>
    </w:p>
    <w:p w14:paraId="2F146CE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（4）内审监督查询：内部审计和监督机制查询。</w:t>
      </w:r>
    </w:p>
    <w:p w14:paraId="604A4468">
      <w:pPr>
        <w:pStyle w:val="5"/>
        <w:spacing w:line="240" w:lineRule="auto"/>
        <w:rPr>
          <w:rFonts w:hint="eastAsia" w:ascii="仿宋" w:hAnsi="仿宋" w:eastAsia="仿宋" w:cs="仿宋"/>
          <w:sz w:val="24"/>
          <w:szCs w:val="24"/>
        </w:rPr>
      </w:pPr>
      <w:r>
        <w:rPr>
          <w:rFonts w:hint="eastAsia" w:ascii="仿宋" w:hAnsi="仿宋" w:eastAsia="仿宋" w:cs="仿宋"/>
          <w:sz w:val="24"/>
          <w:szCs w:val="24"/>
        </w:rPr>
        <w:t>社企之家</w:t>
      </w:r>
    </w:p>
    <w:p w14:paraId="60788750">
      <w:pPr>
        <w:pStyle w:val="13"/>
        <w:numPr>
          <w:ilvl w:val="0"/>
          <w:numId w:val="37"/>
        </w:numPr>
        <w:spacing w:line="360" w:lineRule="auto"/>
        <w:rPr>
          <w:rFonts w:hint="eastAsia" w:ascii="仿宋" w:hAnsi="仿宋" w:eastAsia="仿宋" w:cs="仿宋"/>
          <w:sz w:val="24"/>
          <w:szCs w:val="24"/>
        </w:rPr>
      </w:pPr>
      <w:r>
        <w:rPr>
          <w:rFonts w:hint="eastAsia" w:ascii="仿宋" w:hAnsi="仿宋" w:eastAsia="仿宋" w:cs="仿宋"/>
          <w:sz w:val="24"/>
          <w:szCs w:val="24"/>
        </w:rPr>
        <w:t>直属企业信息：分类展示、查询直属企业发布的信息，包括信息分类管理等。</w:t>
      </w:r>
    </w:p>
    <w:p w14:paraId="327D9BE4">
      <w:pPr>
        <w:pStyle w:val="13"/>
        <w:numPr>
          <w:ilvl w:val="0"/>
          <w:numId w:val="37"/>
        </w:numPr>
        <w:spacing w:line="360" w:lineRule="auto"/>
        <w:rPr>
          <w:rFonts w:hint="eastAsia" w:ascii="仿宋" w:hAnsi="仿宋" w:eastAsia="仿宋" w:cs="仿宋"/>
          <w:sz w:val="24"/>
          <w:szCs w:val="24"/>
        </w:rPr>
      </w:pPr>
      <w:r>
        <w:rPr>
          <w:rFonts w:hint="eastAsia" w:ascii="仿宋" w:hAnsi="仿宋" w:eastAsia="仿宋" w:cs="仿宋"/>
          <w:sz w:val="24"/>
          <w:szCs w:val="24"/>
        </w:rPr>
        <w:t>基层供销社信息：基层供销社信息，分类展示、查询基层供销社发布的信息，包括信息分类管理等。</w:t>
      </w:r>
    </w:p>
    <w:p w14:paraId="306BAED1">
      <w:pPr>
        <w:pStyle w:val="13"/>
        <w:numPr>
          <w:ilvl w:val="0"/>
          <w:numId w:val="37"/>
        </w:numPr>
        <w:spacing w:line="360" w:lineRule="auto"/>
        <w:rPr>
          <w:rFonts w:hint="eastAsia" w:ascii="仿宋" w:hAnsi="仿宋" w:eastAsia="仿宋" w:cs="仿宋"/>
          <w:sz w:val="24"/>
          <w:szCs w:val="24"/>
        </w:rPr>
      </w:pPr>
      <w:r>
        <w:rPr>
          <w:rFonts w:hint="eastAsia" w:ascii="仿宋" w:hAnsi="仿宋" w:eastAsia="仿宋" w:cs="仿宋"/>
          <w:sz w:val="24"/>
          <w:szCs w:val="24"/>
        </w:rPr>
        <w:t>服务社信息：服务社信息，分类展示、查询服务社发布的信息，包括信息分类管理等。</w:t>
      </w:r>
    </w:p>
    <w:p w14:paraId="700D8F36">
      <w:pPr>
        <w:pStyle w:val="13"/>
        <w:numPr>
          <w:ilvl w:val="0"/>
          <w:numId w:val="37"/>
        </w:numPr>
        <w:spacing w:line="360" w:lineRule="auto"/>
        <w:rPr>
          <w:rFonts w:hint="eastAsia" w:ascii="仿宋" w:hAnsi="仿宋" w:eastAsia="仿宋" w:cs="仿宋"/>
          <w:sz w:val="24"/>
          <w:szCs w:val="24"/>
        </w:rPr>
      </w:pPr>
      <w:r>
        <w:rPr>
          <w:rFonts w:hint="eastAsia" w:ascii="仿宋" w:hAnsi="仿宋" w:eastAsia="仿宋" w:cs="仿宋"/>
          <w:sz w:val="24"/>
          <w:szCs w:val="24"/>
        </w:rPr>
        <w:t>合作社信息：合作社信息，分类展示、查询合作社发布的信息，包括信息分类管理等。</w:t>
      </w:r>
    </w:p>
    <w:p w14:paraId="4287D33B">
      <w:pPr>
        <w:pStyle w:val="5"/>
        <w:spacing w:line="240" w:lineRule="auto"/>
        <w:rPr>
          <w:rFonts w:hint="eastAsia" w:ascii="仿宋" w:hAnsi="仿宋" w:eastAsia="仿宋" w:cs="仿宋"/>
          <w:sz w:val="24"/>
          <w:szCs w:val="24"/>
        </w:rPr>
      </w:pPr>
      <w:r>
        <w:rPr>
          <w:rFonts w:hint="eastAsia" w:ascii="仿宋" w:hAnsi="仿宋" w:eastAsia="仿宋" w:cs="仿宋"/>
          <w:sz w:val="24"/>
          <w:szCs w:val="24"/>
        </w:rPr>
        <w:t>供销智库</w:t>
      </w:r>
    </w:p>
    <w:p w14:paraId="0E1055D3">
      <w:pPr>
        <w:pStyle w:val="13"/>
        <w:numPr>
          <w:ilvl w:val="0"/>
          <w:numId w:val="38"/>
        </w:numPr>
        <w:spacing w:line="360" w:lineRule="auto"/>
        <w:rPr>
          <w:rFonts w:hint="eastAsia" w:ascii="仿宋" w:hAnsi="仿宋" w:eastAsia="仿宋" w:cs="仿宋"/>
          <w:sz w:val="24"/>
          <w:szCs w:val="24"/>
        </w:rPr>
      </w:pPr>
      <w:r>
        <w:rPr>
          <w:rFonts w:hint="eastAsia" w:ascii="仿宋" w:hAnsi="仿宋" w:eastAsia="仿宋" w:cs="仿宋"/>
          <w:sz w:val="24"/>
          <w:szCs w:val="24"/>
        </w:rPr>
        <w:t>专家库：展示社内专家、行业专家分基本信息等。</w:t>
      </w:r>
    </w:p>
    <w:p w14:paraId="486DACB3">
      <w:pPr>
        <w:pStyle w:val="13"/>
        <w:numPr>
          <w:ilvl w:val="0"/>
          <w:numId w:val="38"/>
        </w:numPr>
        <w:spacing w:line="360" w:lineRule="auto"/>
        <w:rPr>
          <w:rFonts w:hint="eastAsia" w:ascii="仿宋" w:hAnsi="仿宋" w:eastAsia="仿宋" w:cs="仿宋"/>
          <w:sz w:val="24"/>
          <w:szCs w:val="24"/>
        </w:rPr>
      </w:pPr>
      <w:r>
        <w:rPr>
          <w:rFonts w:hint="eastAsia" w:ascii="仿宋" w:hAnsi="仿宋" w:eastAsia="仿宋" w:cs="仿宋"/>
          <w:sz w:val="24"/>
          <w:szCs w:val="24"/>
        </w:rPr>
        <w:t>知识库：收集专家的行业知识，分门别类，形成以知识点为主的信息集群。</w:t>
      </w:r>
    </w:p>
    <w:p w14:paraId="5AF4AFAB">
      <w:pPr>
        <w:pStyle w:val="13"/>
        <w:numPr>
          <w:ilvl w:val="0"/>
          <w:numId w:val="38"/>
        </w:numPr>
        <w:spacing w:line="360" w:lineRule="auto"/>
        <w:rPr>
          <w:rFonts w:hint="eastAsia" w:ascii="仿宋" w:hAnsi="仿宋" w:eastAsia="仿宋" w:cs="仿宋"/>
          <w:sz w:val="24"/>
          <w:szCs w:val="24"/>
        </w:rPr>
      </w:pPr>
      <w:r>
        <w:rPr>
          <w:rFonts w:hint="eastAsia" w:ascii="仿宋" w:hAnsi="仿宋" w:eastAsia="仿宋" w:cs="仿宋"/>
          <w:sz w:val="24"/>
          <w:szCs w:val="24"/>
        </w:rPr>
        <w:t>应答：应答系统，针对用户提问综合整理，形成全面细致的答疑解惑。</w:t>
      </w:r>
    </w:p>
    <w:p w14:paraId="60E61A21">
      <w:pPr>
        <w:pStyle w:val="5"/>
        <w:spacing w:line="360" w:lineRule="auto"/>
        <w:rPr>
          <w:rFonts w:hint="eastAsia" w:ascii="仿宋" w:hAnsi="仿宋" w:eastAsia="仿宋" w:cs="仿宋"/>
          <w:sz w:val="24"/>
          <w:szCs w:val="24"/>
        </w:rPr>
      </w:pPr>
      <w:r>
        <w:rPr>
          <w:rFonts w:hint="eastAsia" w:ascii="仿宋" w:hAnsi="仿宋" w:eastAsia="仿宋" w:cs="仿宋"/>
          <w:sz w:val="24"/>
          <w:szCs w:val="24"/>
        </w:rPr>
        <w:t>领导驾驶舱系统</w:t>
      </w:r>
    </w:p>
    <w:p w14:paraId="0DB52659">
      <w:pPr>
        <w:pStyle w:val="13"/>
        <w:numPr>
          <w:ilvl w:val="0"/>
          <w:numId w:val="39"/>
        </w:numPr>
        <w:spacing w:line="360" w:lineRule="auto"/>
        <w:rPr>
          <w:rFonts w:hint="eastAsia" w:ascii="仿宋" w:hAnsi="仿宋" w:eastAsia="仿宋" w:cs="仿宋"/>
          <w:sz w:val="24"/>
          <w:szCs w:val="24"/>
        </w:rPr>
      </w:pPr>
      <w:r>
        <w:rPr>
          <w:rFonts w:hint="eastAsia" w:ascii="仿宋" w:hAnsi="仿宋" w:eastAsia="仿宋" w:cs="仿宋"/>
          <w:sz w:val="24"/>
          <w:szCs w:val="24"/>
        </w:rPr>
        <w:t>首页：基于GIS服务，根据领导层关注点展示西安供销的主要数据统计与分析结果，并为相关主题提供接入服务。</w:t>
      </w:r>
    </w:p>
    <w:p w14:paraId="46AB0C70">
      <w:pPr>
        <w:pStyle w:val="13"/>
        <w:numPr>
          <w:ilvl w:val="0"/>
          <w:numId w:val="39"/>
        </w:numPr>
        <w:spacing w:line="360" w:lineRule="auto"/>
        <w:rPr>
          <w:rFonts w:hint="eastAsia" w:ascii="仿宋" w:hAnsi="仿宋" w:eastAsia="仿宋" w:cs="仿宋"/>
          <w:sz w:val="24"/>
          <w:szCs w:val="24"/>
        </w:rPr>
      </w:pPr>
      <w:r>
        <w:rPr>
          <w:rFonts w:hint="eastAsia" w:ascii="仿宋" w:hAnsi="仿宋" w:eastAsia="仿宋" w:cs="仿宋"/>
          <w:sz w:val="24"/>
          <w:szCs w:val="24"/>
        </w:rPr>
        <w:t>供销概览：基于GIS服务，展示供销社概览信息及区县供销社信息，主要展示供销社的经济运行数据、业务数据、流转数据、产业数据、仓储数据、物流数据等。</w:t>
      </w:r>
    </w:p>
    <w:p w14:paraId="40E3E9F9">
      <w:pPr>
        <w:pStyle w:val="13"/>
        <w:numPr>
          <w:ilvl w:val="0"/>
          <w:numId w:val="39"/>
        </w:numPr>
        <w:spacing w:line="360" w:lineRule="auto"/>
        <w:rPr>
          <w:rFonts w:hint="eastAsia" w:ascii="仿宋" w:hAnsi="仿宋" w:eastAsia="仿宋" w:cs="仿宋"/>
          <w:sz w:val="24"/>
          <w:szCs w:val="24"/>
        </w:rPr>
      </w:pPr>
      <w:r>
        <w:rPr>
          <w:rFonts w:hint="eastAsia" w:ascii="仿宋" w:hAnsi="仿宋" w:eastAsia="仿宋" w:cs="仿宋"/>
          <w:sz w:val="24"/>
          <w:szCs w:val="24"/>
        </w:rPr>
        <w:t>财务管理：分类展示财务数据统计分析结果。</w:t>
      </w:r>
    </w:p>
    <w:p w14:paraId="5680308B">
      <w:pPr>
        <w:pStyle w:val="13"/>
        <w:numPr>
          <w:ilvl w:val="0"/>
          <w:numId w:val="39"/>
        </w:numPr>
        <w:spacing w:line="360" w:lineRule="auto"/>
        <w:rPr>
          <w:rFonts w:hint="eastAsia" w:ascii="仿宋" w:hAnsi="仿宋" w:eastAsia="仿宋" w:cs="仿宋"/>
          <w:sz w:val="24"/>
          <w:szCs w:val="24"/>
        </w:rPr>
      </w:pPr>
      <w:r>
        <w:rPr>
          <w:rFonts w:hint="eastAsia" w:ascii="仿宋" w:hAnsi="仿宋" w:eastAsia="仿宋" w:cs="仿宋"/>
          <w:sz w:val="24"/>
          <w:szCs w:val="24"/>
        </w:rPr>
        <w:t>资产管理：分类展示社有资产数据、人力资源数据等统计分析结果。</w:t>
      </w:r>
    </w:p>
    <w:p w14:paraId="6CECFDA9">
      <w:pPr>
        <w:pStyle w:val="13"/>
        <w:numPr>
          <w:ilvl w:val="0"/>
          <w:numId w:val="39"/>
        </w:numPr>
        <w:spacing w:line="360" w:lineRule="auto"/>
        <w:rPr>
          <w:rFonts w:hint="eastAsia" w:ascii="仿宋" w:hAnsi="仿宋" w:eastAsia="仿宋" w:cs="仿宋"/>
          <w:sz w:val="24"/>
          <w:szCs w:val="24"/>
        </w:rPr>
      </w:pPr>
      <w:r>
        <w:rPr>
          <w:rFonts w:hint="eastAsia" w:ascii="仿宋" w:hAnsi="仿宋" w:eastAsia="仿宋" w:cs="仿宋"/>
          <w:sz w:val="24"/>
          <w:szCs w:val="24"/>
        </w:rPr>
        <w:t>现代流通：基于GIS服务，分类展示农产品流通、农资流通、日用消费品流通、可再生资源管理、仓储物流等相关数据。</w:t>
      </w:r>
    </w:p>
    <w:p w14:paraId="19086CCC">
      <w:pPr>
        <w:pStyle w:val="13"/>
        <w:numPr>
          <w:ilvl w:val="0"/>
          <w:numId w:val="39"/>
        </w:numPr>
        <w:spacing w:line="360" w:lineRule="auto"/>
        <w:rPr>
          <w:rFonts w:hint="eastAsia" w:ascii="仿宋" w:hAnsi="仿宋" w:eastAsia="仿宋" w:cs="仿宋"/>
          <w:sz w:val="24"/>
          <w:szCs w:val="24"/>
        </w:rPr>
      </w:pPr>
      <w:r>
        <w:rPr>
          <w:rFonts w:hint="eastAsia" w:ascii="仿宋" w:hAnsi="仿宋" w:eastAsia="仿宋" w:cs="仿宋"/>
          <w:sz w:val="24"/>
          <w:szCs w:val="24"/>
        </w:rPr>
        <w:t>为农服务：基于GIS服务，展示土地托管、金融服务数据、科教服务数据等。</w:t>
      </w:r>
    </w:p>
    <w:p w14:paraId="54281952">
      <w:pPr>
        <w:pStyle w:val="13"/>
        <w:numPr>
          <w:ilvl w:val="0"/>
          <w:numId w:val="39"/>
        </w:numPr>
        <w:spacing w:line="360" w:lineRule="auto"/>
        <w:rPr>
          <w:rFonts w:hint="eastAsia" w:ascii="仿宋" w:hAnsi="仿宋" w:eastAsia="仿宋" w:cs="仿宋"/>
          <w:sz w:val="24"/>
          <w:szCs w:val="24"/>
        </w:rPr>
      </w:pPr>
      <w:r>
        <w:rPr>
          <w:rFonts w:hint="eastAsia" w:ascii="仿宋" w:hAnsi="仿宋" w:eastAsia="仿宋" w:cs="仿宋"/>
          <w:sz w:val="24"/>
          <w:szCs w:val="24"/>
        </w:rPr>
        <w:t>安全生产：基于GIS服务，展示在建项目、安全监管、数据分析等。</w:t>
      </w:r>
    </w:p>
    <w:p w14:paraId="524F4FE2">
      <w:pPr>
        <w:pStyle w:val="13"/>
        <w:numPr>
          <w:ilvl w:val="0"/>
          <w:numId w:val="39"/>
        </w:numPr>
        <w:spacing w:line="360" w:lineRule="auto"/>
        <w:rPr>
          <w:rFonts w:hint="eastAsia" w:ascii="仿宋" w:hAnsi="仿宋" w:eastAsia="仿宋" w:cs="仿宋"/>
          <w:sz w:val="24"/>
          <w:szCs w:val="24"/>
        </w:rPr>
      </w:pPr>
      <w:r>
        <w:rPr>
          <w:rFonts w:hint="eastAsia" w:ascii="仿宋" w:hAnsi="仿宋" w:eastAsia="仿宋" w:cs="仿宋"/>
          <w:sz w:val="24"/>
          <w:szCs w:val="24"/>
        </w:rPr>
        <w:t>直播管理：对接电商公共服务中心的直播平台，建设线上线下融合的公共服务体系，提供直播数据、销售数据、培训孵化数据、产品对接数据、品牌建设数据、金融数据和其他衍生增值服务数据等。</w:t>
      </w:r>
    </w:p>
    <w:p w14:paraId="17823C7D">
      <w:pPr>
        <w:pStyle w:val="13"/>
        <w:numPr>
          <w:ilvl w:val="0"/>
          <w:numId w:val="39"/>
        </w:numPr>
        <w:spacing w:line="360" w:lineRule="auto"/>
        <w:rPr>
          <w:rFonts w:hint="eastAsia" w:ascii="仿宋" w:hAnsi="仿宋" w:eastAsia="仿宋" w:cs="仿宋"/>
          <w:sz w:val="24"/>
          <w:szCs w:val="24"/>
        </w:rPr>
      </w:pPr>
      <w:r>
        <w:rPr>
          <w:rFonts w:hint="eastAsia" w:ascii="仿宋" w:hAnsi="仿宋" w:eastAsia="仿宋" w:cs="仿宋"/>
          <w:sz w:val="24"/>
          <w:szCs w:val="24"/>
        </w:rPr>
        <w:t>应急保供：展示应急物资储备及储备库分布情况。</w:t>
      </w:r>
    </w:p>
    <w:p w14:paraId="5A427C61">
      <w:pPr>
        <w:pStyle w:val="4"/>
        <w:tabs>
          <w:tab w:val="left" w:pos="851"/>
        </w:tabs>
        <w:spacing w:line="360" w:lineRule="auto"/>
        <w:rPr>
          <w:rFonts w:hint="eastAsia" w:ascii="仿宋" w:hAnsi="仿宋" w:eastAsia="仿宋" w:cs="仿宋"/>
          <w:sz w:val="24"/>
          <w:szCs w:val="24"/>
        </w:rPr>
      </w:pPr>
      <w:r>
        <w:rPr>
          <w:rFonts w:hint="eastAsia" w:ascii="仿宋" w:hAnsi="仿宋" w:eastAsia="仿宋" w:cs="仿宋"/>
          <w:sz w:val="24"/>
          <w:szCs w:val="24"/>
        </w:rPr>
        <w:t>一门户</w:t>
      </w:r>
    </w:p>
    <w:p w14:paraId="097CC8CD">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首页：提供统一登录入口；</w:t>
      </w:r>
    </w:p>
    <w:p w14:paraId="71D1F712">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供销社概况：展示供销社简介、历史资料、图片资料、影视资料等；</w:t>
      </w:r>
    </w:p>
    <w:p w14:paraId="63C74847">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领导信息：展示市社主要领导的基本信息；</w:t>
      </w:r>
    </w:p>
    <w:p w14:paraId="2D765849">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组织架构：展示单位部门所有机构及相关信息；</w:t>
      </w:r>
    </w:p>
    <w:p w14:paraId="71BA4A0E">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供销文化：展示市社及区县供销社的企业形象、单位活动、员工风采等。</w:t>
      </w:r>
    </w:p>
    <w:p w14:paraId="4955BB08">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工作动态：展示各处室、各单位、子公司的工作资讯；</w:t>
      </w:r>
    </w:p>
    <w:p w14:paraId="5172B770">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新闻资讯：展示新闻资讯、社内新闻等。</w:t>
      </w:r>
    </w:p>
    <w:p w14:paraId="0AE0CCF0">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政务要闻：展示政务要闻。</w:t>
      </w:r>
    </w:p>
    <w:p w14:paraId="757B0544">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公告公示：展示公告及公示。</w:t>
      </w:r>
    </w:p>
    <w:p w14:paraId="5F9C293D">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公告公示，以列表的形式，在显眼位置展示公告及公示。</w:t>
      </w:r>
    </w:p>
    <w:p w14:paraId="5A894357">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政策法规：展示政策法规信息。</w:t>
      </w:r>
    </w:p>
    <w:p w14:paraId="10A127F7">
      <w:pPr>
        <w:pStyle w:val="13"/>
        <w:spacing w:line="360" w:lineRule="auto"/>
        <w:ind w:firstLine="480"/>
        <w:rPr>
          <w:rFonts w:hint="eastAsia" w:ascii="仿宋" w:hAnsi="仿宋" w:eastAsia="仿宋" w:cs="仿宋"/>
          <w:sz w:val="24"/>
          <w:szCs w:val="24"/>
        </w:rPr>
      </w:pPr>
      <w:r>
        <w:rPr>
          <w:rFonts w:hint="eastAsia" w:ascii="仿宋" w:hAnsi="仿宋" w:eastAsia="仿宋" w:cs="仿宋"/>
          <w:sz w:val="24"/>
          <w:szCs w:val="24"/>
        </w:rPr>
        <w:t>政策法规，以列表的形式，展示政策法规信息。</w:t>
      </w:r>
    </w:p>
    <w:p w14:paraId="215D7045">
      <w:pPr>
        <w:pStyle w:val="13"/>
        <w:numPr>
          <w:ilvl w:val="0"/>
          <w:numId w:val="40"/>
        </w:numPr>
        <w:spacing w:line="360" w:lineRule="auto"/>
        <w:rPr>
          <w:rFonts w:hint="eastAsia" w:ascii="仿宋" w:hAnsi="仿宋" w:eastAsia="仿宋" w:cs="仿宋"/>
          <w:sz w:val="24"/>
          <w:szCs w:val="24"/>
        </w:rPr>
      </w:pPr>
      <w:r>
        <w:rPr>
          <w:rFonts w:hint="eastAsia" w:ascii="仿宋" w:hAnsi="仿宋" w:eastAsia="仿宋" w:cs="仿宋"/>
          <w:sz w:val="24"/>
          <w:szCs w:val="24"/>
        </w:rPr>
        <w:t>部门动态：展示市社各处室、各单位、子公司的新闻动态。</w:t>
      </w:r>
    </w:p>
    <w:p w14:paraId="70C7BC97">
      <w:pPr>
        <w:pStyle w:val="4"/>
        <w:tabs>
          <w:tab w:val="left" w:pos="851"/>
        </w:tabs>
        <w:spacing w:line="240" w:lineRule="auto"/>
        <w:rPr>
          <w:rFonts w:hint="eastAsia" w:ascii="仿宋" w:hAnsi="仿宋" w:eastAsia="仿宋" w:cs="仿宋"/>
          <w:sz w:val="24"/>
          <w:szCs w:val="24"/>
        </w:rPr>
      </w:pPr>
      <w:r>
        <w:rPr>
          <w:rFonts w:hint="eastAsia" w:ascii="仿宋" w:hAnsi="仿宋" w:eastAsia="仿宋" w:cs="仿宋"/>
          <w:sz w:val="24"/>
          <w:szCs w:val="24"/>
        </w:rPr>
        <w:t>其他</w:t>
      </w:r>
    </w:p>
    <w:p w14:paraId="06FBF2F3">
      <w:pPr>
        <w:pStyle w:val="5"/>
        <w:spacing w:line="240" w:lineRule="auto"/>
        <w:rPr>
          <w:rFonts w:hint="eastAsia" w:ascii="仿宋" w:hAnsi="仿宋" w:eastAsia="仿宋" w:cs="仿宋"/>
          <w:sz w:val="24"/>
          <w:szCs w:val="24"/>
        </w:rPr>
      </w:pPr>
      <w:r>
        <w:rPr>
          <w:rFonts w:hint="eastAsia" w:ascii="仿宋" w:hAnsi="仿宋" w:eastAsia="仿宋" w:cs="仿宋"/>
          <w:sz w:val="24"/>
          <w:szCs w:val="24"/>
        </w:rPr>
        <w:t>业务支撑平台</w:t>
      </w:r>
    </w:p>
    <w:p w14:paraId="047E572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统一身份认证服务：实现统一用户注册、用户信息查询、用户找回管理、统一身份认证授权、统一用户退出、信任传递服务、应用接入等功能。</w:t>
      </w:r>
    </w:p>
    <w:p w14:paraId="17AD6755">
      <w:pPr>
        <w:pStyle w:val="5"/>
        <w:spacing w:line="240" w:lineRule="auto"/>
        <w:rPr>
          <w:rFonts w:hint="eastAsia" w:ascii="仿宋" w:hAnsi="仿宋" w:eastAsia="仿宋" w:cs="仿宋"/>
          <w:sz w:val="24"/>
          <w:szCs w:val="24"/>
        </w:rPr>
      </w:pPr>
      <w:r>
        <w:rPr>
          <w:rFonts w:hint="eastAsia" w:ascii="仿宋" w:hAnsi="仿宋" w:eastAsia="仿宋" w:cs="仿宋"/>
          <w:sz w:val="24"/>
          <w:szCs w:val="24"/>
        </w:rPr>
        <w:t>标准规范体系</w:t>
      </w:r>
    </w:p>
    <w:p w14:paraId="4FD4EDD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完成供销社数据传输与交换共享规范、供销社数据治理规范、供销社数据服务接口规范、供销社信息分类规范、供销社数据生产规范、供销社信息编码规范、、农业物联网通信协议及数据接入规范等。</w:t>
      </w:r>
    </w:p>
    <w:p w14:paraId="6F167AA1">
      <w:pPr>
        <w:pStyle w:val="5"/>
        <w:spacing w:line="240" w:lineRule="auto"/>
        <w:rPr>
          <w:rFonts w:hint="eastAsia" w:ascii="仿宋" w:hAnsi="仿宋" w:eastAsia="仿宋" w:cs="仿宋"/>
          <w:sz w:val="24"/>
          <w:szCs w:val="24"/>
        </w:rPr>
      </w:pPr>
      <w:r>
        <w:rPr>
          <w:rFonts w:hint="eastAsia" w:ascii="仿宋" w:hAnsi="仿宋" w:eastAsia="仿宋" w:cs="仿宋"/>
          <w:sz w:val="24"/>
          <w:szCs w:val="24"/>
        </w:rPr>
        <w:t>平台显示终端</w:t>
      </w:r>
    </w:p>
    <w:p w14:paraId="5CEC578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触摸大屏一体机（1台）</w:t>
      </w:r>
    </w:p>
    <w:p w14:paraId="04735D8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尺寸：（86英寸）；操作系统：win 系统；分辨率：4K；屏幕比例：16:9；显示类型：LED显示；存储内存：不小于128G SSD；运行内存/RAM：不小于8GB；WIFI频段：2.4G&amp;5G；触摸屏带移动支架。</w:t>
      </w:r>
    </w:p>
    <w:p w14:paraId="5AFDE066">
      <w:pPr>
        <w:pStyle w:val="3"/>
        <w:spacing w:line="240" w:lineRule="auto"/>
        <w:rPr>
          <w:rFonts w:hint="eastAsia" w:ascii="仿宋" w:hAnsi="仿宋" w:eastAsia="仿宋" w:cs="仿宋"/>
          <w:sz w:val="24"/>
          <w:szCs w:val="24"/>
        </w:rPr>
      </w:pPr>
      <w:r>
        <w:rPr>
          <w:rFonts w:hint="eastAsia" w:ascii="仿宋" w:hAnsi="仿宋" w:eastAsia="仿宋" w:cs="仿宋"/>
          <w:sz w:val="24"/>
          <w:szCs w:val="24"/>
        </w:rPr>
        <w:t>项目建设清单</w:t>
      </w:r>
    </w:p>
    <w:tbl>
      <w:tblPr>
        <w:tblStyle w:val="11"/>
        <w:tblW w:w="8534" w:type="dxa"/>
        <w:tblInd w:w="113" w:type="dxa"/>
        <w:tblLayout w:type="autofit"/>
        <w:tblCellMar>
          <w:top w:w="0" w:type="dxa"/>
          <w:left w:w="108" w:type="dxa"/>
          <w:bottom w:w="0" w:type="dxa"/>
          <w:right w:w="108" w:type="dxa"/>
        </w:tblCellMar>
      </w:tblPr>
      <w:tblGrid>
        <w:gridCol w:w="704"/>
        <w:gridCol w:w="1120"/>
        <w:gridCol w:w="1520"/>
        <w:gridCol w:w="3739"/>
        <w:gridCol w:w="725"/>
        <w:gridCol w:w="726"/>
      </w:tblGrid>
      <w:tr w14:paraId="4E3A796D">
        <w:tblPrEx>
          <w:tblCellMar>
            <w:top w:w="0" w:type="dxa"/>
            <w:left w:w="108" w:type="dxa"/>
            <w:bottom w:w="0" w:type="dxa"/>
            <w:right w:w="108" w:type="dxa"/>
          </w:tblCellMar>
        </w:tblPrEx>
        <w:trPr>
          <w:trHeight w:val="285"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12C7C45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640" w:type="dxa"/>
            <w:gridSpan w:val="2"/>
            <w:tcBorders>
              <w:top w:val="single" w:color="auto" w:sz="4" w:space="0"/>
              <w:left w:val="nil"/>
              <w:bottom w:val="single" w:color="auto" w:sz="4" w:space="0"/>
              <w:right w:val="single" w:color="auto" w:sz="4" w:space="0"/>
            </w:tcBorders>
            <w:noWrap/>
            <w:vAlign w:val="bottom"/>
          </w:tcPr>
          <w:p w14:paraId="221022E4">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3739" w:type="dxa"/>
            <w:tcBorders>
              <w:top w:val="single" w:color="auto" w:sz="4" w:space="0"/>
              <w:left w:val="nil"/>
              <w:bottom w:val="single" w:color="auto" w:sz="4" w:space="0"/>
              <w:right w:val="single" w:color="auto" w:sz="4" w:space="0"/>
            </w:tcBorders>
            <w:noWrap/>
            <w:vAlign w:val="bottom"/>
          </w:tcPr>
          <w:p w14:paraId="26133EC4">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内容</w:t>
            </w:r>
          </w:p>
        </w:tc>
        <w:tc>
          <w:tcPr>
            <w:tcW w:w="725" w:type="dxa"/>
            <w:tcBorders>
              <w:top w:val="single" w:color="auto" w:sz="4" w:space="0"/>
              <w:left w:val="nil"/>
              <w:bottom w:val="single" w:color="auto" w:sz="4" w:space="0"/>
              <w:right w:val="single" w:color="auto" w:sz="4" w:space="0"/>
            </w:tcBorders>
            <w:noWrap/>
            <w:vAlign w:val="bottom"/>
          </w:tcPr>
          <w:p w14:paraId="3E74DC7E">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726" w:type="dxa"/>
            <w:tcBorders>
              <w:top w:val="single" w:color="auto" w:sz="4" w:space="0"/>
              <w:left w:val="nil"/>
              <w:bottom w:val="single" w:color="auto" w:sz="4" w:space="0"/>
              <w:right w:val="single" w:color="auto" w:sz="4" w:space="0"/>
            </w:tcBorders>
            <w:noWrap/>
            <w:vAlign w:val="bottom"/>
          </w:tcPr>
          <w:p w14:paraId="67000FA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r>
      <w:tr w14:paraId="5ACF9FB8">
        <w:tblPrEx>
          <w:tblCellMar>
            <w:top w:w="0" w:type="dxa"/>
            <w:left w:w="108" w:type="dxa"/>
            <w:bottom w:w="0" w:type="dxa"/>
            <w:right w:w="108" w:type="dxa"/>
          </w:tblCellMar>
        </w:tblPrEx>
        <w:trPr>
          <w:trHeight w:val="765" w:hRule="atLeast"/>
        </w:trPr>
        <w:tc>
          <w:tcPr>
            <w:tcW w:w="704" w:type="dxa"/>
            <w:tcBorders>
              <w:top w:val="nil"/>
              <w:left w:val="single" w:color="auto" w:sz="4" w:space="0"/>
              <w:bottom w:val="single" w:color="auto" w:sz="4" w:space="0"/>
              <w:right w:val="single" w:color="auto" w:sz="4" w:space="0"/>
            </w:tcBorders>
            <w:noWrap/>
            <w:vAlign w:val="center"/>
          </w:tcPr>
          <w:p w14:paraId="6200E70A">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640" w:type="dxa"/>
            <w:gridSpan w:val="2"/>
            <w:tcBorders>
              <w:top w:val="single" w:color="auto" w:sz="4" w:space="0"/>
              <w:left w:val="nil"/>
              <w:bottom w:val="single" w:color="auto" w:sz="4" w:space="0"/>
              <w:right w:val="single" w:color="000000" w:sz="4" w:space="0"/>
            </w:tcBorders>
            <w:noWrap/>
            <w:vAlign w:val="center"/>
          </w:tcPr>
          <w:p w14:paraId="74CD2EA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门户</w:t>
            </w:r>
          </w:p>
        </w:tc>
        <w:tc>
          <w:tcPr>
            <w:tcW w:w="3739" w:type="dxa"/>
            <w:tcBorders>
              <w:top w:val="nil"/>
              <w:left w:val="nil"/>
              <w:bottom w:val="single" w:color="auto" w:sz="4" w:space="0"/>
              <w:right w:val="single" w:color="auto" w:sz="4" w:space="0"/>
            </w:tcBorders>
            <w:noWrap w:val="0"/>
            <w:vAlign w:val="center"/>
          </w:tcPr>
          <w:p w14:paraId="66127AE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首页、领导信息、组织架构、供销文化、工作动态、新闻资讯、政务要闻、公告公示、政策法规、部门动态</w:t>
            </w:r>
          </w:p>
        </w:tc>
        <w:tc>
          <w:tcPr>
            <w:tcW w:w="725" w:type="dxa"/>
            <w:tcBorders>
              <w:top w:val="nil"/>
              <w:left w:val="nil"/>
              <w:bottom w:val="nil"/>
              <w:right w:val="single" w:color="auto" w:sz="4" w:space="0"/>
            </w:tcBorders>
            <w:noWrap/>
            <w:vAlign w:val="center"/>
          </w:tcPr>
          <w:p w14:paraId="33DD049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nil"/>
              <w:right w:val="single" w:color="auto" w:sz="4" w:space="0"/>
            </w:tcBorders>
            <w:noWrap/>
            <w:vAlign w:val="center"/>
          </w:tcPr>
          <w:p w14:paraId="19EB5EC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A313F45">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noWrap/>
            <w:vAlign w:val="center"/>
          </w:tcPr>
          <w:p w14:paraId="1277E48D">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120" w:type="dxa"/>
            <w:vMerge w:val="restart"/>
            <w:tcBorders>
              <w:top w:val="nil"/>
              <w:left w:val="single" w:color="auto" w:sz="4" w:space="0"/>
              <w:bottom w:val="single" w:color="auto" w:sz="4" w:space="0"/>
              <w:right w:val="single" w:color="auto" w:sz="4" w:space="0"/>
            </w:tcBorders>
            <w:noWrap w:val="0"/>
            <w:vAlign w:val="center"/>
          </w:tcPr>
          <w:p w14:paraId="5DBBDD6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数字供销平台</w:t>
            </w:r>
          </w:p>
          <w:p w14:paraId="573F4E64">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（一平台）</w:t>
            </w:r>
          </w:p>
        </w:tc>
        <w:tc>
          <w:tcPr>
            <w:tcW w:w="1520" w:type="dxa"/>
            <w:tcBorders>
              <w:top w:val="nil"/>
              <w:left w:val="nil"/>
              <w:bottom w:val="nil"/>
              <w:right w:val="single" w:color="auto" w:sz="4" w:space="0"/>
            </w:tcBorders>
            <w:noWrap/>
            <w:vAlign w:val="center"/>
          </w:tcPr>
          <w:p w14:paraId="56F22A6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政务公开</w:t>
            </w:r>
          </w:p>
        </w:tc>
        <w:tc>
          <w:tcPr>
            <w:tcW w:w="3739" w:type="dxa"/>
            <w:tcBorders>
              <w:top w:val="nil"/>
              <w:left w:val="nil"/>
              <w:bottom w:val="single" w:color="auto" w:sz="4" w:space="0"/>
              <w:right w:val="single" w:color="auto" w:sz="4" w:space="0"/>
            </w:tcBorders>
            <w:noWrap/>
            <w:vAlign w:val="center"/>
          </w:tcPr>
          <w:p w14:paraId="3880A8A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信息公开、信息发布</w:t>
            </w:r>
          </w:p>
        </w:tc>
        <w:tc>
          <w:tcPr>
            <w:tcW w:w="725" w:type="dxa"/>
            <w:tcBorders>
              <w:top w:val="single" w:color="auto" w:sz="4" w:space="0"/>
              <w:left w:val="nil"/>
              <w:bottom w:val="nil"/>
              <w:right w:val="single" w:color="auto" w:sz="4" w:space="0"/>
            </w:tcBorders>
            <w:noWrap/>
            <w:vAlign w:val="center"/>
          </w:tcPr>
          <w:p w14:paraId="23B56F3B">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single" w:color="auto" w:sz="4" w:space="0"/>
              <w:left w:val="nil"/>
              <w:bottom w:val="nil"/>
              <w:right w:val="single" w:color="auto" w:sz="4" w:space="0"/>
            </w:tcBorders>
            <w:noWrap/>
            <w:vAlign w:val="center"/>
          </w:tcPr>
          <w:p w14:paraId="72DF4479">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3F7901D">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0C53C54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120" w:type="dxa"/>
            <w:vMerge w:val="continue"/>
            <w:tcBorders>
              <w:top w:val="nil"/>
              <w:left w:val="single" w:color="auto" w:sz="4" w:space="0"/>
              <w:bottom w:val="single" w:color="auto" w:sz="4" w:space="0"/>
              <w:right w:val="single" w:color="auto" w:sz="4" w:space="0"/>
            </w:tcBorders>
            <w:noWrap w:val="0"/>
            <w:vAlign w:val="center"/>
          </w:tcPr>
          <w:p w14:paraId="3976293C">
            <w:pPr>
              <w:widowControl/>
              <w:spacing w:line="360" w:lineRule="auto"/>
              <w:rPr>
                <w:rFonts w:hint="eastAsia" w:ascii="仿宋" w:hAnsi="仿宋" w:eastAsia="仿宋" w:cs="仿宋"/>
                <w:color w:val="000000"/>
                <w:sz w:val="24"/>
                <w:szCs w:val="24"/>
              </w:rPr>
            </w:pPr>
          </w:p>
        </w:tc>
        <w:tc>
          <w:tcPr>
            <w:tcW w:w="1520" w:type="dxa"/>
            <w:tcBorders>
              <w:top w:val="single" w:color="auto" w:sz="4" w:space="0"/>
              <w:left w:val="nil"/>
              <w:bottom w:val="single" w:color="auto" w:sz="4" w:space="0"/>
              <w:right w:val="single" w:color="auto" w:sz="4" w:space="0"/>
            </w:tcBorders>
            <w:noWrap/>
            <w:vAlign w:val="center"/>
          </w:tcPr>
          <w:p w14:paraId="0AC83D2E">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社有企业管理</w:t>
            </w:r>
          </w:p>
        </w:tc>
        <w:tc>
          <w:tcPr>
            <w:tcW w:w="3739" w:type="dxa"/>
            <w:tcBorders>
              <w:top w:val="nil"/>
              <w:left w:val="nil"/>
              <w:bottom w:val="single" w:color="auto" w:sz="4" w:space="0"/>
              <w:right w:val="single" w:color="auto" w:sz="4" w:space="0"/>
            </w:tcBorders>
            <w:noWrap w:val="0"/>
            <w:vAlign w:val="center"/>
          </w:tcPr>
          <w:p w14:paraId="05683C6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财务管理、人力资源、资产管理、投资管理、产权管理、综合改革、直属企业信息</w:t>
            </w:r>
          </w:p>
        </w:tc>
        <w:tc>
          <w:tcPr>
            <w:tcW w:w="725" w:type="dxa"/>
            <w:tcBorders>
              <w:top w:val="single" w:color="auto" w:sz="4" w:space="0"/>
              <w:left w:val="nil"/>
              <w:bottom w:val="single" w:color="auto" w:sz="4" w:space="0"/>
              <w:right w:val="single" w:color="auto" w:sz="4" w:space="0"/>
            </w:tcBorders>
            <w:noWrap/>
            <w:vAlign w:val="center"/>
          </w:tcPr>
          <w:p w14:paraId="6AB2F58F">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single" w:color="auto" w:sz="4" w:space="0"/>
              <w:left w:val="nil"/>
              <w:bottom w:val="single" w:color="auto" w:sz="4" w:space="0"/>
              <w:right w:val="single" w:color="auto" w:sz="4" w:space="0"/>
            </w:tcBorders>
            <w:noWrap/>
            <w:vAlign w:val="center"/>
          </w:tcPr>
          <w:p w14:paraId="43106D5D">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D34929F">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6D146470">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120" w:type="dxa"/>
            <w:vMerge w:val="continue"/>
            <w:tcBorders>
              <w:top w:val="nil"/>
              <w:left w:val="single" w:color="auto" w:sz="4" w:space="0"/>
              <w:bottom w:val="single" w:color="auto" w:sz="4" w:space="0"/>
              <w:right w:val="single" w:color="auto" w:sz="4" w:space="0"/>
            </w:tcBorders>
            <w:noWrap w:val="0"/>
            <w:vAlign w:val="center"/>
          </w:tcPr>
          <w:p w14:paraId="60667B31">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507D4F4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现代流通体系</w:t>
            </w:r>
          </w:p>
        </w:tc>
        <w:tc>
          <w:tcPr>
            <w:tcW w:w="3739" w:type="dxa"/>
            <w:tcBorders>
              <w:top w:val="nil"/>
              <w:left w:val="nil"/>
              <w:bottom w:val="single" w:color="auto" w:sz="4" w:space="0"/>
              <w:right w:val="single" w:color="auto" w:sz="4" w:space="0"/>
            </w:tcBorders>
            <w:noWrap w:val="0"/>
            <w:vAlign w:val="center"/>
          </w:tcPr>
          <w:p w14:paraId="5C17082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农产品流通、农资流通、日用消费品流通、可再生资源管理、仓储物流</w:t>
            </w:r>
          </w:p>
        </w:tc>
        <w:tc>
          <w:tcPr>
            <w:tcW w:w="725" w:type="dxa"/>
            <w:tcBorders>
              <w:top w:val="nil"/>
              <w:left w:val="nil"/>
              <w:bottom w:val="single" w:color="auto" w:sz="4" w:space="0"/>
              <w:right w:val="single" w:color="auto" w:sz="4" w:space="0"/>
            </w:tcBorders>
            <w:noWrap/>
            <w:vAlign w:val="center"/>
          </w:tcPr>
          <w:p w14:paraId="4C28D3E3">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216E780A">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A7F0B79">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5404D9F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120" w:type="dxa"/>
            <w:vMerge w:val="continue"/>
            <w:tcBorders>
              <w:top w:val="nil"/>
              <w:left w:val="single" w:color="auto" w:sz="4" w:space="0"/>
              <w:bottom w:val="single" w:color="auto" w:sz="4" w:space="0"/>
              <w:right w:val="single" w:color="auto" w:sz="4" w:space="0"/>
            </w:tcBorders>
            <w:noWrap w:val="0"/>
            <w:vAlign w:val="center"/>
          </w:tcPr>
          <w:p w14:paraId="3E3EB95E">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7280F22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合作经济</w:t>
            </w:r>
          </w:p>
        </w:tc>
        <w:tc>
          <w:tcPr>
            <w:tcW w:w="3739" w:type="dxa"/>
            <w:tcBorders>
              <w:top w:val="nil"/>
              <w:left w:val="nil"/>
              <w:bottom w:val="single" w:color="auto" w:sz="4" w:space="0"/>
              <w:right w:val="single" w:color="auto" w:sz="4" w:space="0"/>
            </w:tcBorders>
            <w:noWrap w:val="0"/>
            <w:vAlign w:val="center"/>
          </w:tcPr>
          <w:p w14:paraId="34C5B31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基层组织管理、联合会及协会、开放办社</w:t>
            </w:r>
          </w:p>
        </w:tc>
        <w:tc>
          <w:tcPr>
            <w:tcW w:w="725" w:type="dxa"/>
            <w:tcBorders>
              <w:top w:val="nil"/>
              <w:left w:val="nil"/>
              <w:bottom w:val="single" w:color="auto" w:sz="4" w:space="0"/>
              <w:right w:val="single" w:color="auto" w:sz="4" w:space="0"/>
            </w:tcBorders>
            <w:noWrap/>
            <w:vAlign w:val="center"/>
          </w:tcPr>
          <w:p w14:paraId="571DADB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3299BAA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896A0DE">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noWrap/>
            <w:vAlign w:val="center"/>
          </w:tcPr>
          <w:p w14:paraId="67CD1244">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120" w:type="dxa"/>
            <w:vMerge w:val="continue"/>
            <w:tcBorders>
              <w:top w:val="nil"/>
              <w:left w:val="single" w:color="auto" w:sz="4" w:space="0"/>
              <w:bottom w:val="single" w:color="auto" w:sz="4" w:space="0"/>
              <w:right w:val="single" w:color="auto" w:sz="4" w:space="0"/>
            </w:tcBorders>
            <w:noWrap w:val="0"/>
            <w:vAlign w:val="center"/>
          </w:tcPr>
          <w:p w14:paraId="21CF4FA0">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6BDBA13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为农服务</w:t>
            </w:r>
          </w:p>
        </w:tc>
        <w:tc>
          <w:tcPr>
            <w:tcW w:w="3739" w:type="dxa"/>
            <w:tcBorders>
              <w:top w:val="nil"/>
              <w:left w:val="nil"/>
              <w:bottom w:val="single" w:color="auto" w:sz="4" w:space="0"/>
              <w:right w:val="single" w:color="auto" w:sz="4" w:space="0"/>
            </w:tcBorders>
            <w:noWrap w:val="0"/>
            <w:vAlign w:val="center"/>
          </w:tcPr>
          <w:p w14:paraId="090EAAE0">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大田托管、金融服务、科教培训</w:t>
            </w:r>
          </w:p>
        </w:tc>
        <w:tc>
          <w:tcPr>
            <w:tcW w:w="725" w:type="dxa"/>
            <w:tcBorders>
              <w:top w:val="nil"/>
              <w:left w:val="nil"/>
              <w:bottom w:val="single" w:color="auto" w:sz="4" w:space="0"/>
              <w:right w:val="single" w:color="auto" w:sz="4" w:space="0"/>
            </w:tcBorders>
            <w:noWrap/>
            <w:vAlign w:val="center"/>
          </w:tcPr>
          <w:p w14:paraId="71AC107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58C222DF">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7027100">
        <w:tblPrEx>
          <w:tblCellMar>
            <w:top w:w="0" w:type="dxa"/>
            <w:left w:w="108" w:type="dxa"/>
            <w:bottom w:w="0" w:type="dxa"/>
            <w:right w:w="108" w:type="dxa"/>
          </w:tblCellMar>
        </w:tblPrEx>
        <w:trPr>
          <w:trHeight w:val="416" w:hRule="atLeast"/>
        </w:trPr>
        <w:tc>
          <w:tcPr>
            <w:tcW w:w="704" w:type="dxa"/>
            <w:tcBorders>
              <w:top w:val="nil"/>
              <w:left w:val="single" w:color="auto" w:sz="4" w:space="0"/>
              <w:bottom w:val="single" w:color="auto" w:sz="4" w:space="0"/>
              <w:right w:val="single" w:color="auto" w:sz="4" w:space="0"/>
            </w:tcBorders>
            <w:noWrap/>
            <w:vAlign w:val="center"/>
          </w:tcPr>
          <w:p w14:paraId="03971FC0">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120" w:type="dxa"/>
            <w:vMerge w:val="continue"/>
            <w:tcBorders>
              <w:top w:val="nil"/>
              <w:left w:val="single" w:color="auto" w:sz="4" w:space="0"/>
              <w:bottom w:val="single" w:color="auto" w:sz="4" w:space="0"/>
              <w:right w:val="single" w:color="auto" w:sz="4" w:space="0"/>
            </w:tcBorders>
            <w:noWrap w:val="0"/>
            <w:vAlign w:val="center"/>
          </w:tcPr>
          <w:p w14:paraId="7B877073">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5669596C">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应急保供</w:t>
            </w:r>
          </w:p>
        </w:tc>
        <w:tc>
          <w:tcPr>
            <w:tcW w:w="3739" w:type="dxa"/>
            <w:tcBorders>
              <w:top w:val="nil"/>
              <w:left w:val="nil"/>
              <w:bottom w:val="single" w:color="auto" w:sz="4" w:space="0"/>
              <w:right w:val="single" w:color="auto" w:sz="4" w:space="0"/>
            </w:tcBorders>
            <w:noWrap w:val="0"/>
            <w:vAlign w:val="center"/>
          </w:tcPr>
          <w:p w14:paraId="38A92FA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储备管理、储备库建设、农资储备、应急物资、平急两用、生活必需品、应急预案、应急响应报告</w:t>
            </w:r>
          </w:p>
        </w:tc>
        <w:tc>
          <w:tcPr>
            <w:tcW w:w="725" w:type="dxa"/>
            <w:tcBorders>
              <w:top w:val="nil"/>
              <w:left w:val="nil"/>
              <w:bottom w:val="single" w:color="auto" w:sz="4" w:space="0"/>
              <w:right w:val="single" w:color="auto" w:sz="4" w:space="0"/>
            </w:tcBorders>
            <w:noWrap/>
            <w:vAlign w:val="center"/>
          </w:tcPr>
          <w:p w14:paraId="761EE71B">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42FFB5BE">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633B89E">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40DDEBC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120" w:type="dxa"/>
            <w:vMerge w:val="continue"/>
            <w:tcBorders>
              <w:top w:val="nil"/>
              <w:left w:val="single" w:color="auto" w:sz="4" w:space="0"/>
              <w:bottom w:val="single" w:color="auto" w:sz="4" w:space="0"/>
              <w:right w:val="single" w:color="auto" w:sz="4" w:space="0"/>
            </w:tcBorders>
            <w:noWrap w:val="0"/>
            <w:vAlign w:val="center"/>
          </w:tcPr>
          <w:p w14:paraId="24F5C87C">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5B26B2A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安全生产</w:t>
            </w:r>
          </w:p>
        </w:tc>
        <w:tc>
          <w:tcPr>
            <w:tcW w:w="3739" w:type="dxa"/>
            <w:tcBorders>
              <w:top w:val="nil"/>
              <w:left w:val="nil"/>
              <w:bottom w:val="single" w:color="auto" w:sz="4" w:space="0"/>
              <w:right w:val="single" w:color="auto" w:sz="4" w:space="0"/>
            </w:tcBorders>
            <w:noWrap w:val="0"/>
            <w:vAlign w:val="center"/>
          </w:tcPr>
          <w:p w14:paraId="1B1CCE3E">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在建项目管理、安全监管、经营网点可视化、数据分析</w:t>
            </w:r>
          </w:p>
        </w:tc>
        <w:tc>
          <w:tcPr>
            <w:tcW w:w="725" w:type="dxa"/>
            <w:tcBorders>
              <w:top w:val="nil"/>
              <w:left w:val="nil"/>
              <w:bottom w:val="single" w:color="auto" w:sz="4" w:space="0"/>
              <w:right w:val="single" w:color="auto" w:sz="4" w:space="0"/>
            </w:tcBorders>
            <w:noWrap/>
            <w:vAlign w:val="center"/>
          </w:tcPr>
          <w:p w14:paraId="1B42901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2B1C9C59">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383123A">
        <w:tblPrEx>
          <w:tblCellMar>
            <w:top w:w="0" w:type="dxa"/>
            <w:left w:w="108" w:type="dxa"/>
            <w:bottom w:w="0" w:type="dxa"/>
            <w:right w:w="108" w:type="dxa"/>
          </w:tblCellMar>
        </w:tblPrEx>
        <w:trPr>
          <w:trHeight w:val="765" w:hRule="atLeast"/>
        </w:trPr>
        <w:tc>
          <w:tcPr>
            <w:tcW w:w="704" w:type="dxa"/>
            <w:tcBorders>
              <w:top w:val="nil"/>
              <w:left w:val="single" w:color="auto" w:sz="4" w:space="0"/>
              <w:bottom w:val="single" w:color="auto" w:sz="4" w:space="0"/>
              <w:right w:val="single" w:color="auto" w:sz="4" w:space="0"/>
            </w:tcBorders>
            <w:noWrap/>
            <w:vAlign w:val="center"/>
          </w:tcPr>
          <w:p w14:paraId="6A331F0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120" w:type="dxa"/>
            <w:vMerge w:val="continue"/>
            <w:tcBorders>
              <w:top w:val="nil"/>
              <w:left w:val="single" w:color="auto" w:sz="4" w:space="0"/>
              <w:bottom w:val="single" w:color="auto" w:sz="4" w:space="0"/>
              <w:right w:val="single" w:color="auto" w:sz="4" w:space="0"/>
            </w:tcBorders>
            <w:noWrap w:val="0"/>
            <w:vAlign w:val="center"/>
          </w:tcPr>
          <w:p w14:paraId="1FE71945">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3FC7BACB">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考核管理</w:t>
            </w:r>
          </w:p>
        </w:tc>
        <w:tc>
          <w:tcPr>
            <w:tcW w:w="3739" w:type="dxa"/>
            <w:tcBorders>
              <w:top w:val="nil"/>
              <w:left w:val="nil"/>
              <w:bottom w:val="single" w:color="auto" w:sz="4" w:space="0"/>
              <w:right w:val="single" w:color="auto" w:sz="4" w:space="0"/>
            </w:tcBorders>
            <w:noWrap w:val="0"/>
            <w:vAlign w:val="center"/>
          </w:tcPr>
          <w:p w14:paraId="65693F5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综合业绩考核、中省考核、省级考核、下属企业考核、区县基层社考核、市政府考核</w:t>
            </w:r>
          </w:p>
        </w:tc>
        <w:tc>
          <w:tcPr>
            <w:tcW w:w="725" w:type="dxa"/>
            <w:tcBorders>
              <w:top w:val="nil"/>
              <w:left w:val="nil"/>
              <w:bottom w:val="single" w:color="auto" w:sz="4" w:space="0"/>
              <w:right w:val="single" w:color="auto" w:sz="4" w:space="0"/>
            </w:tcBorders>
            <w:noWrap/>
            <w:vAlign w:val="center"/>
          </w:tcPr>
          <w:p w14:paraId="5E16337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6C6E25C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3C6AE6F">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7A6820BC">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120" w:type="dxa"/>
            <w:vMerge w:val="continue"/>
            <w:tcBorders>
              <w:top w:val="nil"/>
              <w:left w:val="single" w:color="auto" w:sz="4" w:space="0"/>
              <w:bottom w:val="single" w:color="auto" w:sz="4" w:space="0"/>
              <w:right w:val="single" w:color="auto" w:sz="4" w:space="0"/>
            </w:tcBorders>
            <w:noWrap w:val="0"/>
            <w:vAlign w:val="center"/>
          </w:tcPr>
          <w:p w14:paraId="48A6A2AD">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7E97682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监事会监督</w:t>
            </w:r>
          </w:p>
        </w:tc>
        <w:tc>
          <w:tcPr>
            <w:tcW w:w="3739" w:type="dxa"/>
            <w:tcBorders>
              <w:top w:val="nil"/>
              <w:left w:val="nil"/>
              <w:bottom w:val="single" w:color="auto" w:sz="4" w:space="0"/>
              <w:right w:val="single" w:color="auto" w:sz="4" w:space="0"/>
            </w:tcBorders>
            <w:noWrap w:val="0"/>
            <w:vAlign w:val="center"/>
          </w:tcPr>
          <w:p w14:paraId="7A8CE02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工作报告管理、调研报告报送系统、社情民意信息报送系统</w:t>
            </w:r>
          </w:p>
        </w:tc>
        <w:tc>
          <w:tcPr>
            <w:tcW w:w="725" w:type="dxa"/>
            <w:tcBorders>
              <w:top w:val="nil"/>
              <w:left w:val="nil"/>
              <w:bottom w:val="single" w:color="auto" w:sz="4" w:space="0"/>
              <w:right w:val="single" w:color="auto" w:sz="4" w:space="0"/>
            </w:tcBorders>
            <w:noWrap/>
            <w:vAlign w:val="center"/>
          </w:tcPr>
          <w:p w14:paraId="72EA5BAA">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4AF42E4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0B00942">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38BCB34B">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120" w:type="dxa"/>
            <w:vMerge w:val="continue"/>
            <w:tcBorders>
              <w:top w:val="nil"/>
              <w:left w:val="single" w:color="auto" w:sz="4" w:space="0"/>
              <w:bottom w:val="single" w:color="auto" w:sz="4" w:space="0"/>
              <w:right w:val="single" w:color="auto" w:sz="4" w:space="0"/>
            </w:tcBorders>
            <w:noWrap w:val="0"/>
            <w:vAlign w:val="center"/>
          </w:tcPr>
          <w:p w14:paraId="5D7578AA">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3FE3A68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项目管理</w:t>
            </w:r>
          </w:p>
        </w:tc>
        <w:tc>
          <w:tcPr>
            <w:tcW w:w="3739" w:type="dxa"/>
            <w:tcBorders>
              <w:top w:val="nil"/>
              <w:left w:val="nil"/>
              <w:bottom w:val="single" w:color="auto" w:sz="4" w:space="0"/>
              <w:right w:val="single" w:color="auto" w:sz="4" w:space="0"/>
            </w:tcBorders>
            <w:noWrap w:val="0"/>
            <w:vAlign w:val="center"/>
          </w:tcPr>
          <w:p w14:paraId="695A5FA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项目申报、在建项目、项目库、绩效评价</w:t>
            </w:r>
          </w:p>
        </w:tc>
        <w:tc>
          <w:tcPr>
            <w:tcW w:w="725" w:type="dxa"/>
            <w:tcBorders>
              <w:top w:val="nil"/>
              <w:left w:val="nil"/>
              <w:bottom w:val="single" w:color="auto" w:sz="4" w:space="0"/>
              <w:right w:val="single" w:color="auto" w:sz="4" w:space="0"/>
            </w:tcBorders>
            <w:noWrap/>
            <w:vAlign w:val="center"/>
          </w:tcPr>
          <w:p w14:paraId="583CB39B">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1973EC4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80C1154">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55BF5BEC">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120" w:type="dxa"/>
            <w:vMerge w:val="continue"/>
            <w:tcBorders>
              <w:top w:val="nil"/>
              <w:left w:val="single" w:color="auto" w:sz="4" w:space="0"/>
              <w:bottom w:val="single" w:color="auto" w:sz="4" w:space="0"/>
              <w:right w:val="single" w:color="auto" w:sz="4" w:space="0"/>
            </w:tcBorders>
            <w:noWrap w:val="0"/>
            <w:vAlign w:val="center"/>
          </w:tcPr>
          <w:p w14:paraId="2555E184">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0"/>
            <w:vAlign w:val="center"/>
          </w:tcPr>
          <w:p w14:paraId="226744CA">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三重一大管理</w:t>
            </w:r>
          </w:p>
        </w:tc>
        <w:tc>
          <w:tcPr>
            <w:tcW w:w="3739" w:type="dxa"/>
            <w:tcBorders>
              <w:top w:val="nil"/>
              <w:left w:val="nil"/>
              <w:bottom w:val="single" w:color="auto" w:sz="4" w:space="0"/>
              <w:right w:val="single" w:color="auto" w:sz="4" w:space="0"/>
            </w:tcBorders>
            <w:noWrap w:val="0"/>
            <w:vAlign w:val="center"/>
          </w:tcPr>
          <w:p w14:paraId="32FCD820">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决策制度、决策事项、议题管理、决策会议、预警分析</w:t>
            </w:r>
          </w:p>
        </w:tc>
        <w:tc>
          <w:tcPr>
            <w:tcW w:w="725" w:type="dxa"/>
            <w:tcBorders>
              <w:top w:val="nil"/>
              <w:left w:val="nil"/>
              <w:bottom w:val="single" w:color="auto" w:sz="4" w:space="0"/>
              <w:right w:val="single" w:color="auto" w:sz="4" w:space="0"/>
            </w:tcBorders>
            <w:noWrap w:val="0"/>
            <w:vAlign w:val="center"/>
          </w:tcPr>
          <w:p w14:paraId="1E898853">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0"/>
            <w:vAlign w:val="center"/>
          </w:tcPr>
          <w:p w14:paraId="07275643">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4DD5172">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noWrap/>
            <w:vAlign w:val="center"/>
          </w:tcPr>
          <w:p w14:paraId="0689FB53">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1120" w:type="dxa"/>
            <w:vMerge w:val="continue"/>
            <w:tcBorders>
              <w:top w:val="nil"/>
              <w:left w:val="single" w:color="auto" w:sz="4" w:space="0"/>
              <w:bottom w:val="single" w:color="auto" w:sz="4" w:space="0"/>
              <w:right w:val="single" w:color="auto" w:sz="4" w:space="0"/>
            </w:tcBorders>
            <w:noWrap w:val="0"/>
            <w:vAlign w:val="center"/>
          </w:tcPr>
          <w:p w14:paraId="3367C1DB">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4750C6D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城乡融合</w:t>
            </w:r>
          </w:p>
        </w:tc>
        <w:tc>
          <w:tcPr>
            <w:tcW w:w="3739" w:type="dxa"/>
            <w:tcBorders>
              <w:top w:val="nil"/>
              <w:left w:val="nil"/>
              <w:bottom w:val="single" w:color="auto" w:sz="4" w:space="0"/>
              <w:right w:val="single" w:color="auto" w:sz="4" w:space="0"/>
            </w:tcBorders>
            <w:noWrap w:val="0"/>
            <w:vAlign w:val="center"/>
          </w:tcPr>
          <w:p w14:paraId="052CB47D">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蔬菜直通车、两网融合建设</w:t>
            </w:r>
          </w:p>
        </w:tc>
        <w:tc>
          <w:tcPr>
            <w:tcW w:w="725" w:type="dxa"/>
            <w:tcBorders>
              <w:top w:val="nil"/>
              <w:left w:val="nil"/>
              <w:bottom w:val="single" w:color="auto" w:sz="4" w:space="0"/>
              <w:right w:val="single" w:color="auto" w:sz="4" w:space="0"/>
            </w:tcBorders>
            <w:noWrap/>
            <w:vAlign w:val="center"/>
          </w:tcPr>
          <w:p w14:paraId="588D716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6305D72C">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1A880805">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3DE8E81C">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1120" w:type="dxa"/>
            <w:vMerge w:val="continue"/>
            <w:tcBorders>
              <w:top w:val="nil"/>
              <w:left w:val="single" w:color="auto" w:sz="4" w:space="0"/>
              <w:bottom w:val="single" w:color="auto" w:sz="4" w:space="0"/>
              <w:right w:val="single" w:color="auto" w:sz="4" w:space="0"/>
            </w:tcBorders>
            <w:noWrap w:val="0"/>
            <w:vAlign w:val="center"/>
          </w:tcPr>
          <w:p w14:paraId="3E30B38D">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7ECE3E4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内审监督</w:t>
            </w:r>
          </w:p>
        </w:tc>
        <w:tc>
          <w:tcPr>
            <w:tcW w:w="3739" w:type="dxa"/>
            <w:tcBorders>
              <w:top w:val="nil"/>
              <w:left w:val="nil"/>
              <w:bottom w:val="single" w:color="auto" w:sz="4" w:space="0"/>
              <w:right w:val="single" w:color="auto" w:sz="4" w:space="0"/>
            </w:tcBorders>
            <w:noWrap w:val="0"/>
            <w:vAlign w:val="center"/>
          </w:tcPr>
          <w:p w14:paraId="0BB9AAFC">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审计登记、疑点核查、问题整改、内审监督查询</w:t>
            </w:r>
          </w:p>
        </w:tc>
        <w:tc>
          <w:tcPr>
            <w:tcW w:w="725" w:type="dxa"/>
            <w:tcBorders>
              <w:top w:val="nil"/>
              <w:left w:val="nil"/>
              <w:bottom w:val="single" w:color="auto" w:sz="4" w:space="0"/>
              <w:right w:val="single" w:color="auto" w:sz="4" w:space="0"/>
            </w:tcBorders>
            <w:noWrap/>
            <w:vAlign w:val="center"/>
          </w:tcPr>
          <w:p w14:paraId="0FDEC62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4E1CA6BA">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BCDDFA5">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1D8C68A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120" w:type="dxa"/>
            <w:vMerge w:val="continue"/>
            <w:tcBorders>
              <w:top w:val="nil"/>
              <w:left w:val="single" w:color="auto" w:sz="4" w:space="0"/>
              <w:bottom w:val="single" w:color="auto" w:sz="4" w:space="0"/>
              <w:right w:val="single" w:color="auto" w:sz="4" w:space="0"/>
            </w:tcBorders>
            <w:noWrap w:val="0"/>
            <w:vAlign w:val="center"/>
          </w:tcPr>
          <w:p w14:paraId="6D42DC35">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43973E33">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社企之家</w:t>
            </w:r>
          </w:p>
        </w:tc>
        <w:tc>
          <w:tcPr>
            <w:tcW w:w="3739" w:type="dxa"/>
            <w:tcBorders>
              <w:top w:val="nil"/>
              <w:left w:val="nil"/>
              <w:bottom w:val="single" w:color="auto" w:sz="4" w:space="0"/>
              <w:right w:val="single" w:color="auto" w:sz="4" w:space="0"/>
            </w:tcBorders>
            <w:noWrap w:val="0"/>
            <w:vAlign w:val="center"/>
          </w:tcPr>
          <w:p w14:paraId="0C6552F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直属企业信息、基层供销社信息、服务社信息、合作社信息</w:t>
            </w:r>
          </w:p>
        </w:tc>
        <w:tc>
          <w:tcPr>
            <w:tcW w:w="725" w:type="dxa"/>
            <w:tcBorders>
              <w:top w:val="nil"/>
              <w:left w:val="nil"/>
              <w:bottom w:val="single" w:color="auto" w:sz="4" w:space="0"/>
              <w:right w:val="single" w:color="auto" w:sz="4" w:space="0"/>
            </w:tcBorders>
            <w:noWrap/>
            <w:vAlign w:val="center"/>
          </w:tcPr>
          <w:p w14:paraId="34B7A93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4B0DC87E">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77948833">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3190F1CF">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120" w:type="dxa"/>
            <w:vMerge w:val="continue"/>
            <w:tcBorders>
              <w:top w:val="nil"/>
              <w:left w:val="single" w:color="auto" w:sz="4" w:space="0"/>
              <w:bottom w:val="single" w:color="auto" w:sz="4" w:space="0"/>
              <w:right w:val="single" w:color="auto" w:sz="4" w:space="0"/>
            </w:tcBorders>
            <w:noWrap w:val="0"/>
            <w:vAlign w:val="center"/>
          </w:tcPr>
          <w:p w14:paraId="46D981F3">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6EA70F1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供销智库</w:t>
            </w:r>
          </w:p>
        </w:tc>
        <w:tc>
          <w:tcPr>
            <w:tcW w:w="3739" w:type="dxa"/>
            <w:tcBorders>
              <w:top w:val="nil"/>
              <w:left w:val="nil"/>
              <w:bottom w:val="single" w:color="auto" w:sz="4" w:space="0"/>
              <w:right w:val="single" w:color="auto" w:sz="4" w:space="0"/>
            </w:tcBorders>
            <w:noWrap w:val="0"/>
            <w:vAlign w:val="center"/>
          </w:tcPr>
          <w:p w14:paraId="3371E10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直属企业信息、基层供销社信息、服务社信息、合作社信息</w:t>
            </w:r>
          </w:p>
        </w:tc>
        <w:tc>
          <w:tcPr>
            <w:tcW w:w="725" w:type="dxa"/>
            <w:tcBorders>
              <w:top w:val="nil"/>
              <w:left w:val="nil"/>
              <w:bottom w:val="single" w:color="auto" w:sz="4" w:space="0"/>
              <w:right w:val="single" w:color="auto" w:sz="4" w:space="0"/>
            </w:tcBorders>
            <w:noWrap/>
            <w:vAlign w:val="center"/>
          </w:tcPr>
          <w:p w14:paraId="5628749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0E86AEF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CB04F0A">
        <w:tblPrEx>
          <w:tblCellMar>
            <w:top w:w="0" w:type="dxa"/>
            <w:left w:w="108" w:type="dxa"/>
            <w:bottom w:w="0" w:type="dxa"/>
            <w:right w:w="108" w:type="dxa"/>
          </w:tblCellMar>
        </w:tblPrEx>
        <w:trPr>
          <w:trHeight w:val="765" w:hRule="atLeast"/>
        </w:trPr>
        <w:tc>
          <w:tcPr>
            <w:tcW w:w="704" w:type="dxa"/>
            <w:tcBorders>
              <w:top w:val="nil"/>
              <w:left w:val="single" w:color="auto" w:sz="4" w:space="0"/>
              <w:bottom w:val="single" w:color="auto" w:sz="4" w:space="0"/>
              <w:right w:val="single" w:color="auto" w:sz="4" w:space="0"/>
            </w:tcBorders>
            <w:noWrap/>
            <w:vAlign w:val="center"/>
          </w:tcPr>
          <w:p w14:paraId="0F317FBE">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1120" w:type="dxa"/>
            <w:vMerge w:val="continue"/>
            <w:tcBorders>
              <w:top w:val="nil"/>
              <w:left w:val="single" w:color="auto" w:sz="4" w:space="0"/>
              <w:bottom w:val="single" w:color="auto" w:sz="4" w:space="0"/>
              <w:right w:val="single" w:color="auto" w:sz="4" w:space="0"/>
            </w:tcBorders>
            <w:noWrap w:val="0"/>
            <w:vAlign w:val="center"/>
          </w:tcPr>
          <w:p w14:paraId="640427B8">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42E86969">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领导驾驶舱系统</w:t>
            </w:r>
          </w:p>
        </w:tc>
        <w:tc>
          <w:tcPr>
            <w:tcW w:w="3739" w:type="dxa"/>
            <w:tcBorders>
              <w:top w:val="nil"/>
              <w:left w:val="nil"/>
              <w:bottom w:val="single" w:color="auto" w:sz="4" w:space="0"/>
              <w:right w:val="single" w:color="auto" w:sz="4" w:space="0"/>
            </w:tcBorders>
            <w:noWrap w:val="0"/>
            <w:vAlign w:val="center"/>
          </w:tcPr>
          <w:p w14:paraId="71EAC76D">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首页、供销概览、财务管理、资产管理、现代流通、为农服务、安全生产、直播管理、应急保供</w:t>
            </w:r>
          </w:p>
        </w:tc>
        <w:tc>
          <w:tcPr>
            <w:tcW w:w="725" w:type="dxa"/>
            <w:tcBorders>
              <w:top w:val="nil"/>
              <w:left w:val="nil"/>
              <w:bottom w:val="single" w:color="auto" w:sz="4" w:space="0"/>
              <w:right w:val="single" w:color="auto" w:sz="4" w:space="0"/>
            </w:tcBorders>
            <w:noWrap/>
            <w:vAlign w:val="center"/>
          </w:tcPr>
          <w:p w14:paraId="53B765EE">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20C9760A">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2089D79">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noWrap/>
            <w:vAlign w:val="center"/>
          </w:tcPr>
          <w:p w14:paraId="5629643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1120" w:type="dxa"/>
            <w:vMerge w:val="restart"/>
            <w:tcBorders>
              <w:top w:val="nil"/>
              <w:left w:val="single" w:color="auto" w:sz="4" w:space="0"/>
              <w:bottom w:val="single" w:color="auto" w:sz="4" w:space="0"/>
              <w:right w:val="single" w:color="auto" w:sz="4" w:space="0"/>
            </w:tcBorders>
            <w:noWrap/>
            <w:vAlign w:val="center"/>
          </w:tcPr>
          <w:p w14:paraId="2A014C6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tc>
        <w:tc>
          <w:tcPr>
            <w:tcW w:w="1520" w:type="dxa"/>
            <w:tcBorders>
              <w:top w:val="nil"/>
              <w:left w:val="nil"/>
              <w:bottom w:val="single" w:color="auto" w:sz="4" w:space="0"/>
              <w:right w:val="single" w:color="auto" w:sz="4" w:space="0"/>
            </w:tcBorders>
            <w:noWrap/>
            <w:vAlign w:val="center"/>
          </w:tcPr>
          <w:p w14:paraId="7378C1E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业务支撑平台</w:t>
            </w:r>
          </w:p>
        </w:tc>
        <w:tc>
          <w:tcPr>
            <w:tcW w:w="3739" w:type="dxa"/>
            <w:tcBorders>
              <w:top w:val="nil"/>
              <w:left w:val="nil"/>
              <w:bottom w:val="single" w:color="auto" w:sz="4" w:space="0"/>
              <w:right w:val="single" w:color="auto" w:sz="4" w:space="0"/>
            </w:tcBorders>
            <w:noWrap w:val="0"/>
            <w:vAlign w:val="center"/>
          </w:tcPr>
          <w:p w14:paraId="0CC4BF5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统一身份认证服务</w:t>
            </w:r>
          </w:p>
        </w:tc>
        <w:tc>
          <w:tcPr>
            <w:tcW w:w="725" w:type="dxa"/>
            <w:tcBorders>
              <w:top w:val="nil"/>
              <w:left w:val="nil"/>
              <w:bottom w:val="single" w:color="auto" w:sz="4" w:space="0"/>
              <w:right w:val="single" w:color="auto" w:sz="4" w:space="0"/>
            </w:tcBorders>
            <w:noWrap/>
            <w:vAlign w:val="bottom"/>
          </w:tcPr>
          <w:p w14:paraId="405F13F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bottom"/>
          </w:tcPr>
          <w:p w14:paraId="25B8490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6CFC1CF">
        <w:tblPrEx>
          <w:tblCellMar>
            <w:top w:w="0" w:type="dxa"/>
            <w:left w:w="108" w:type="dxa"/>
            <w:bottom w:w="0" w:type="dxa"/>
            <w:right w:w="108" w:type="dxa"/>
          </w:tblCellMar>
        </w:tblPrEx>
        <w:trPr>
          <w:trHeight w:val="1530" w:hRule="atLeast"/>
        </w:trPr>
        <w:tc>
          <w:tcPr>
            <w:tcW w:w="704" w:type="dxa"/>
            <w:tcBorders>
              <w:top w:val="nil"/>
              <w:left w:val="single" w:color="auto" w:sz="4" w:space="0"/>
              <w:bottom w:val="single" w:color="auto" w:sz="4" w:space="0"/>
              <w:right w:val="single" w:color="auto" w:sz="4" w:space="0"/>
            </w:tcBorders>
            <w:noWrap/>
            <w:vAlign w:val="center"/>
          </w:tcPr>
          <w:p w14:paraId="07F1EAE4">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1120" w:type="dxa"/>
            <w:vMerge w:val="continue"/>
            <w:tcBorders>
              <w:top w:val="nil"/>
              <w:left w:val="single" w:color="auto" w:sz="4" w:space="0"/>
              <w:bottom w:val="single" w:color="auto" w:sz="4" w:space="0"/>
              <w:right w:val="single" w:color="auto" w:sz="4" w:space="0"/>
            </w:tcBorders>
            <w:noWrap w:val="0"/>
            <w:vAlign w:val="center"/>
          </w:tcPr>
          <w:p w14:paraId="07EFBE9E">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64021B5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标准规范体系</w:t>
            </w:r>
          </w:p>
        </w:tc>
        <w:tc>
          <w:tcPr>
            <w:tcW w:w="3739" w:type="dxa"/>
            <w:tcBorders>
              <w:top w:val="nil"/>
              <w:left w:val="nil"/>
              <w:bottom w:val="single" w:color="auto" w:sz="4" w:space="0"/>
              <w:right w:val="single" w:color="auto" w:sz="4" w:space="0"/>
            </w:tcBorders>
            <w:noWrap w:val="0"/>
            <w:vAlign w:val="center"/>
          </w:tcPr>
          <w:p w14:paraId="6E94276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供销社数据传输与交换共享规范、供销社数据治理规范、供销社数据服务接口规范、供销社信息分类规范、供销社数据生产规范、供销社信息编码规范、农业物联网通信协议及数据接入规范</w:t>
            </w:r>
          </w:p>
        </w:tc>
        <w:tc>
          <w:tcPr>
            <w:tcW w:w="725" w:type="dxa"/>
            <w:tcBorders>
              <w:top w:val="nil"/>
              <w:left w:val="nil"/>
              <w:bottom w:val="single" w:color="auto" w:sz="4" w:space="0"/>
              <w:right w:val="single" w:color="auto" w:sz="4" w:space="0"/>
            </w:tcBorders>
            <w:noWrap/>
            <w:vAlign w:val="center"/>
          </w:tcPr>
          <w:p w14:paraId="51E5DF5F">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726" w:type="dxa"/>
            <w:tcBorders>
              <w:top w:val="nil"/>
              <w:left w:val="nil"/>
              <w:bottom w:val="single" w:color="auto" w:sz="4" w:space="0"/>
              <w:right w:val="single" w:color="auto" w:sz="4" w:space="0"/>
            </w:tcBorders>
            <w:noWrap/>
            <w:vAlign w:val="center"/>
          </w:tcPr>
          <w:p w14:paraId="431440C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324B078">
        <w:tblPrEx>
          <w:tblCellMar>
            <w:top w:w="0" w:type="dxa"/>
            <w:left w:w="108" w:type="dxa"/>
            <w:bottom w:w="0" w:type="dxa"/>
            <w:right w:w="108" w:type="dxa"/>
          </w:tblCellMar>
        </w:tblPrEx>
        <w:trPr>
          <w:trHeight w:val="1755" w:hRule="atLeast"/>
        </w:trPr>
        <w:tc>
          <w:tcPr>
            <w:tcW w:w="704" w:type="dxa"/>
            <w:tcBorders>
              <w:top w:val="nil"/>
              <w:left w:val="single" w:color="auto" w:sz="4" w:space="0"/>
              <w:bottom w:val="single" w:color="auto" w:sz="4" w:space="0"/>
              <w:right w:val="single" w:color="auto" w:sz="4" w:space="0"/>
            </w:tcBorders>
            <w:noWrap/>
            <w:vAlign w:val="center"/>
          </w:tcPr>
          <w:p w14:paraId="30DCE67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1120" w:type="dxa"/>
            <w:vMerge w:val="continue"/>
            <w:tcBorders>
              <w:top w:val="nil"/>
              <w:left w:val="single" w:color="auto" w:sz="4" w:space="0"/>
              <w:bottom w:val="single" w:color="auto" w:sz="4" w:space="0"/>
              <w:right w:val="single" w:color="auto" w:sz="4" w:space="0"/>
            </w:tcBorders>
            <w:noWrap w:val="0"/>
            <w:vAlign w:val="center"/>
          </w:tcPr>
          <w:p w14:paraId="1C93780F">
            <w:pPr>
              <w:widowControl/>
              <w:spacing w:line="360" w:lineRule="auto"/>
              <w:rPr>
                <w:rFonts w:hint="eastAsia" w:ascii="仿宋" w:hAnsi="仿宋" w:eastAsia="仿宋" w:cs="仿宋"/>
                <w:color w:val="000000"/>
                <w:sz w:val="24"/>
                <w:szCs w:val="24"/>
              </w:rPr>
            </w:pPr>
          </w:p>
        </w:tc>
        <w:tc>
          <w:tcPr>
            <w:tcW w:w="1520" w:type="dxa"/>
            <w:tcBorders>
              <w:top w:val="nil"/>
              <w:left w:val="nil"/>
              <w:bottom w:val="single" w:color="auto" w:sz="4" w:space="0"/>
              <w:right w:val="single" w:color="auto" w:sz="4" w:space="0"/>
            </w:tcBorders>
            <w:noWrap/>
            <w:vAlign w:val="center"/>
          </w:tcPr>
          <w:p w14:paraId="17B86AD4">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平台显示终端</w:t>
            </w:r>
          </w:p>
        </w:tc>
        <w:tc>
          <w:tcPr>
            <w:tcW w:w="3739" w:type="dxa"/>
            <w:tcBorders>
              <w:top w:val="nil"/>
              <w:left w:val="nil"/>
              <w:bottom w:val="single" w:color="auto" w:sz="4" w:space="0"/>
              <w:right w:val="single" w:color="auto" w:sz="4" w:space="0"/>
            </w:tcBorders>
            <w:noWrap w:val="0"/>
            <w:vAlign w:val="center"/>
          </w:tcPr>
          <w:p w14:paraId="04F6FAFE">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触摸大屏一体机</w:t>
            </w:r>
          </w:p>
          <w:p w14:paraId="2C433EB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尺寸：（86英寸）；操作系统：win 系统；分辨率：4K；屏幕比例：16:9；显示类型：LED显示；存储内存：不小于128GB SSD；运行内存/RAM：不小于8GB；WIFI频段：2.4G&amp;5G；触摸屏带移动支架。</w:t>
            </w:r>
          </w:p>
        </w:tc>
        <w:tc>
          <w:tcPr>
            <w:tcW w:w="725" w:type="dxa"/>
            <w:tcBorders>
              <w:top w:val="nil"/>
              <w:left w:val="nil"/>
              <w:bottom w:val="single" w:color="auto" w:sz="4" w:space="0"/>
              <w:right w:val="single" w:color="auto" w:sz="4" w:space="0"/>
            </w:tcBorders>
            <w:noWrap/>
            <w:vAlign w:val="center"/>
          </w:tcPr>
          <w:p w14:paraId="1E50A85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726" w:type="dxa"/>
            <w:tcBorders>
              <w:top w:val="nil"/>
              <w:left w:val="nil"/>
              <w:bottom w:val="single" w:color="auto" w:sz="4" w:space="0"/>
              <w:right w:val="single" w:color="auto" w:sz="4" w:space="0"/>
            </w:tcBorders>
            <w:noWrap/>
            <w:vAlign w:val="center"/>
          </w:tcPr>
          <w:p w14:paraId="6A156A53">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22F1F98">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noWrap/>
            <w:vAlign w:val="center"/>
          </w:tcPr>
          <w:p w14:paraId="268D9AF0">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2640" w:type="dxa"/>
            <w:gridSpan w:val="2"/>
            <w:tcBorders>
              <w:top w:val="single" w:color="auto" w:sz="4" w:space="0"/>
              <w:left w:val="nil"/>
              <w:bottom w:val="single" w:color="auto" w:sz="4" w:space="0"/>
              <w:right w:val="single" w:color="auto" w:sz="4" w:space="0"/>
            </w:tcBorders>
            <w:noWrap/>
            <w:vAlign w:val="center"/>
          </w:tcPr>
          <w:p w14:paraId="026263C0">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系统集成</w:t>
            </w:r>
          </w:p>
        </w:tc>
        <w:tc>
          <w:tcPr>
            <w:tcW w:w="3739" w:type="dxa"/>
            <w:tcBorders>
              <w:top w:val="nil"/>
              <w:left w:val="nil"/>
              <w:bottom w:val="single" w:color="auto" w:sz="4" w:space="0"/>
              <w:right w:val="single" w:color="auto" w:sz="4" w:space="0"/>
            </w:tcBorders>
            <w:noWrap/>
            <w:vAlign w:val="center"/>
          </w:tcPr>
          <w:p w14:paraId="53136AFD">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项目管理、实施</w:t>
            </w:r>
          </w:p>
        </w:tc>
        <w:tc>
          <w:tcPr>
            <w:tcW w:w="725" w:type="dxa"/>
            <w:tcBorders>
              <w:top w:val="nil"/>
              <w:left w:val="nil"/>
              <w:bottom w:val="single" w:color="auto" w:sz="4" w:space="0"/>
              <w:right w:val="single" w:color="auto" w:sz="4" w:space="0"/>
            </w:tcBorders>
            <w:noWrap/>
            <w:vAlign w:val="center"/>
          </w:tcPr>
          <w:p w14:paraId="76F583A6">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726" w:type="dxa"/>
            <w:tcBorders>
              <w:top w:val="nil"/>
              <w:left w:val="nil"/>
              <w:bottom w:val="single" w:color="auto" w:sz="4" w:space="0"/>
              <w:right w:val="single" w:color="auto" w:sz="4" w:space="0"/>
            </w:tcBorders>
            <w:noWrap/>
            <w:vAlign w:val="center"/>
          </w:tcPr>
          <w:p w14:paraId="5B73FEE3">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BB4D0B8">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noWrap/>
            <w:vAlign w:val="center"/>
          </w:tcPr>
          <w:p w14:paraId="5A0A2B0B">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2640" w:type="dxa"/>
            <w:gridSpan w:val="2"/>
            <w:tcBorders>
              <w:top w:val="single" w:color="auto" w:sz="4" w:space="0"/>
              <w:left w:val="nil"/>
              <w:bottom w:val="single" w:color="auto" w:sz="4" w:space="0"/>
              <w:right w:val="single" w:color="000000" w:sz="4" w:space="0"/>
            </w:tcBorders>
            <w:noWrap/>
            <w:vAlign w:val="center"/>
          </w:tcPr>
          <w:p w14:paraId="0413497C">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系统培训</w:t>
            </w:r>
          </w:p>
        </w:tc>
        <w:tc>
          <w:tcPr>
            <w:tcW w:w="3739" w:type="dxa"/>
            <w:tcBorders>
              <w:top w:val="nil"/>
              <w:left w:val="nil"/>
              <w:bottom w:val="single" w:color="auto" w:sz="4" w:space="0"/>
              <w:right w:val="single" w:color="auto" w:sz="4" w:space="0"/>
            </w:tcBorders>
            <w:noWrap/>
            <w:vAlign w:val="center"/>
          </w:tcPr>
          <w:p w14:paraId="78C3A2D3">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系统培训</w:t>
            </w:r>
          </w:p>
        </w:tc>
        <w:tc>
          <w:tcPr>
            <w:tcW w:w="725" w:type="dxa"/>
            <w:tcBorders>
              <w:top w:val="nil"/>
              <w:left w:val="nil"/>
              <w:bottom w:val="single" w:color="auto" w:sz="4" w:space="0"/>
              <w:right w:val="single" w:color="auto" w:sz="4" w:space="0"/>
            </w:tcBorders>
            <w:noWrap/>
            <w:vAlign w:val="center"/>
          </w:tcPr>
          <w:p w14:paraId="38B3B28F">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726" w:type="dxa"/>
            <w:tcBorders>
              <w:top w:val="nil"/>
              <w:left w:val="nil"/>
              <w:bottom w:val="single" w:color="auto" w:sz="4" w:space="0"/>
              <w:right w:val="single" w:color="auto" w:sz="4" w:space="0"/>
            </w:tcBorders>
            <w:noWrap/>
            <w:vAlign w:val="center"/>
          </w:tcPr>
          <w:p w14:paraId="5BF32DFA">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3946D71">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noWrap/>
            <w:vAlign w:val="center"/>
          </w:tcPr>
          <w:p w14:paraId="0E7A7AD9">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2640" w:type="dxa"/>
            <w:gridSpan w:val="2"/>
            <w:tcBorders>
              <w:top w:val="single" w:color="auto" w:sz="4" w:space="0"/>
              <w:left w:val="nil"/>
              <w:bottom w:val="single" w:color="auto" w:sz="4" w:space="0"/>
              <w:right w:val="single" w:color="000000" w:sz="4" w:space="0"/>
            </w:tcBorders>
            <w:noWrap/>
            <w:vAlign w:val="center"/>
          </w:tcPr>
          <w:p w14:paraId="3AE68DB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第三方软件测评费</w:t>
            </w:r>
          </w:p>
        </w:tc>
        <w:tc>
          <w:tcPr>
            <w:tcW w:w="3739" w:type="dxa"/>
            <w:tcBorders>
              <w:top w:val="nil"/>
              <w:left w:val="nil"/>
              <w:bottom w:val="single" w:color="auto" w:sz="4" w:space="0"/>
              <w:right w:val="single" w:color="auto" w:sz="4" w:space="0"/>
            </w:tcBorders>
            <w:noWrap/>
            <w:vAlign w:val="center"/>
          </w:tcPr>
          <w:p w14:paraId="3A8DABB9">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功能和性能测评</w:t>
            </w:r>
          </w:p>
        </w:tc>
        <w:tc>
          <w:tcPr>
            <w:tcW w:w="725" w:type="dxa"/>
            <w:tcBorders>
              <w:top w:val="nil"/>
              <w:left w:val="nil"/>
              <w:bottom w:val="single" w:color="auto" w:sz="4" w:space="0"/>
              <w:right w:val="single" w:color="auto" w:sz="4" w:space="0"/>
            </w:tcBorders>
            <w:noWrap/>
            <w:vAlign w:val="center"/>
          </w:tcPr>
          <w:p w14:paraId="03D910F7">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726" w:type="dxa"/>
            <w:tcBorders>
              <w:top w:val="nil"/>
              <w:left w:val="nil"/>
              <w:bottom w:val="single" w:color="auto" w:sz="4" w:space="0"/>
              <w:right w:val="single" w:color="auto" w:sz="4" w:space="0"/>
            </w:tcBorders>
            <w:noWrap/>
            <w:vAlign w:val="center"/>
          </w:tcPr>
          <w:p w14:paraId="7483858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F98B680">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noWrap/>
            <w:vAlign w:val="center"/>
          </w:tcPr>
          <w:p w14:paraId="3E8A3C91">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2640" w:type="dxa"/>
            <w:gridSpan w:val="2"/>
            <w:tcBorders>
              <w:top w:val="single" w:color="auto" w:sz="4" w:space="0"/>
              <w:left w:val="nil"/>
              <w:bottom w:val="single" w:color="auto" w:sz="4" w:space="0"/>
              <w:right w:val="single" w:color="000000" w:sz="4" w:space="0"/>
            </w:tcBorders>
            <w:noWrap/>
            <w:vAlign w:val="center"/>
          </w:tcPr>
          <w:p w14:paraId="534A436D">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安全风险评估费</w:t>
            </w:r>
          </w:p>
        </w:tc>
        <w:tc>
          <w:tcPr>
            <w:tcW w:w="3739" w:type="dxa"/>
            <w:tcBorders>
              <w:top w:val="nil"/>
              <w:left w:val="nil"/>
              <w:bottom w:val="single" w:color="auto" w:sz="4" w:space="0"/>
              <w:right w:val="single" w:color="auto" w:sz="4" w:space="0"/>
            </w:tcBorders>
            <w:noWrap/>
            <w:vAlign w:val="center"/>
          </w:tcPr>
          <w:p w14:paraId="26693E1E">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等保三级测评</w:t>
            </w:r>
          </w:p>
        </w:tc>
        <w:tc>
          <w:tcPr>
            <w:tcW w:w="725" w:type="dxa"/>
            <w:tcBorders>
              <w:top w:val="nil"/>
              <w:left w:val="nil"/>
              <w:bottom w:val="single" w:color="auto" w:sz="4" w:space="0"/>
              <w:right w:val="single" w:color="auto" w:sz="4" w:space="0"/>
            </w:tcBorders>
            <w:noWrap/>
            <w:vAlign w:val="center"/>
          </w:tcPr>
          <w:p w14:paraId="77687E9F">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726" w:type="dxa"/>
            <w:tcBorders>
              <w:top w:val="nil"/>
              <w:left w:val="nil"/>
              <w:bottom w:val="single" w:color="auto" w:sz="4" w:space="0"/>
              <w:right w:val="single" w:color="auto" w:sz="4" w:space="0"/>
            </w:tcBorders>
            <w:noWrap/>
            <w:vAlign w:val="center"/>
          </w:tcPr>
          <w:p w14:paraId="5003BC08">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E5C84A2">
        <w:tblPrEx>
          <w:tblCellMar>
            <w:top w:w="0" w:type="dxa"/>
            <w:left w:w="108" w:type="dxa"/>
            <w:bottom w:w="0" w:type="dxa"/>
            <w:right w:w="108" w:type="dxa"/>
          </w:tblCellMar>
        </w:tblPrEx>
        <w:trPr>
          <w:trHeight w:val="285"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16F5CC1A">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2640" w:type="dxa"/>
            <w:gridSpan w:val="2"/>
            <w:tcBorders>
              <w:top w:val="single" w:color="auto" w:sz="4" w:space="0"/>
              <w:left w:val="single" w:color="auto" w:sz="4" w:space="0"/>
              <w:bottom w:val="single" w:color="auto" w:sz="4" w:space="0"/>
              <w:right w:val="single" w:color="auto" w:sz="4" w:space="0"/>
            </w:tcBorders>
            <w:noWrap/>
            <w:vAlign w:val="center"/>
          </w:tcPr>
          <w:p w14:paraId="0FA764A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密码应用安全性评估费</w:t>
            </w:r>
          </w:p>
        </w:tc>
        <w:tc>
          <w:tcPr>
            <w:tcW w:w="3739" w:type="dxa"/>
            <w:tcBorders>
              <w:top w:val="single" w:color="auto" w:sz="4" w:space="0"/>
              <w:left w:val="single" w:color="auto" w:sz="4" w:space="0"/>
              <w:bottom w:val="single" w:color="auto" w:sz="4" w:space="0"/>
              <w:right w:val="single" w:color="auto" w:sz="4" w:space="0"/>
            </w:tcBorders>
            <w:noWrap/>
            <w:vAlign w:val="center"/>
          </w:tcPr>
          <w:p w14:paraId="3D0DB5CD">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密码应用安全性评</w:t>
            </w:r>
          </w:p>
        </w:tc>
        <w:tc>
          <w:tcPr>
            <w:tcW w:w="725" w:type="dxa"/>
            <w:tcBorders>
              <w:top w:val="single" w:color="auto" w:sz="4" w:space="0"/>
              <w:left w:val="single" w:color="auto" w:sz="4" w:space="0"/>
              <w:bottom w:val="single" w:color="auto" w:sz="4" w:space="0"/>
              <w:right w:val="single" w:color="auto" w:sz="4" w:space="0"/>
            </w:tcBorders>
            <w:noWrap/>
            <w:vAlign w:val="center"/>
          </w:tcPr>
          <w:p w14:paraId="298C3565">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726" w:type="dxa"/>
            <w:tcBorders>
              <w:top w:val="single" w:color="auto" w:sz="4" w:space="0"/>
              <w:left w:val="single" w:color="auto" w:sz="4" w:space="0"/>
              <w:bottom w:val="single" w:color="auto" w:sz="4" w:space="0"/>
              <w:right w:val="single" w:color="auto" w:sz="4" w:space="0"/>
            </w:tcBorders>
            <w:noWrap/>
            <w:vAlign w:val="center"/>
          </w:tcPr>
          <w:p w14:paraId="3F799C9F">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bl>
    <w:p w14:paraId="654317BB">
      <w:pPr>
        <w:pStyle w:val="3"/>
        <w:spacing w:line="360" w:lineRule="auto"/>
        <w:rPr>
          <w:rFonts w:hint="eastAsia" w:ascii="仿宋" w:hAnsi="仿宋" w:eastAsia="仿宋" w:cs="仿宋"/>
          <w:sz w:val="24"/>
          <w:szCs w:val="24"/>
        </w:rPr>
      </w:pPr>
      <w:r>
        <w:rPr>
          <w:rFonts w:hint="eastAsia" w:ascii="仿宋" w:hAnsi="仿宋" w:eastAsia="仿宋" w:cs="仿宋"/>
          <w:sz w:val="24"/>
          <w:szCs w:val="24"/>
        </w:rPr>
        <w:t>三、项目实施要求</w:t>
      </w:r>
    </w:p>
    <w:p w14:paraId="5D5592B3">
      <w:pPr>
        <w:numPr>
          <w:ilvl w:val="0"/>
          <w:numId w:val="41"/>
        </w:numPr>
        <w:spacing w:line="360" w:lineRule="auto"/>
        <w:rPr>
          <w:rFonts w:hint="eastAsia" w:ascii="仿宋" w:hAnsi="仿宋" w:eastAsia="仿宋" w:cs="仿宋"/>
          <w:sz w:val="24"/>
          <w:szCs w:val="24"/>
        </w:rPr>
      </w:pPr>
      <w:r>
        <w:rPr>
          <w:rFonts w:hint="eastAsia" w:ascii="仿宋" w:hAnsi="仿宋" w:eastAsia="仿宋" w:cs="仿宋"/>
          <w:b/>
          <w:bCs/>
          <w:sz w:val="24"/>
          <w:szCs w:val="24"/>
        </w:rPr>
        <w:t>项目工期</w:t>
      </w:r>
      <w:r>
        <w:rPr>
          <w:rFonts w:hint="eastAsia" w:ascii="仿宋" w:hAnsi="仿宋" w:eastAsia="仿宋" w:cs="仿宋"/>
          <w:sz w:val="24"/>
          <w:szCs w:val="24"/>
        </w:rPr>
        <w:t>：</w:t>
      </w:r>
      <w:r>
        <w:rPr>
          <w:rFonts w:hint="eastAsia" w:ascii="仿宋" w:hAnsi="仿宋" w:eastAsia="仿宋" w:cs="仿宋"/>
          <w:sz w:val="24"/>
          <w:szCs w:val="24"/>
          <w:lang w:bidi="ar"/>
        </w:rPr>
        <w:t>自合同签订之日起3个月完成建设</w:t>
      </w:r>
      <w:r>
        <w:rPr>
          <w:rFonts w:hint="eastAsia" w:ascii="仿宋" w:hAnsi="仿宋" w:eastAsia="仿宋" w:cs="仿宋"/>
          <w:sz w:val="24"/>
          <w:szCs w:val="24"/>
          <w:lang w:eastAsia="zh-CN" w:bidi="ar"/>
        </w:rPr>
        <w:t>，</w:t>
      </w:r>
      <w:r>
        <w:rPr>
          <w:rFonts w:hint="eastAsia" w:ascii="仿宋" w:hAnsi="仿宋" w:eastAsia="仿宋" w:cs="仿宋"/>
          <w:sz w:val="24"/>
          <w:szCs w:val="24"/>
          <w:lang w:bidi="ar"/>
        </w:rPr>
        <w:t>试运行</w:t>
      </w:r>
      <w:r>
        <w:rPr>
          <w:rFonts w:hint="eastAsia" w:ascii="仿宋" w:hAnsi="仿宋" w:eastAsia="仿宋" w:cs="仿宋"/>
          <w:sz w:val="24"/>
          <w:szCs w:val="24"/>
          <w:lang w:val="en-US" w:eastAsia="zh-CN" w:bidi="ar"/>
        </w:rPr>
        <w:t>期3</w:t>
      </w:r>
      <w:r>
        <w:rPr>
          <w:rFonts w:hint="eastAsia" w:ascii="仿宋" w:hAnsi="仿宋" w:eastAsia="仿宋" w:cs="仿宋"/>
          <w:sz w:val="24"/>
          <w:szCs w:val="24"/>
          <w:lang w:bidi="ar"/>
        </w:rPr>
        <w:t>个月。</w:t>
      </w:r>
    </w:p>
    <w:p w14:paraId="0E62B845">
      <w:pPr>
        <w:numPr>
          <w:ilvl w:val="0"/>
          <w:numId w:val="41"/>
        </w:numPr>
        <w:spacing w:line="360" w:lineRule="auto"/>
        <w:rPr>
          <w:rFonts w:hint="eastAsia" w:ascii="仿宋" w:hAnsi="仿宋" w:eastAsia="仿宋" w:cs="仿宋"/>
          <w:sz w:val="24"/>
          <w:szCs w:val="24"/>
        </w:rPr>
      </w:pPr>
      <w:r>
        <w:rPr>
          <w:rFonts w:hint="eastAsia" w:ascii="仿宋" w:hAnsi="仿宋" w:eastAsia="仿宋" w:cs="仿宋"/>
          <w:b/>
          <w:bCs/>
          <w:sz w:val="24"/>
          <w:szCs w:val="24"/>
        </w:rPr>
        <w:t>实施地点</w:t>
      </w:r>
      <w:r>
        <w:rPr>
          <w:rFonts w:hint="eastAsia" w:ascii="仿宋" w:hAnsi="仿宋" w:eastAsia="仿宋" w:cs="仿宋"/>
          <w:sz w:val="24"/>
          <w:szCs w:val="24"/>
        </w:rPr>
        <w:t>: 采购方指定地点。</w:t>
      </w:r>
    </w:p>
    <w:p w14:paraId="11F55CA5">
      <w:pPr>
        <w:numPr>
          <w:ilvl w:val="0"/>
          <w:numId w:val="41"/>
        </w:numPr>
        <w:spacing w:line="360" w:lineRule="auto"/>
        <w:rPr>
          <w:rFonts w:hint="eastAsia" w:ascii="仿宋" w:hAnsi="仿宋" w:eastAsia="仿宋" w:cs="仿宋"/>
          <w:sz w:val="24"/>
          <w:szCs w:val="24"/>
        </w:rPr>
      </w:pPr>
      <w:r>
        <w:rPr>
          <w:rFonts w:hint="eastAsia" w:ascii="仿宋" w:hAnsi="仿宋" w:eastAsia="仿宋" w:cs="仿宋"/>
          <w:b/>
          <w:bCs/>
          <w:sz w:val="24"/>
          <w:szCs w:val="24"/>
        </w:rPr>
        <w:t>质保期</w:t>
      </w:r>
      <w:r>
        <w:rPr>
          <w:rFonts w:hint="eastAsia" w:ascii="仿宋" w:hAnsi="仿宋" w:eastAsia="仿宋" w:cs="仿宋"/>
          <w:sz w:val="24"/>
          <w:szCs w:val="24"/>
        </w:rPr>
        <w:t>：项目正式验收交付使用后，次日起计算为期一年。</w:t>
      </w:r>
    </w:p>
    <w:p w14:paraId="5103B9F3">
      <w:pPr>
        <w:numPr>
          <w:ilvl w:val="0"/>
          <w:numId w:val="41"/>
        </w:numPr>
        <w:spacing w:line="360" w:lineRule="auto"/>
        <w:rPr>
          <w:rFonts w:hint="eastAsia" w:ascii="仿宋" w:hAnsi="仿宋" w:eastAsia="仿宋" w:cs="仿宋"/>
          <w:sz w:val="24"/>
          <w:szCs w:val="24"/>
        </w:rPr>
      </w:pPr>
      <w:r>
        <w:rPr>
          <w:rFonts w:hint="eastAsia" w:ascii="仿宋" w:hAnsi="仿宋" w:eastAsia="仿宋" w:cs="仿宋"/>
          <w:sz w:val="24"/>
          <w:szCs w:val="24"/>
        </w:rPr>
        <w:t>项目实施</w:t>
      </w:r>
    </w:p>
    <w:p w14:paraId="1FBF190D">
      <w:pPr>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投标人在项目实施过程中，需对项目进行规范化管理，制定项目管理组织方案、项目管理计划、人员工作计划、项目进度计划、项目验收计划等，确保项目实施质量。</w:t>
      </w:r>
    </w:p>
    <w:p w14:paraId="015C193E">
      <w:pPr>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（1）投标人应成立相应的项目组，并指定一名专职的项目经理，负责项目协调和管理工作。</w:t>
      </w:r>
    </w:p>
    <w:p w14:paraId="3AF005E3">
      <w:pPr>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（2）投标人成立包括一名技术负责人在内的技术支持小组，负责对参与项目实施的各方技术人员进行产品、技术、服务支撑，提供项目整体实施技术方案，对项目实施过程中出现的疑难问题提供技术支持。</w:t>
      </w:r>
    </w:p>
    <w:p w14:paraId="53DF0375">
      <w:pPr>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项目组的项目经理及项目组核心人员不得随意更换。若需更换应征得业主方同意并更换同等或更高资历的人员，如在业主方不同意的情况下更换项目经理及项目组人员，业主方有权解除合同，并由投标人赔偿业主方因此带来的一切损失。</w:t>
      </w:r>
    </w:p>
    <w:p w14:paraId="69FB1DED">
      <w:pPr>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（4）针对不同模块子系统及供销联社的应用规模，投标人应指定专人专项负责，合理进行人员配备与分工，梳理业务需求，高效做好工作任务分解。</w:t>
      </w:r>
    </w:p>
    <w:p w14:paraId="434EA183">
      <w:pPr>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应提供全面的组织管理方案和保证措施，以保证项目的顺利实施。同时，应安排有丰富实施经验的人员参加项目的实施，项目组应按实施内容、对应实施组织、项目角色等做好项目分工协作，项目组至少包含：项目领导小组、项目实施小组，项目成员应至少包含但不限于以下角色：技术总监、项目经理、项目小组组长、软件工程师、部署工程师等。</w:t>
      </w:r>
    </w:p>
    <w:p w14:paraId="53AC4707">
      <w:pPr>
        <w:adjustRightInd w:val="0"/>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highlight w:val="none"/>
        </w:rPr>
        <w:t>（6）项目进度：投标人应充分评估本次招标项目的特点，合理制定项目计划及充分的资源保障，根据工期目标，提交项目进度计划及对应的资源投入保障计划。</w:t>
      </w:r>
    </w:p>
    <w:p w14:paraId="1CE6BC7C">
      <w:pPr>
        <w:numPr>
          <w:ilvl w:val="0"/>
          <w:numId w:val="41"/>
        </w:numPr>
        <w:spacing w:line="360" w:lineRule="auto"/>
        <w:rPr>
          <w:rFonts w:hint="eastAsia" w:ascii="仿宋" w:hAnsi="仿宋" w:eastAsia="仿宋" w:cs="仿宋"/>
          <w:sz w:val="24"/>
          <w:szCs w:val="24"/>
        </w:rPr>
      </w:pPr>
      <w:r>
        <w:rPr>
          <w:rFonts w:hint="eastAsia" w:ascii="仿宋" w:hAnsi="仿宋" w:eastAsia="仿宋" w:cs="仿宋"/>
          <w:sz w:val="24"/>
          <w:szCs w:val="24"/>
        </w:rPr>
        <w:t>技术培训</w:t>
      </w:r>
    </w:p>
    <w:p w14:paraId="46B536D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（1）投标方需对系统使用人员、维护人员、管理人员进行培训，使其掌握系统的日常应用操作、维护和管理的相关技能。</w:t>
      </w:r>
    </w:p>
    <w:p w14:paraId="11FB9B4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（2）投标方需提供足够的标准培训课程，课程内容应满足项目实施需要。培训地点由双方在项目实施中共同制定。</w:t>
      </w:r>
    </w:p>
    <w:p w14:paraId="1323F01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（3）投标方应提供中文培训教材及必要的培训设备，保证培训质量。</w:t>
      </w:r>
    </w:p>
    <w:p w14:paraId="5CCF088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（4）投标方须列出详细的培训计划（包括培训方式、时间、课程内容、人数、地点等）相关条款进行阐述，并提供培训资料。</w:t>
      </w:r>
    </w:p>
    <w:p w14:paraId="5BFA6A94">
      <w:pPr>
        <w:numPr>
          <w:ilvl w:val="0"/>
          <w:numId w:val="41"/>
        </w:numPr>
        <w:spacing w:line="360" w:lineRule="auto"/>
        <w:rPr>
          <w:rFonts w:hint="eastAsia" w:ascii="仿宋" w:hAnsi="仿宋" w:eastAsia="仿宋" w:cs="仿宋"/>
          <w:sz w:val="24"/>
          <w:szCs w:val="24"/>
        </w:rPr>
      </w:pPr>
      <w:bookmarkStart w:id="2" w:name="_Toc92470287"/>
      <w:bookmarkStart w:id="3" w:name="_Toc92470467"/>
      <w:bookmarkStart w:id="4" w:name="_Toc26102"/>
      <w:r>
        <w:rPr>
          <w:rFonts w:hint="eastAsia" w:ascii="仿宋" w:hAnsi="仿宋" w:eastAsia="仿宋" w:cs="仿宋"/>
          <w:sz w:val="24"/>
          <w:szCs w:val="24"/>
        </w:rPr>
        <w:t>验收及成果交付</w:t>
      </w:r>
      <w:bookmarkEnd w:id="2"/>
      <w:bookmarkEnd w:id="3"/>
      <w:bookmarkEnd w:id="4"/>
    </w:p>
    <w:p w14:paraId="537E90C2">
      <w:pPr>
        <w:spacing w:line="360" w:lineRule="auto"/>
        <w:ind w:firstLine="480"/>
        <w:rPr>
          <w:rFonts w:hint="eastAsia" w:ascii="仿宋" w:hAnsi="仿宋" w:eastAsia="仿宋" w:cs="仿宋"/>
          <w:sz w:val="24"/>
          <w:szCs w:val="24"/>
        </w:rPr>
      </w:pPr>
      <w:bookmarkStart w:id="5" w:name="_Toc92470468"/>
      <w:bookmarkStart w:id="6" w:name="_Toc7422"/>
      <w:bookmarkStart w:id="7" w:name="_Toc92470288"/>
      <w:r>
        <w:rPr>
          <w:rFonts w:hint="eastAsia" w:ascii="仿宋" w:hAnsi="仿宋" w:eastAsia="仿宋" w:cs="仿宋"/>
          <w:sz w:val="24"/>
          <w:szCs w:val="24"/>
        </w:rPr>
        <w:t>1.验收要求</w:t>
      </w:r>
      <w:bookmarkEnd w:id="5"/>
      <w:bookmarkEnd w:id="6"/>
      <w:bookmarkEnd w:id="7"/>
    </w:p>
    <w:p w14:paraId="7CCADC1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中标方在合同签署后指定工期内完成本项目的系统部署、联调、测试、培训、初始化和上线工作，上线后稳定运行满</w:t>
      </w:r>
      <w:r>
        <w:rPr>
          <w:rFonts w:hint="eastAsia" w:ascii="仿宋" w:hAnsi="仿宋" w:eastAsia="仿宋" w:cs="仿宋"/>
          <w:sz w:val="24"/>
          <w:szCs w:val="24"/>
          <w:lang w:val="en-US" w:eastAsia="zh-CN"/>
        </w:rPr>
        <w:t>三</w:t>
      </w:r>
      <w:r>
        <w:rPr>
          <w:rFonts w:hint="eastAsia" w:ascii="仿宋" w:hAnsi="仿宋" w:eastAsia="仿宋" w:cs="仿宋"/>
          <w:sz w:val="24"/>
          <w:szCs w:val="24"/>
        </w:rPr>
        <w:t>个自然月组织验收，项目实施方必须提供如下内容的纸质和电子文档（含各文档的补充说明）：</w:t>
      </w:r>
    </w:p>
    <w:p w14:paraId="32D1595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1）项目合同</w:t>
      </w:r>
    </w:p>
    <w:p w14:paraId="4048062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2）项目实施报告</w:t>
      </w:r>
    </w:p>
    <w:p w14:paraId="6F501FB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3）开工报告</w:t>
      </w:r>
    </w:p>
    <w:p w14:paraId="491E5B9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4）培训记录</w:t>
      </w:r>
    </w:p>
    <w:p w14:paraId="5DEB7B6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5）试运行确认单</w:t>
      </w:r>
    </w:p>
    <w:p w14:paraId="434B5F3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6）上线确认单</w:t>
      </w:r>
    </w:p>
    <w:p w14:paraId="41944F1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7）用户使用手册</w:t>
      </w:r>
    </w:p>
    <w:p w14:paraId="57FB9E4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8）系统维护手册</w:t>
      </w:r>
    </w:p>
    <w:p w14:paraId="37323E4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9）系统测试报告</w:t>
      </w:r>
    </w:p>
    <w:p w14:paraId="225DCDD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验收时应提供验收方案，并提供第三方软件测评报告、安全风险评估报告、密码应用安全性评估报告，经招标人确认后进行验收，根据系统开发的规范，提交系统验收报告。验收结论为验收不合格的，要求限期整改，整改后试运行合格的，重新申请验收。</w:t>
      </w:r>
    </w:p>
    <w:p w14:paraId="4909E6D6">
      <w:pPr>
        <w:spacing w:line="360" w:lineRule="auto"/>
        <w:ind w:firstLine="480"/>
        <w:rPr>
          <w:rFonts w:hint="eastAsia" w:ascii="仿宋" w:hAnsi="仿宋" w:eastAsia="仿宋" w:cs="仿宋"/>
          <w:sz w:val="24"/>
          <w:szCs w:val="24"/>
        </w:rPr>
      </w:pPr>
      <w:bookmarkStart w:id="8" w:name="_Toc92470289"/>
      <w:bookmarkStart w:id="9" w:name="_Toc1903"/>
      <w:bookmarkStart w:id="10" w:name="_Toc92470469"/>
      <w:r>
        <w:rPr>
          <w:rFonts w:hint="eastAsia" w:ascii="仿宋" w:hAnsi="仿宋" w:eastAsia="仿宋" w:cs="仿宋"/>
          <w:sz w:val="24"/>
          <w:szCs w:val="24"/>
        </w:rPr>
        <w:t>2.成果交付要求</w:t>
      </w:r>
      <w:bookmarkEnd w:id="8"/>
      <w:bookmarkEnd w:id="9"/>
      <w:bookmarkEnd w:id="10"/>
    </w:p>
    <w:p w14:paraId="22E11BC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（1）软件系统交付</w:t>
      </w:r>
    </w:p>
    <w:p w14:paraId="4C2659C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部署完成“数字供销”系统，保证系统正常稳定运行。</w:t>
      </w:r>
    </w:p>
    <w:p w14:paraId="620FA79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（2）文档资料交付</w:t>
      </w:r>
    </w:p>
    <w:p w14:paraId="10F9C4F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需要提供必需的安装、部署指导手册，向招标方提供安装调试、运行维护等所需的全部资料，所有提交资料包括电子版和纸质版两类。</w:t>
      </w:r>
    </w:p>
    <w:p w14:paraId="6563436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项目实施方必须提供如下内容的纸质和电子文档（含各文档的补充说明）：</w:t>
      </w:r>
    </w:p>
    <w:p w14:paraId="3AC3AF0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1）项目合同</w:t>
      </w:r>
    </w:p>
    <w:p w14:paraId="54B4354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2）项目实施报告</w:t>
      </w:r>
    </w:p>
    <w:p w14:paraId="59D7CBA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3）开工报告</w:t>
      </w:r>
    </w:p>
    <w:p w14:paraId="04A784B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4）培训记录</w:t>
      </w:r>
    </w:p>
    <w:p w14:paraId="235A17B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5）试运行确认单</w:t>
      </w:r>
    </w:p>
    <w:p w14:paraId="33F6458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6）上线确认单</w:t>
      </w:r>
    </w:p>
    <w:p w14:paraId="658A01D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7）用户使用手册</w:t>
      </w:r>
    </w:p>
    <w:p w14:paraId="7447EE8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8）系统维护手册。</w:t>
      </w:r>
    </w:p>
    <w:p w14:paraId="69D3EF2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9）系统测试报告</w:t>
      </w:r>
    </w:p>
    <w:p w14:paraId="590F5454">
      <w:pPr>
        <w:pStyle w:val="3"/>
        <w:spacing w:line="240" w:lineRule="auto"/>
        <w:rPr>
          <w:rFonts w:hint="eastAsia" w:ascii="仿宋" w:hAnsi="仿宋" w:eastAsia="仿宋" w:cs="仿宋"/>
          <w:sz w:val="24"/>
          <w:szCs w:val="24"/>
        </w:rPr>
      </w:pPr>
      <w:r>
        <w:rPr>
          <w:rFonts w:hint="eastAsia" w:ascii="仿宋" w:hAnsi="仿宋" w:eastAsia="仿宋" w:cs="仿宋"/>
          <w:sz w:val="24"/>
          <w:szCs w:val="24"/>
        </w:rPr>
        <w:t>四、质量保证和技术服务</w:t>
      </w:r>
    </w:p>
    <w:p w14:paraId="46CE73E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（1）乙方应保证提供的产品必须符合本标书的各项技术要求。</w:t>
      </w:r>
    </w:p>
    <w:p w14:paraId="19DC827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（2）乙方应按7×24小时全天候响应标准以不限于电话咨询、远程协助等手段向甲方免费提供技术支持</w:t>
      </w:r>
    </w:p>
    <w:p w14:paraId="3ABB6D4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质保期为项目正式验收交付使用后，次日起计算为期一年，质保期内当系统出现故障时，乙方必须1小时响应，在4小时内到现场处理故障（其所发生的费用由成交供应商承担），并在12小时内容排除故障。乙方负责所供系统的安装、调试，并对甲方操作人员进行现场技术培训，包括系统常见故障处理等，由乙方负责相关费用。</w:t>
      </w:r>
    </w:p>
    <w:p w14:paraId="0510737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（4）乙方按规定给甲方提供全面的、详细的技术资料，包括用户使用手册、系统维护手册。需方有权针对培训目的而额外复制所提供的技术文件，但不限于此。</w:t>
      </w:r>
    </w:p>
    <w:p w14:paraId="341C799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（5）质保期内，乙方至少每季度作一次回访，提供免费技术服务。</w:t>
      </w:r>
    </w:p>
    <w:p w14:paraId="2133FF51">
      <w:pPr>
        <w:widowControl/>
        <w:autoSpaceDE w:val="0"/>
        <w:autoSpaceDN w:val="0"/>
        <w:adjustRightInd w:val="0"/>
        <w:snapToGrid w:val="0"/>
        <w:spacing w:line="360" w:lineRule="auto"/>
        <w:ind w:firstLine="480" w:firstLineChars="200"/>
        <w:textAlignment w:val="baseline"/>
        <w:rPr>
          <w:rFonts w:hint="eastAsia" w:ascii="仿宋" w:hAnsi="仿宋" w:eastAsia="仿宋" w:cs="仿宋"/>
          <w:b/>
          <w:bCs/>
          <w:color w:val="000000"/>
          <w:sz w:val="24"/>
          <w:szCs w:val="24"/>
        </w:rPr>
      </w:pPr>
      <w:r>
        <w:rPr>
          <w:rFonts w:hint="eastAsia" w:ascii="仿宋" w:hAnsi="仿宋" w:eastAsia="仿宋" w:cs="仿宋"/>
          <w:sz w:val="24"/>
          <w:szCs w:val="24"/>
        </w:rPr>
        <w:t>（6）质保期满后，乙方应承诺继续向甲方提供长期技术支持与服务，服务内容及价格以双方签署的维保合同为准。</w:t>
      </w:r>
    </w:p>
    <w:p w14:paraId="539C6DEE">
      <w:bookmarkStart w:id="11" w:name="_GoBack"/>
      <w:bookmarkEnd w:id="11"/>
    </w:p>
    <w:sectPr>
      <w:footerReference r:id="rId4" w:type="first"/>
      <w:footerReference r:id="rId3" w:type="default"/>
      <w:pgSz w:w="11906" w:h="16838"/>
      <w:pgMar w:top="1440" w:right="1800" w:bottom="1440" w:left="1800" w:header="1020" w:footer="102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B4EA9">
    <w:pPr>
      <w:pStyle w:val="9"/>
      <w:tabs>
        <w:tab w:val="right" w:pos="8820"/>
        <w:tab w:val="clear" w:pos="8306"/>
      </w:tabs>
      <w:ind w:right="19"/>
      <w:jc w:val="both"/>
      <w:rPr>
        <w:rFonts w:hint="eastAsia" w:ascii="仿宋_GB2312" w:hAnsi="仿宋_GB2312" w:eastAsia="仿宋_GB2312" w:cs="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91C3D9">
                          <w:pPr>
                            <w:pStyle w:val="9"/>
                          </w:pPr>
                          <w:r>
                            <w:fldChar w:fldCharType="begin"/>
                          </w:r>
                          <w:r>
                            <w:instrText xml:space="preserve"> PAGE  \* MERGEFORMAT </w:instrText>
                          </w:r>
                          <w:r>
                            <w:fldChar w:fldCharType="separate"/>
                          </w:r>
                          <w:r>
                            <w:t>122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0A91C3D9">
                    <w:pPr>
                      <w:pStyle w:val="9"/>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8B9B">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5F8738">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705F873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4E352"/>
    <w:multiLevelType w:val="singleLevel"/>
    <w:tmpl w:val="DFF4E352"/>
    <w:lvl w:ilvl="0" w:tentative="0">
      <w:start w:val="1"/>
      <w:numFmt w:val="bullet"/>
      <w:lvlText w:val=""/>
      <w:lvlJc w:val="left"/>
      <w:pPr>
        <w:ind w:left="420" w:hanging="420"/>
      </w:pPr>
      <w:rPr>
        <w:rFonts w:hint="default" w:ascii="Wingdings" w:hAnsi="Wingdings"/>
      </w:rPr>
    </w:lvl>
  </w:abstractNum>
  <w:abstractNum w:abstractNumId="1">
    <w:nsid w:val="E2B068F5"/>
    <w:multiLevelType w:val="singleLevel"/>
    <w:tmpl w:val="E2B068F5"/>
    <w:lvl w:ilvl="0" w:tentative="0">
      <w:start w:val="1"/>
      <w:numFmt w:val="decimalEnclosedCircleChinese"/>
      <w:suff w:val="nothing"/>
      <w:lvlText w:val="%1　"/>
      <w:lvlJc w:val="left"/>
      <w:pPr>
        <w:ind w:left="0" w:firstLine="400"/>
      </w:pPr>
      <w:rPr>
        <w:rFonts w:hint="eastAsia"/>
      </w:rPr>
    </w:lvl>
  </w:abstractNum>
  <w:abstractNum w:abstractNumId="2">
    <w:nsid w:val="09D01E6F"/>
    <w:multiLevelType w:val="multilevel"/>
    <w:tmpl w:val="09D01E6F"/>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0C59D62E"/>
    <w:multiLevelType w:val="singleLevel"/>
    <w:tmpl w:val="0C59D62E"/>
    <w:lvl w:ilvl="0" w:tentative="0">
      <w:start w:val="1"/>
      <w:numFmt w:val="decimalEnclosedCircle"/>
      <w:lvlText w:val="%1"/>
      <w:lvlJc w:val="left"/>
      <w:pPr>
        <w:ind w:left="840" w:hanging="440"/>
      </w:pPr>
      <w:rPr>
        <w:rFonts w:hint="default"/>
      </w:rPr>
    </w:lvl>
  </w:abstractNum>
  <w:abstractNum w:abstractNumId="4">
    <w:nsid w:val="19F86BED"/>
    <w:multiLevelType w:val="multilevel"/>
    <w:tmpl w:val="19F86BED"/>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1BD3257D"/>
    <w:multiLevelType w:val="multilevel"/>
    <w:tmpl w:val="1BD3257D"/>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chineseCountingThousand"/>
      <w:pStyle w:val="14"/>
      <w:lvlText w:val="(%4)"/>
      <w:lvlJc w:val="left"/>
      <w:pPr>
        <w:ind w:left="440" w:hanging="440"/>
      </w:p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DD81B8D"/>
    <w:multiLevelType w:val="multilevel"/>
    <w:tmpl w:val="1DD81B8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0A51638"/>
    <w:multiLevelType w:val="multilevel"/>
    <w:tmpl w:val="20A51638"/>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23AC44B0"/>
    <w:multiLevelType w:val="multilevel"/>
    <w:tmpl w:val="23AC44B0"/>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28E4772A"/>
    <w:multiLevelType w:val="multilevel"/>
    <w:tmpl w:val="28E4772A"/>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3EB15F4A"/>
    <w:multiLevelType w:val="multilevel"/>
    <w:tmpl w:val="3EB15F4A"/>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3FBC4030"/>
    <w:multiLevelType w:val="multilevel"/>
    <w:tmpl w:val="3FBC4030"/>
    <w:lvl w:ilvl="0" w:tentative="0">
      <w:start w:val="1"/>
      <w:numFmt w:val="chineseCountingThousand"/>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46294A42"/>
    <w:multiLevelType w:val="multilevel"/>
    <w:tmpl w:val="46294A42"/>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3">
    <w:nsid w:val="500A4D88"/>
    <w:multiLevelType w:val="multilevel"/>
    <w:tmpl w:val="500A4D88"/>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539A7ECB"/>
    <w:multiLevelType w:val="multilevel"/>
    <w:tmpl w:val="539A7EC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
    <w:nsid w:val="5AAD5965"/>
    <w:multiLevelType w:val="multilevel"/>
    <w:tmpl w:val="5AAD5965"/>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
    <w:nsid w:val="5D6669ED"/>
    <w:multiLevelType w:val="multilevel"/>
    <w:tmpl w:val="5D6669ED"/>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7">
    <w:nsid w:val="62274465"/>
    <w:multiLevelType w:val="multilevel"/>
    <w:tmpl w:val="62274465"/>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8">
    <w:nsid w:val="681F3232"/>
    <w:multiLevelType w:val="multilevel"/>
    <w:tmpl w:val="681F3232"/>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9">
    <w:nsid w:val="690C44C2"/>
    <w:multiLevelType w:val="multilevel"/>
    <w:tmpl w:val="690C44C2"/>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0">
    <w:nsid w:val="692F799D"/>
    <w:multiLevelType w:val="multilevel"/>
    <w:tmpl w:val="692F799D"/>
    <w:lvl w:ilvl="0" w:tentative="0">
      <w:start w:val="1"/>
      <w:numFmt w:val="chineseCountingThousand"/>
      <w:pStyle w:val="19"/>
      <w:lvlText w:val="第%1条"/>
      <w:lvlJc w:val="left"/>
      <w:pPr>
        <w:tabs>
          <w:tab w:val="left" w:pos="1581"/>
        </w:tabs>
        <w:ind w:left="1581" w:hanging="1021"/>
      </w:pPr>
      <w:rPr>
        <w:rFonts w:hint="default" w:ascii="Segoe UI" w:hAnsi="Segoe UI" w:eastAsia="宋体" w:cs="Segoe UI"/>
        <w:b/>
        <w:i w:val="0"/>
        <w:color w:val="000000"/>
        <w:sz w:val="21"/>
        <w:szCs w:val="21"/>
        <w:u w:val="none"/>
        <w:lang w:val="en-US"/>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BFA329A"/>
    <w:multiLevelType w:val="multilevel"/>
    <w:tmpl w:val="6BFA329A"/>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6C38604D"/>
    <w:multiLevelType w:val="multilevel"/>
    <w:tmpl w:val="6C38604D"/>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3">
    <w:nsid w:val="710C16C0"/>
    <w:multiLevelType w:val="multilevel"/>
    <w:tmpl w:val="710C16C0"/>
    <w:lvl w:ilvl="0" w:tentative="0">
      <w:start w:val="2"/>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5E70081"/>
    <w:multiLevelType w:val="multilevel"/>
    <w:tmpl w:val="75E70081"/>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5">
    <w:nsid w:val="761B308E"/>
    <w:multiLevelType w:val="multilevel"/>
    <w:tmpl w:val="761B308E"/>
    <w:lvl w:ilvl="0" w:tentative="0">
      <w:start w:val="1"/>
      <w:numFmt w:val="decimal"/>
      <w:lvlText w:val="（%1）"/>
      <w:lvlJc w:val="left"/>
      <w:pPr>
        <w:ind w:left="920" w:hanging="440"/>
      </w:pPr>
      <w:rPr>
        <w:rFonts w:hint="default" w:hAnsi="Times New Roman"/>
        <w:b w:val="0"/>
      </w:rPr>
    </w:lvl>
    <w:lvl w:ilvl="1" w:tentative="0">
      <w:start w:val="1"/>
      <w:numFmt w:val="decimal"/>
      <w:lvlText w:val="（%2）"/>
      <w:lvlJc w:val="left"/>
      <w:pPr>
        <w:ind w:left="1360" w:hanging="440"/>
      </w:pPr>
      <w:rPr>
        <w:rFonts w:hint="default" w:hAnsi="Times New Roman"/>
        <w:b w:val="0"/>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6">
    <w:nsid w:val="7C6C13F6"/>
    <w:multiLevelType w:val="multilevel"/>
    <w:tmpl w:val="7C6C13F6"/>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7">
    <w:nsid w:val="7C8A06F8"/>
    <w:multiLevelType w:val="multilevel"/>
    <w:tmpl w:val="7C8A06F8"/>
    <w:lvl w:ilvl="0" w:tentative="0">
      <w:start w:val="1"/>
      <w:numFmt w:val="decimal"/>
      <w:lvlText w:val="（%1）"/>
      <w:lvlJc w:val="left"/>
      <w:pPr>
        <w:ind w:left="920" w:hanging="440"/>
      </w:pPr>
      <w:rPr>
        <w:rFonts w:hint="default" w:hAnsi="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8">
    <w:nsid w:val="7E833064"/>
    <w:multiLevelType w:val="multilevel"/>
    <w:tmpl w:val="7E833064"/>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9">
    <w:nsid w:val="7F761E26"/>
    <w:multiLevelType w:val="singleLevel"/>
    <w:tmpl w:val="7F761E26"/>
    <w:lvl w:ilvl="0" w:tentative="0">
      <w:start w:val="1"/>
      <w:numFmt w:val="bullet"/>
      <w:lvlText w:val=""/>
      <w:lvlJc w:val="left"/>
      <w:pPr>
        <w:ind w:left="420" w:hanging="420"/>
      </w:pPr>
      <w:rPr>
        <w:rFonts w:hint="default" w:ascii="Wingdings" w:hAnsi="Wingdings"/>
      </w:rPr>
    </w:lvl>
  </w:abstractNum>
  <w:num w:numId="1">
    <w:abstractNumId w:val="5"/>
  </w:num>
  <w:num w:numId="2">
    <w:abstractNumId w:val="20"/>
  </w:num>
  <w:num w:numId="3">
    <w:abstractNumId w:val="25"/>
  </w:num>
  <w:num w:numId="4">
    <w:abstractNumId w:val="2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6"/>
  </w:num>
  <w:num w:numId="8">
    <w:abstractNumId w:val="23"/>
  </w:num>
  <w:num w:numId="9">
    <w:abstractNumId w:val="1"/>
  </w:num>
  <w:num w:numId="10">
    <w:abstractNumId w:val="3"/>
  </w:num>
  <w:num w:numId="11">
    <w:abstractNumId w:val="17"/>
  </w:num>
  <w:num w:numId="12">
    <w:abstractNumId w:val="0"/>
  </w:num>
  <w:num w:numId="13">
    <w:abstractNumId w:val="13"/>
  </w:num>
  <w:num w:numId="14">
    <w:abstractNumId w:val="2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2"/>
  </w:num>
  <w:num w:numId="19">
    <w:abstractNumId w:val="24"/>
  </w:num>
  <w:num w:numId="20">
    <w:abstractNumId w:val="12"/>
  </w:num>
  <w:num w:numId="21">
    <w:abstractNumId w:val="2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0"/>
  </w:num>
  <w:num w:numId="37">
    <w:abstractNumId w:val="16"/>
  </w:num>
  <w:num w:numId="38">
    <w:abstractNumId w:val="7"/>
  </w:num>
  <w:num w:numId="39">
    <w:abstractNumId w:val="19"/>
  </w:num>
  <w:num w:numId="40">
    <w:abstractNumId w:val="2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GQ5MzY1ZTcxMzdhMzY4MmE4MTViNDBkM2ZhMjgifQ=="/>
  </w:docVars>
  <w:rsids>
    <w:rsidRoot w:val="00000000"/>
    <w:rsid w:val="01851664"/>
    <w:rsid w:val="13D04577"/>
    <w:rsid w:val="38686321"/>
    <w:rsid w:val="3F6A61F2"/>
    <w:rsid w:val="43230B21"/>
    <w:rsid w:val="44992602"/>
    <w:rsid w:val="50633048"/>
    <w:rsid w:val="645E6694"/>
    <w:rsid w:val="6660524F"/>
    <w:rsid w:val="6ED0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0"/>
    <w:pPr>
      <w:keepNext/>
      <w:keepLines/>
      <w:spacing w:before="340" w:beforeLines="0" w:beforeAutospacing="0" w:after="330" w:afterLines="0" w:afterAutospacing="0" w:line="480" w:lineRule="exact"/>
      <w:jc w:val="center"/>
      <w:outlineLvl w:val="0"/>
    </w:pPr>
    <w:rPr>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440" w:lineRule="exact"/>
      <w:jc w:val="left"/>
      <w:outlineLvl w:val="1"/>
    </w:pPr>
    <w:rPr>
      <w:rFonts w:ascii="Arial" w:hAnsi="Arial"/>
      <w:b/>
      <w:sz w:val="32"/>
    </w:rPr>
  </w:style>
  <w:style w:type="paragraph" w:styleId="5">
    <w:name w:val="heading 3"/>
    <w:basedOn w:val="1"/>
    <w:next w:val="1"/>
    <w:qFormat/>
    <w:uiPriority w:val="0"/>
    <w:pPr>
      <w:keepNext/>
      <w:keepLines/>
      <w:spacing w:before="260" w:beforeLines="0" w:after="260" w:afterLines="0" w:line="413" w:lineRule="auto"/>
      <w:outlineLvl w:val="2"/>
    </w:pPr>
    <w:rPr>
      <w:b/>
      <w:sz w:val="32"/>
    </w:rPr>
  </w:style>
  <w:style w:type="paragraph" w:styleId="6">
    <w:name w:val="heading 5"/>
    <w:basedOn w:val="1"/>
    <w:next w:val="1"/>
    <w:qFormat/>
    <w:uiPriority w:val="0"/>
    <w:pPr>
      <w:keepNext/>
      <w:keepLines/>
      <w:adjustRightInd w:val="0"/>
      <w:spacing w:before="280" w:beforeLines="0" w:after="290" w:afterLines="0" w:line="376" w:lineRule="atLeast"/>
      <w:outlineLvl w:val="4"/>
    </w:pPr>
    <w:rPr>
      <w:b/>
      <w:kern w:val="0"/>
      <w:sz w:val="28"/>
    </w:rPr>
  </w:style>
  <w:style w:type="paragraph" w:styleId="7">
    <w:name w:val="heading 6"/>
    <w:basedOn w:val="1"/>
    <w:next w:val="1"/>
    <w:qFormat/>
    <w:uiPriority w:val="0"/>
    <w:pPr>
      <w:keepNext/>
      <w:keepLines/>
      <w:adjustRightInd w:val="0"/>
      <w:spacing w:before="240" w:beforeLines="0" w:after="64" w:afterLines="0" w:line="320" w:lineRule="atLeast"/>
      <w:outlineLvl w:val="5"/>
    </w:pPr>
    <w:rPr>
      <w:rFonts w:ascii="Arial" w:hAnsi="Arial" w:eastAsia="黑体"/>
      <w:b/>
      <w:kern w:val="0"/>
      <w:sz w:val="24"/>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8">
    <w:name w:val="annotation text"/>
    <w:basedOn w:val="1"/>
    <w:qFormat/>
    <w:uiPriority w:val="0"/>
    <w:pPr>
      <w:adjustRightInd w:val="0"/>
      <w:spacing w:line="360" w:lineRule="atLeast"/>
      <w:jc w:val="left"/>
      <w:textAlignment w:val="baseline"/>
    </w:pPr>
    <w:rPr>
      <w:kern w:val="0"/>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w:basedOn w:val="2"/>
    <w:qFormat/>
    <w:uiPriority w:val="0"/>
    <w:pPr>
      <w:adjustRightInd w:val="0"/>
      <w:spacing w:after="0" w:afterLines="0"/>
      <w:ind w:firstLine="420"/>
      <w:jc w:val="left"/>
      <w:textAlignment w:val="baseline"/>
    </w:pPr>
    <w:rPr>
      <w:kern w:val="0"/>
    </w:rPr>
  </w:style>
  <w:style w:type="paragraph" w:customStyle="1" w:styleId="13">
    <w:name w:val="GP正文(首行缩进)"/>
    <w:basedOn w:val="1"/>
    <w:qFormat/>
    <w:uiPriority w:val="0"/>
    <w:rPr>
      <w:rFonts w:ascii="Times New Roman"/>
      <w:kern w:val="2"/>
      <w:szCs w:val="21"/>
    </w:rPr>
  </w:style>
  <w:style w:type="paragraph" w:customStyle="1" w:styleId="14">
    <w:name w:val="文档-标题4"/>
    <w:basedOn w:val="1"/>
    <w:next w:val="1"/>
    <w:qFormat/>
    <w:uiPriority w:val="0"/>
    <w:pPr>
      <w:keepNext/>
      <w:keepLines/>
      <w:numPr>
        <w:ilvl w:val="3"/>
        <w:numId w:val="1"/>
      </w:numPr>
      <w:snapToGrid w:val="0"/>
      <w:spacing w:before="280" w:after="290" w:line="376" w:lineRule="auto"/>
      <w:ind w:left="440" w:hanging="440" w:firstLineChars="0"/>
      <w:outlineLvl w:val="3"/>
    </w:pPr>
    <w:rPr>
      <w:rFonts w:ascii="Cambria" w:hAnsi="Cambria" w:eastAsia="新宋体"/>
      <w:b/>
      <w:bCs/>
      <w:kern w:val="44"/>
      <w:sz w:val="28"/>
      <w:szCs w:val="28"/>
    </w:rPr>
  </w:style>
  <w:style w:type="paragraph" w:customStyle="1" w:styleId="15">
    <w:name w:val="*正文"/>
    <w:basedOn w:val="1"/>
    <w:qFormat/>
    <w:uiPriority w:val="0"/>
    <w:pPr>
      <w:widowControl/>
    </w:pPr>
    <w:rPr>
      <w:rFonts w:ascii="仿宋_GB2312"/>
      <w:kern w:val="2"/>
      <w:szCs w:val="28"/>
    </w:rPr>
  </w:style>
  <w:style w:type="paragraph" w:customStyle="1" w:styleId="16">
    <w:name w:val="Table Paragraph"/>
    <w:basedOn w:val="1"/>
    <w:qFormat/>
    <w:uiPriority w:val="99"/>
    <w:pPr>
      <w:widowControl w:val="0"/>
    </w:pPr>
    <w:rPr>
      <w:rFonts w:ascii="Calibri" w:hAnsi="Calibri"/>
      <w:sz w:val="22"/>
      <w:szCs w:val="22"/>
    </w:rPr>
  </w:style>
  <w:style w:type="paragraph" w:customStyle="1" w:styleId="17">
    <w:name w:val="我的段落"/>
    <w:basedOn w:val="1"/>
    <w:qFormat/>
    <w:uiPriority w:val="0"/>
    <w:pPr>
      <w:widowControl w:val="0"/>
      <w:spacing w:line="360" w:lineRule="auto"/>
      <w:ind w:firstLine="480" w:firstLineChars="200"/>
    </w:pPr>
    <w:rPr>
      <w:rFonts w:ascii="宋体" w:hAnsi="宋体"/>
      <w:szCs w:val="30"/>
    </w:rPr>
  </w:style>
  <w:style w:type="paragraph" w:customStyle="1" w:styleId="18">
    <w:name w:val="06-正文"/>
    <w:basedOn w:val="1"/>
    <w:qFormat/>
    <w:uiPriority w:val="0"/>
    <w:pPr>
      <w:spacing w:line="360" w:lineRule="auto"/>
      <w:ind w:firstLine="480" w:firstLineChars="200"/>
    </w:pPr>
    <w:rPr>
      <w:rFonts w:ascii="Arial" w:hAnsi="Arial" w:cs="Arial"/>
      <w:sz w:val="24"/>
    </w:rPr>
  </w:style>
  <w:style w:type="paragraph" w:customStyle="1" w:styleId="19">
    <w:name w:val="正文-第几条"/>
    <w:basedOn w:val="1"/>
    <w:qFormat/>
    <w:uiPriority w:val="0"/>
    <w:pPr>
      <w:widowControl w:val="0"/>
      <w:numPr>
        <w:ilvl w:val="0"/>
        <w:numId w:val="2"/>
      </w:numPr>
      <w:jc w:val="both"/>
    </w:pPr>
    <w:rPr>
      <w:kern w:val="2"/>
      <w:sz w:val="21"/>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8949</Words>
  <Characters>9046</Characters>
  <Lines>0</Lines>
  <Paragraphs>0</Paragraphs>
  <TotalTime>0</TotalTime>
  <ScaleCrop>false</ScaleCrop>
  <LinksUpToDate>false</LinksUpToDate>
  <CharactersWithSpaces>9054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2022-06-07T02:30:00Z</dcterms:created>
  <dc:creator>Administrator</dc:creator>
  <cp:lastModifiedBy>zzh</cp:lastModifiedBy>
  <dcterms:modified xsi:type="dcterms:W3CDTF">2024-10-24T02:53:22Z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047F730AEB27449D9FD3855A84B4676D</vt:lpwstr>
  </property>
</Properties>
</file>