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版本号：241030001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秦始皇兵马俑三号坑遗址综合保护研究项目(三次)</w:t>
      </w:r>
    </w:p>
    <w:p>
      <w:pPr>
        <w:pStyle w:val="null3"/>
        <w:jc w:val="center"/>
        <w:outlineLvl w:val="2"/>
      </w:pPr>
      <w:r>
        <w:rPr>
          <w:sz w:val="28"/>
          <w:b/>
        </w:rPr>
        <w:t>采购项目编号：</w:t>
      </w:r>
      <w:r>
        <w:rPr>
          <w:sz w:val="28"/>
          <w:b/>
        </w:rPr>
        <w:t>SZT2024-SN-SC-ZC-FW-0833.1B2</w:t>
      </w:r>
      <w:r>
        <w:br/>
      </w:r>
      <w:r>
        <w:br/>
      </w:r>
      <w:r>
        <w:br/>
      </w:r>
    </w:p>
    <w:p>
      <w:pPr>
        <w:pStyle w:val="null3"/>
        <w:jc w:val="center"/>
        <w:outlineLvl w:val="2"/>
      </w:pPr>
      <w:r>
        <w:rPr>
          <w:sz w:val="28"/>
          <w:b/>
        </w:rPr>
        <w:t>秦始皇帝陵博物院</w:t>
      </w:r>
    </w:p>
    <w:p>
      <w:pPr>
        <w:pStyle w:val="null3"/>
        <w:jc w:val="center"/>
        <w:outlineLvl w:val="2"/>
      </w:pPr>
      <w:r>
        <w:rPr>
          <w:sz w:val="28"/>
          <w:b/>
        </w:rPr>
        <w:t>陕西中技招标有限公司</w:t>
      </w:r>
      <w:r>
        <w:rPr>
          <w:sz w:val="28"/>
          <w:b/>
        </w:rPr>
        <w:t>共同编制</w:t>
      </w:r>
    </w:p>
    <w:p>
      <w:pPr>
        <w:pStyle w:val="null3"/>
        <w:jc w:val="center"/>
        <w:outlineLvl w:val="2"/>
      </w:pPr>
      <w:r>
        <w:rPr>
          <w:sz w:val="28"/>
          <w:b/>
        </w:rPr>
        <w:t>2024年10月30日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陕西中技招标有限公司</w:t>
      </w:r>
      <w:r>
        <w:rPr/>
        <w:t>（以下简称“代理机构”）受</w:t>
      </w:r>
      <w:r>
        <w:rPr/>
        <w:t>秦始皇帝陵博物院</w:t>
      </w:r>
      <w:r>
        <w:rPr/>
        <w:t>委托，拟对</w:t>
      </w:r>
      <w:r>
        <w:rPr/>
        <w:t>秦始皇兵马俑三号坑遗址综合保护研究项目(三次)</w:t>
      </w:r>
      <w:r>
        <w:rPr/>
        <w:t>采用竞争性磋商采购方式进行采购，兹邀请供应商参加本项目的竞争性磋商。</w:t>
      </w:r>
    </w:p>
    <w:p>
      <w:pPr>
        <w:pStyle w:val="null3"/>
        <w:outlineLvl w:val="2"/>
      </w:pPr>
      <w:r>
        <w:rPr>
          <w:sz w:val="28"/>
          <w:b/>
        </w:rPr>
        <w:t>一、项目编号：</w:t>
      </w:r>
      <w:r>
        <w:rPr>
          <w:sz w:val="28"/>
          <w:b/>
        </w:rPr>
        <w:t>SZT2024-SN-SC-ZC-FW-0833.1B2</w:t>
      </w:r>
    </w:p>
    <w:p>
      <w:pPr>
        <w:pStyle w:val="null3"/>
        <w:outlineLvl w:val="2"/>
      </w:pPr>
      <w:r>
        <w:rPr>
          <w:sz w:val="28"/>
          <w:b/>
        </w:rPr>
        <w:t>二、项目名称：</w:t>
      </w:r>
      <w:r>
        <w:rPr>
          <w:sz w:val="28"/>
          <w:b/>
        </w:rPr>
        <w:t>秦始皇兵马俑三号坑遗址综合保护研究项目(三次)</w:t>
      </w:r>
    </w:p>
    <w:p>
      <w:pPr>
        <w:pStyle w:val="null3"/>
        <w:outlineLvl w:val="2"/>
      </w:pPr>
      <w:r>
        <w:rPr>
          <w:sz w:val="28"/>
          <w:b/>
        </w:rPr>
        <w:t>三、磋商项目简介</w:t>
      </w:r>
    </w:p>
    <w:p>
      <w:pPr>
        <w:pStyle w:val="null3"/>
        <w:ind w:firstLine="480"/>
      </w:pPr>
      <w:r>
        <w:rPr/>
        <w:t>秦始皇兵马俑三号坑遗址综合保护研究项目</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采购包1（遗址综合保护研究）：属于专门面向中小企业采购。</w:t>
      </w:r>
    </w:p>
    <w:p>
      <w:pPr>
        <w:pStyle w:val="null3"/>
        <w:ind w:firstLine="480"/>
      </w:pPr>
      <w:r>
        <w:rPr/>
        <w:t>（三）本项目的特定资格要求：</w:t>
      </w:r>
    </w:p>
    <w:p>
      <w:pPr>
        <w:pStyle w:val="null3"/>
      </w:pPr>
      <w:r>
        <w:rPr/>
        <w:t>采购包1：</w:t>
      </w:r>
    </w:p>
    <w:p>
      <w:pPr>
        <w:pStyle w:val="null3"/>
      </w:pPr>
      <w:r>
        <w:rPr/>
        <w:t>1、法定代表人直接参加投标的，须出具身份证，并与营业执照上信息一致；法定代表人或授权代表参加投标的，须出具法定代表人授权书及授权代表身份证；：法定代表人直接参加投标的，须出具身份证，并与营业执照上信息一致；法定代表人或授权代表参加投标的，须出具法定代表人授权书及授权代表身份证；供应商需在项目电子化交易系统中按要求上传相应证明文件并进行电子签章。</w:t>
      </w:r>
    </w:p>
    <w:p>
      <w:pPr>
        <w:pStyle w:val="null3"/>
      </w:pPr>
      <w:r>
        <w:rPr/>
        <w:t>2、企业资质：具有国家文物行政主管部门核发的文物保护工程勘察设计甲级资质（业务范围包含：古文化遗址古墓葬保护）；</w:t>
      </w:r>
    </w:p>
    <w:p>
      <w:pPr>
        <w:pStyle w:val="null3"/>
      </w:pPr>
      <w:r>
        <w:rPr/>
        <w:t>3、企业关系：单位负责人为同一人或存在控股、管理关系不同单位不得同时参加本次投标活动。</w:t>
      </w:r>
    </w:p>
    <w:p>
      <w:pPr>
        <w:pStyle w:val="null3"/>
      </w:pPr>
      <w:r>
        <w:rPr/>
        <w:t>4、本项目不接受联合体磋商：本项目不接受联合体磋商。供应商需在项目电子化交易系统中按要求填写《投标函》完成承诺并进行电子签章。</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秦始皇帝陵博物院</w:t>
      </w:r>
    </w:p>
    <w:p>
      <w:pPr>
        <w:pStyle w:val="null3"/>
      </w:pPr>
      <w:r>
        <w:rPr/>
        <w:t xml:space="preserve"> 地址： </w:t>
      </w:r>
      <w:r>
        <w:rPr/>
        <w:t>西安市临潼区秦陵街办</w:t>
      </w:r>
    </w:p>
    <w:p>
      <w:pPr>
        <w:pStyle w:val="null3"/>
      </w:pPr>
      <w:r>
        <w:rPr/>
        <w:t xml:space="preserve"> 邮编： </w:t>
      </w:r>
      <w:r>
        <w:rPr/>
        <w:t>710600</w:t>
      </w:r>
    </w:p>
    <w:p>
      <w:pPr>
        <w:pStyle w:val="null3"/>
      </w:pPr>
      <w:r>
        <w:rPr/>
        <w:t xml:space="preserve"> 联系人： </w:t>
      </w:r>
      <w:r>
        <w:rPr/>
        <w:t>秦始皇帝陵博物院刘媛</w:t>
      </w:r>
    </w:p>
    <w:p>
      <w:pPr>
        <w:pStyle w:val="null3"/>
      </w:pPr>
      <w:r>
        <w:rPr/>
        <w:t xml:space="preserve"> 联系电话： </w:t>
      </w:r>
      <w:r>
        <w:rPr/>
        <w:t>029-81399188</w:t>
      </w:r>
    </w:p>
    <w:p>
      <w:pPr>
        <w:pStyle w:val="null3"/>
        <w:outlineLvl w:val="3"/>
      </w:pPr>
      <w:r>
        <w:rPr>
          <w:sz w:val="24"/>
          <w:b/>
        </w:rPr>
        <w:t>代理机构：</w:t>
      </w:r>
      <w:r>
        <w:rPr>
          <w:sz w:val="24"/>
          <w:b/>
        </w:rPr>
        <w:t>陕西中技招标有限公司</w:t>
      </w:r>
    </w:p>
    <w:p>
      <w:pPr>
        <w:pStyle w:val="null3"/>
      </w:pPr>
      <w:r>
        <w:rPr/>
        <w:t xml:space="preserve"> 地址： </w:t>
      </w:r>
      <w:r>
        <w:rPr/>
        <w:t>西安市莲湖区高新四路高科广场A座1001室</w:t>
      </w:r>
    </w:p>
    <w:p>
      <w:pPr>
        <w:pStyle w:val="null3"/>
      </w:pPr>
      <w:r>
        <w:rPr/>
        <w:t xml:space="preserve"> 邮编： </w:t>
      </w:r>
      <w:r>
        <w:rPr/>
        <w:t>710075</w:t>
      </w:r>
    </w:p>
    <w:p>
      <w:pPr>
        <w:pStyle w:val="null3"/>
      </w:pPr>
      <w:r>
        <w:rPr/>
        <w:t xml:space="preserve"> 联系人： </w:t>
      </w:r>
      <w:r>
        <w:rPr/>
        <w:t>杨磊、胡婷、单博</w:t>
      </w:r>
    </w:p>
    <w:p>
      <w:pPr>
        <w:pStyle w:val="null3"/>
      </w:pPr>
      <w:r>
        <w:rPr/>
        <w:t xml:space="preserve"> 联系电话： </w:t>
      </w:r>
      <w:r>
        <w:rPr/>
        <w:t>029-88364979-877</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采购包1：1,200,000.00元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代理服务费收费标准：本项目收取代理服务费 代理服务费用收取对象：中标/成交供应商 代理服务费收费标准：招标服务费以成交金额为基数，参考《国家计委关于印发&lt;招标代理服务收费管理暂行办法&gt;的通知》（计价格〔2002〕1980号）及《国家发改委关于降低部分建设项目收费标准规范收费行为等有关问题的通知》（发改价格〔2011〕534号）规定按标准收取。 收款单位：陕西中技招标有限公司 开户银行：招商银行西安分行营业部 银行账号：129916812810001</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秦始皇帝陵博物院</w:t>
      </w:r>
      <w:r>
        <w:rPr/>
        <w:t>和</w:t>
      </w:r>
      <w:r>
        <w:rPr/>
        <w:t>陕西中技招标有限公司</w:t>
      </w:r>
      <w:r>
        <w:rPr/>
        <w:t>享有。对磋商文件中供应商参加本次政府采购活动应当具备的条件，磋商项目技术、服务、商务及其他要求，评审细则及标准由</w:t>
      </w:r>
      <w:r>
        <w:rPr/>
        <w:t>秦始皇帝陵博物院</w:t>
      </w:r>
      <w:r>
        <w:rPr/>
        <w:t>负责解释。除上述磋商文件内容，其他内容由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秦始皇帝陵博物院</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详见采购合同</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联系人：李经理</w:t>
      </w:r>
    </w:p>
    <w:p>
      <w:pPr>
        <w:pStyle w:val="null3"/>
      </w:pPr>
      <w:r>
        <w:rPr/>
        <w:t>联系电话：029-88364979-846</w:t>
      </w:r>
    </w:p>
    <w:p>
      <w:pPr>
        <w:pStyle w:val="null3"/>
      </w:pPr>
      <w:r>
        <w:rPr/>
        <w:t>地址：西安市莲湖区高新四路1号高科广场A座1001室</w:t>
      </w:r>
    </w:p>
    <w:p>
      <w:pPr>
        <w:pStyle w:val="null3"/>
      </w:pPr>
      <w:r>
        <w:rPr/>
        <w:t>邮编：710075</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秦始皇兵马俑三号坑遗址综合保护研究项目技术要求 秦始皇帝陵土遗址的保护工作始于上世纪八十年代末，是我国最早开展土遗址保护工作的几个遗产地之一，作为学界的先行者，几十年间已取得了大量的保护实绩和研究成果。但由于土的自身物理学性质和建造工艺决定了土遗址的脆弱性，同时导致土遗址破坏的地质和自然因素的作用机理也极为复杂，加之囿于以往我国土遗址保护工作基础薄弱的大环境，目前秦始皇帝陵土遗址的保护与研究仍存在一些应尽未尽之宜：例如遗址土体的劣化发育还未得到全面有效的控制，工程勘察资料有待完善，病害机理缺乏系统深入的研究，博物馆陈列环境、游客量和土遗址的关系尚不明确等等。基于上述现状，土遗址保护现阶段依然作为也将长期作为秦始皇帝陵文物保护研究工作中的重点和难点。</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1,200,000.00</w:t>
      </w:r>
    </w:p>
    <w:p>
      <w:pPr>
        <w:pStyle w:val="null3"/>
      </w:pPr>
      <w:r>
        <w:rPr/>
        <w:t>采购包最高限价（元）: 1,200,000.00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秦始皇兵马俑三号坑遗址综合保护研究项目采购</w:t>
            </w:r>
          </w:p>
        </w:tc>
        <w:tc>
          <w:tcPr>
            <w:tcW w:type="dxa" w:w="831"/>
          </w:tcPr>
          <w:p>
            <w:pPr>
              <w:pStyle w:val="null3"/>
              <w:jc w:val="right"/>
            </w:pPr>
            <w:r>
              <w:rPr/>
              <w:t>1.00</w:t>
            </w:r>
          </w:p>
        </w:tc>
        <w:tc>
          <w:tcPr>
            <w:tcW w:type="dxa" w:w="831"/>
          </w:tcPr>
          <w:p>
            <w:pPr>
              <w:pStyle w:val="null3"/>
              <w:jc w:val="right"/>
            </w:pPr>
            <w:r>
              <w:rPr/>
              <w:t>1,200,000.00</w:t>
            </w:r>
          </w:p>
        </w:tc>
        <w:tc>
          <w:tcPr>
            <w:tcW w:type="dxa" w:w="831"/>
          </w:tcPr>
          <w:p>
            <w:pPr>
              <w:pStyle w:val="null3"/>
            </w:pPr>
            <w:r>
              <w:rPr/>
              <w:t>项</w:t>
            </w:r>
          </w:p>
        </w:tc>
        <w:tc>
          <w:tcPr>
            <w:tcW w:type="dxa" w:w="831"/>
          </w:tcPr>
          <w:p>
            <w:pPr>
              <w:pStyle w:val="null3"/>
            </w:pPr>
            <w:r>
              <w:rPr/>
              <w:t>租赁和商务服务业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标的名称：秦始皇兵马俑三号坑遗址综合保护研究项目采购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80"/>
              <w:jc w:val="both"/>
            </w:pPr>
            <w:r>
              <w:rPr>
                <w:rFonts w:ascii="宋体" w:hAnsi="宋体" w:cs="宋体" w:eastAsia="宋体"/>
              </w:rPr>
              <w:t>秦始皇兵马俑三号坑遗址综合保护研究项目技术要求</w:t>
            </w:r>
          </w:p>
          <w:p>
            <w:pPr>
              <w:pStyle w:val="null3"/>
              <w:ind w:firstLine="480"/>
              <w:jc w:val="both"/>
            </w:pPr>
            <w:r>
              <w:rPr>
                <w:rFonts w:ascii="宋体" w:hAnsi="宋体" w:cs="宋体" w:eastAsia="宋体"/>
              </w:rPr>
              <w:t>秦始皇帝陵土遗址的保护工作始于上世纪八十年代末，是我国最早开展土遗址保护工作的几个遗产地之一，作为学界的先行者，几十年间已取得了大量的保护实绩和研究成果。但由于土的自身物理学性质和建造工艺决定了土遗址的脆弱性，同时导致土遗址破坏的地质和自然因素的作用机理也极为复杂，加之囿于以往我国土遗址保护工作基础薄弱的大环境，目前秦始皇帝陵土遗址的保护与研究仍存在一些应尽未尽之宜：例如遗址土体的劣化发育还未得到全面有效的控制，工程勘察资料有待完善，病害机理缺乏系统深入的研究，博物馆陈列环境、游客量和土遗址的关系尚不明确等等。基于上述现状，土遗址保护现阶段依然作为也将长期作为秦始皇帝陵文物保护研究工作中的重点和难点。</w:t>
            </w:r>
          </w:p>
          <w:p>
            <w:pPr>
              <w:pStyle w:val="null3"/>
              <w:ind w:firstLine="480"/>
              <w:jc w:val="both"/>
            </w:pPr>
            <w:r>
              <w:rPr>
                <w:rFonts w:ascii="宋体" w:hAnsi="宋体" w:cs="宋体" w:eastAsia="宋体"/>
              </w:rPr>
              <w:t>秦始皇兵马俑三号坑遗址自</w:t>
            </w:r>
            <w:r>
              <w:rPr>
                <w:rFonts w:ascii="calibri" w:hAnsi="calibri" w:cs="calibri" w:eastAsia="calibri"/>
              </w:rPr>
              <w:t>1989</w:t>
            </w:r>
            <w:r>
              <w:rPr>
                <w:rFonts w:ascii="宋体" w:hAnsi="宋体" w:cs="宋体" w:eastAsia="宋体"/>
              </w:rPr>
              <w:t>年展厅建成开放以来，仅对坑壁做过一些简单的保护加固措施。由于秦陵地区近年来降水量较以往增多，三号坑土遗址出现了局部渗水、开裂变形及局部酥碱粉化等活跃性病害。为了探寻土遗址病害成因，科学评估病害发展趋势，针对性地开展保护工作。秦始皇帝博物院自</w:t>
            </w:r>
            <w:r>
              <w:rPr>
                <w:rFonts w:ascii="calibri" w:hAnsi="calibri" w:cs="calibri" w:eastAsia="calibri"/>
              </w:rPr>
              <w:t>2015</w:t>
            </w:r>
            <w:r>
              <w:rPr>
                <w:rFonts w:ascii="宋体" w:hAnsi="宋体" w:cs="宋体" w:eastAsia="宋体"/>
              </w:rPr>
              <w:t>年开始，持续对三号坑进行了环境监测，主要为温度、湿度、</w:t>
            </w:r>
            <w:r>
              <w:rPr>
                <w:rFonts w:ascii="calibri" w:hAnsi="calibri" w:cs="calibri" w:eastAsia="calibri"/>
              </w:rPr>
              <w:t>CO2</w:t>
            </w:r>
            <w:r>
              <w:rPr>
                <w:rFonts w:ascii="宋体" w:hAnsi="宋体" w:cs="宋体" w:eastAsia="宋体"/>
              </w:rPr>
              <w:t>、光照和紫外线的监测。从监测数据显示，三号坑持续处于高湿环境中，均为</w:t>
            </w:r>
            <w:r>
              <w:rPr>
                <w:rFonts w:ascii="calibri" w:hAnsi="calibri" w:cs="calibri" w:eastAsia="calibri"/>
              </w:rPr>
              <w:t>12</w:t>
            </w:r>
            <w:r>
              <w:rPr>
                <w:rFonts w:ascii="宋体" w:hAnsi="宋体" w:cs="宋体" w:eastAsia="宋体"/>
              </w:rPr>
              <w:t>月湿度最低，平均在</w:t>
            </w:r>
            <w:r>
              <w:rPr>
                <w:rFonts w:ascii="calibri" w:hAnsi="calibri" w:cs="calibri" w:eastAsia="calibri"/>
              </w:rPr>
              <w:t>63%-65%</w:t>
            </w:r>
            <w:r>
              <w:rPr>
                <w:rFonts w:ascii="宋体" w:hAnsi="宋体" w:cs="宋体" w:eastAsia="宋体"/>
              </w:rPr>
              <w:t>左右，最高湿度出现在</w:t>
            </w:r>
            <w:r>
              <w:rPr>
                <w:rFonts w:ascii="calibri" w:hAnsi="calibri" w:cs="calibri" w:eastAsia="calibri"/>
              </w:rPr>
              <w:t>7</w:t>
            </w:r>
            <w:r>
              <w:rPr>
                <w:rFonts w:ascii="宋体" w:hAnsi="宋体" w:cs="宋体" w:eastAsia="宋体"/>
              </w:rPr>
              <w:t>月至锚固与灌浆加固试验和二号坑土遗址含水率监测分析研究。兵马俑三号遗址存在局部渗水、开裂变形及其局部酥碱粉化等活跃性病害，其保护研究工作可以科学有序展开！</w:t>
            </w:r>
          </w:p>
          <w:p>
            <w:pPr>
              <w:pStyle w:val="null3"/>
              <w:ind w:firstLine="480"/>
              <w:jc w:val="both"/>
            </w:pPr>
            <w:r>
              <w:rPr>
                <w:rFonts w:ascii="宋体" w:hAnsi="宋体" w:cs="宋体" w:eastAsia="宋体"/>
              </w:rPr>
              <w:t>本次保护研究工作包括兵马俑三号坑遗址赋存环境监测与研究；遗址土基本物理力学性质勘察研究；遗址坑壁稳定性及加固技术研究设计；风化病害成因及水盐阻断方法研究与保护方案设计等。</w:t>
            </w:r>
          </w:p>
          <w:p>
            <w:pPr>
              <w:pStyle w:val="null3"/>
              <w:ind w:firstLine="480"/>
              <w:jc w:val="both"/>
            </w:pPr>
            <w:r>
              <w:rPr>
                <w:rFonts w:ascii="宋体" w:hAnsi="宋体" w:cs="宋体" w:eastAsia="宋体"/>
              </w:rPr>
              <w:t>二、技术要求</w:t>
            </w:r>
          </w:p>
          <w:p>
            <w:pPr>
              <w:pStyle w:val="null3"/>
              <w:ind w:firstLine="480"/>
              <w:jc w:val="both"/>
            </w:pPr>
            <w:r>
              <w:rPr>
                <w:rFonts w:ascii="calibri" w:hAnsi="calibri" w:cs="calibri" w:eastAsia="calibri"/>
              </w:rPr>
              <w:t>1.</w:t>
            </w:r>
            <w:r>
              <w:rPr>
                <w:rFonts w:ascii="宋体" w:hAnsi="宋体" w:cs="宋体" w:eastAsia="宋体"/>
              </w:rPr>
              <w:t>兵马俑三号坑遗址赋存环境监测与研究；</w:t>
            </w:r>
          </w:p>
          <w:p>
            <w:pPr>
              <w:pStyle w:val="null3"/>
              <w:ind w:firstLine="480"/>
              <w:jc w:val="both"/>
            </w:pPr>
            <w:r>
              <w:rPr>
                <w:rFonts w:ascii="calibri" w:hAnsi="calibri" w:cs="calibri" w:eastAsia="calibri"/>
              </w:rPr>
              <w:t>2.</w:t>
            </w:r>
            <w:r>
              <w:rPr>
                <w:rFonts w:ascii="宋体" w:hAnsi="宋体" w:cs="宋体" w:eastAsia="宋体"/>
              </w:rPr>
              <w:t>遗址土基本物理力学性质勘察研究；</w:t>
            </w:r>
          </w:p>
          <w:p>
            <w:pPr>
              <w:pStyle w:val="null3"/>
              <w:ind w:firstLine="480"/>
              <w:jc w:val="both"/>
            </w:pPr>
            <w:r>
              <w:rPr>
                <w:rFonts w:ascii="calibri" w:hAnsi="calibri" w:cs="calibri" w:eastAsia="calibri"/>
              </w:rPr>
              <w:t>3.</w:t>
            </w:r>
            <w:r>
              <w:rPr>
                <w:rFonts w:ascii="宋体" w:hAnsi="宋体" w:cs="宋体" w:eastAsia="宋体"/>
              </w:rPr>
              <w:t>遗址坑壁稳定性及加固技术研究设计；</w:t>
            </w:r>
          </w:p>
          <w:p>
            <w:pPr>
              <w:pStyle w:val="null3"/>
              <w:ind w:firstLine="480"/>
              <w:jc w:val="both"/>
            </w:pPr>
            <w:r>
              <w:rPr>
                <w:rFonts w:ascii="calibri" w:hAnsi="calibri" w:cs="calibri" w:eastAsia="calibri"/>
              </w:rPr>
              <w:t>4.</w:t>
            </w:r>
            <w:r>
              <w:rPr>
                <w:rFonts w:ascii="宋体" w:hAnsi="宋体" w:cs="宋体" w:eastAsia="宋体"/>
              </w:rPr>
              <w:t>风化病害成因及水盐阻断方法研究与保护方案设计。</w:t>
            </w:r>
          </w:p>
          <w:p>
            <w:pPr>
              <w:pStyle w:val="null3"/>
              <w:ind w:firstLine="480"/>
              <w:jc w:val="both"/>
            </w:pPr>
            <w:r>
              <w:rPr>
                <w:rFonts w:ascii="宋体" w:hAnsi="宋体" w:cs="宋体" w:eastAsia="宋体"/>
              </w:rPr>
              <w:t>三</w:t>
            </w:r>
            <w:r>
              <w:rPr>
                <w:rFonts w:ascii="宋体" w:hAnsi="宋体" w:cs="宋体" w:eastAsia="宋体"/>
              </w:rPr>
              <w:t>、商务要求</w:t>
            </w:r>
          </w:p>
          <w:p>
            <w:pPr>
              <w:pStyle w:val="null3"/>
              <w:ind w:firstLine="480"/>
              <w:jc w:val="both"/>
            </w:pPr>
            <w:r>
              <w:rPr>
                <w:rFonts w:ascii="calibri" w:hAnsi="calibri" w:cs="calibri" w:eastAsia="calibri"/>
              </w:rPr>
              <w:t>1.</w:t>
            </w:r>
            <w:r>
              <w:rPr>
                <w:rFonts w:ascii="宋体" w:hAnsi="宋体" w:cs="宋体" w:eastAsia="宋体"/>
              </w:rPr>
              <w:t>付款方式：合同生效后</w:t>
            </w:r>
            <w:r>
              <w:rPr>
                <w:rFonts w:ascii="calibri" w:hAnsi="calibri" w:cs="calibri" w:eastAsia="calibri"/>
              </w:rPr>
              <w:t>7</w:t>
            </w:r>
            <w:r>
              <w:rPr>
                <w:rFonts w:ascii="宋体" w:hAnsi="宋体" w:cs="宋体" w:eastAsia="宋体"/>
              </w:rPr>
              <w:t>个工作日内，支付研究费用总额的</w:t>
            </w:r>
            <w:r>
              <w:rPr>
                <w:rFonts w:ascii="calibri" w:hAnsi="calibri" w:cs="calibri" w:eastAsia="calibri"/>
              </w:rPr>
              <w:t>50</w:t>
            </w:r>
            <w:r>
              <w:rPr>
                <w:rFonts w:ascii="宋体" w:hAnsi="宋体" w:cs="宋体" w:eastAsia="宋体"/>
              </w:rPr>
              <w:t>％；最终完成并提交本次试验研究成果文件后</w:t>
            </w:r>
            <w:r>
              <w:rPr>
                <w:rFonts w:ascii="calibri" w:hAnsi="calibri" w:cs="calibri" w:eastAsia="calibri"/>
              </w:rPr>
              <w:t>7</w:t>
            </w:r>
            <w:r>
              <w:rPr>
                <w:rFonts w:ascii="宋体" w:hAnsi="宋体" w:cs="宋体" w:eastAsia="宋体"/>
              </w:rPr>
              <w:t>个工作日内，支付费用总额的</w:t>
            </w:r>
            <w:r>
              <w:rPr>
                <w:rFonts w:ascii="calibri" w:hAnsi="calibri" w:cs="calibri" w:eastAsia="calibri"/>
              </w:rPr>
              <w:t>30</w:t>
            </w:r>
            <w:r>
              <w:rPr>
                <w:rFonts w:ascii="宋体" w:hAnsi="宋体" w:cs="宋体" w:eastAsia="宋体"/>
              </w:rPr>
              <w:t>％；本次试验研究成果文件满足实际需求的资料后</w:t>
            </w:r>
            <w:r>
              <w:rPr>
                <w:rFonts w:ascii="calibri" w:hAnsi="calibri" w:cs="calibri" w:eastAsia="calibri"/>
              </w:rPr>
              <w:t>7</w:t>
            </w:r>
            <w:r>
              <w:rPr>
                <w:rFonts w:ascii="宋体" w:hAnsi="宋体" w:cs="宋体" w:eastAsia="宋体"/>
              </w:rPr>
              <w:t>个工作日内，支付费用总额的</w:t>
            </w:r>
            <w:r>
              <w:rPr>
                <w:rFonts w:ascii="calibri" w:hAnsi="calibri" w:cs="calibri" w:eastAsia="calibri"/>
              </w:rPr>
              <w:t>20</w:t>
            </w:r>
            <w:r>
              <w:rPr>
                <w:rFonts w:ascii="宋体" w:hAnsi="宋体" w:cs="宋体" w:eastAsia="宋体"/>
              </w:rPr>
              <w:t>％。</w:t>
            </w:r>
          </w:p>
          <w:p>
            <w:pPr>
              <w:pStyle w:val="null3"/>
              <w:ind w:firstLine="480"/>
              <w:jc w:val="both"/>
            </w:pPr>
            <w:r>
              <w:rPr>
                <w:rFonts w:ascii="calibri" w:hAnsi="calibri" w:cs="calibri" w:eastAsia="calibri"/>
              </w:rPr>
              <w:t>2.</w:t>
            </w:r>
            <w:r>
              <w:rPr>
                <w:rFonts w:ascii="宋体" w:hAnsi="宋体" w:cs="宋体" w:eastAsia="宋体"/>
              </w:rPr>
              <w:t>服务周期：服务周期不小于</w:t>
            </w:r>
            <w:r>
              <w:rPr>
                <w:rFonts w:ascii="calibri" w:hAnsi="calibri" w:cs="calibri" w:eastAsia="calibri"/>
              </w:rPr>
              <w:t>3</w:t>
            </w:r>
            <w:r>
              <w:rPr>
                <w:rFonts w:ascii="宋体" w:hAnsi="宋体" w:cs="宋体" w:eastAsia="宋体"/>
              </w:rPr>
              <w:t>年，最终</w:t>
            </w:r>
            <w:r>
              <w:rPr>
                <w:rFonts w:ascii="宋体" w:hAnsi="宋体" w:cs="宋体" w:eastAsia="宋体"/>
              </w:rPr>
              <w:t>服务周期</w:t>
            </w:r>
            <w:r>
              <w:rPr>
                <w:rFonts w:ascii="宋体" w:hAnsi="宋体" w:cs="宋体" w:eastAsia="宋体"/>
              </w:rPr>
              <w:t>限以完成并提供本次试验研究成果文件以及满足招标人实际需求为准。</w:t>
            </w:r>
          </w:p>
          <w:p>
            <w:pPr>
              <w:pStyle w:val="null3"/>
              <w:jc w:val="both"/>
            </w:pPr>
            <w:r>
              <w:rPr>
                <w:rFonts w:ascii="calibri" w:hAnsi="calibri" w:cs="calibri" w:eastAsia="calibri"/>
                <w:sz w:val="21"/>
              </w:rPr>
              <w:t>3.</w:t>
            </w:r>
            <w:r>
              <w:rPr>
                <w:rFonts w:ascii="宋体" w:hAnsi="宋体" w:cs="宋体" w:eastAsia="宋体"/>
                <w:sz w:val="21"/>
              </w:rPr>
              <w:t>实施地点：秦始皇帝陵博物院。</w:t>
            </w:r>
          </w:p>
        </w:tc>
      </w:tr>
    </w:tbl>
    <w:p>
      <w:pPr>
        <w:pStyle w:val="null3"/>
        <w:outlineLvl w:val="2"/>
      </w:pPr>
      <w:r>
        <w:rPr>
          <w:sz w:val="28"/>
          <w:b/>
        </w:rPr>
        <w:t>3.2.3人员配置要求</w:t>
      </w:r>
    </w:p>
    <w:p>
      <w:pPr>
        <w:pStyle w:val="null3"/>
      </w:pPr>
      <w:r>
        <w:rPr/>
        <w:t>采购包1：</w:t>
      </w:r>
    </w:p>
    <w:p>
      <w:pPr>
        <w:pStyle w:val="null3"/>
      </w:pPr>
      <w:r>
        <w:rPr/>
        <w:t>达到服务要求所必须的人员</w:t>
      </w:r>
    </w:p>
    <w:p>
      <w:pPr>
        <w:pStyle w:val="null3"/>
        <w:outlineLvl w:val="2"/>
      </w:pPr>
      <w:r>
        <w:rPr>
          <w:sz w:val="28"/>
          <w:b/>
        </w:rPr>
        <w:t>3.2.4设施设备要求</w:t>
      </w:r>
    </w:p>
    <w:p>
      <w:pPr>
        <w:pStyle w:val="null3"/>
      </w:pPr>
      <w:r>
        <w:rPr/>
        <w:t>采购包1：</w:t>
      </w:r>
    </w:p>
    <w:p>
      <w:pPr>
        <w:pStyle w:val="null3"/>
      </w:pPr>
      <w:r>
        <w:rPr/>
        <w:t>达到服务要求所必须的设备</w:t>
      </w:r>
    </w:p>
    <w:p>
      <w:pPr>
        <w:pStyle w:val="null3"/>
        <w:outlineLvl w:val="2"/>
      </w:pPr>
      <w:r>
        <w:rPr>
          <w:sz w:val="28"/>
          <w:b/>
        </w:rPr>
        <w:t>3.2.5其他要求</w:t>
      </w:r>
    </w:p>
    <w:p>
      <w:pPr>
        <w:pStyle w:val="null3"/>
      </w:pPr>
      <w:r>
        <w:rPr/>
        <w:t>采购包1：</w:t>
      </w:r>
    </w:p>
    <w:p>
      <w:pPr>
        <w:pStyle w:val="null3"/>
      </w:pPr>
      <w:r>
        <w:rPr/>
        <w:t>详见服务要求</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服务周期不小于3年，最终服务周期限以完成并提供本次试验研究成果文件以及满足招标人实际需求为准。</w:t>
      </w:r>
    </w:p>
    <w:p>
      <w:pPr>
        <w:pStyle w:val="null3"/>
        <w:outlineLvl w:val="3"/>
      </w:pPr>
      <w:r>
        <w:rPr>
          <w:sz w:val="24"/>
          <w:b/>
        </w:rPr>
        <w:t>3.3.2服务地点</w:t>
      </w:r>
    </w:p>
    <w:p>
      <w:pPr>
        <w:pStyle w:val="null3"/>
      </w:pPr>
      <w:r>
        <w:rPr/>
        <w:t>采购包1：</w:t>
      </w:r>
    </w:p>
    <w:p>
      <w:pPr>
        <w:pStyle w:val="null3"/>
      </w:pPr>
      <w:r>
        <w:rPr/>
        <w:t>秦始皇帝陵博物院</w:t>
      </w:r>
    </w:p>
    <w:p>
      <w:pPr>
        <w:pStyle w:val="null3"/>
        <w:outlineLvl w:val="3"/>
      </w:pPr>
      <w:r>
        <w:rPr>
          <w:sz w:val="24"/>
          <w:b/>
        </w:rPr>
        <w:t>3.3.3考核（验收）标准和方法</w:t>
      </w:r>
    </w:p>
    <w:p>
      <w:pPr>
        <w:pStyle w:val="null3"/>
      </w:pPr>
      <w:r>
        <w:rPr/>
        <w:t>采购包1：</w:t>
      </w:r>
    </w:p>
    <w:p>
      <w:pPr>
        <w:pStyle w:val="null3"/>
      </w:pPr>
      <w:r>
        <w:rPr/>
        <w:t>详见合同文本</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合同生效后支付</w:t>
      </w:r>
      <w:r>
        <w:rPr/>
        <w:t xml:space="preserve"> ，达到付款条件起 </w:t>
      </w:r>
      <w:r>
        <w:rPr/>
        <w:t>7</w:t>
      </w:r>
      <w:r>
        <w:rPr/>
        <w:t xml:space="preserve"> 日内，支付合同总金额的 </w:t>
      </w:r>
      <w:r>
        <w:rPr/>
        <w:t>50.00</w:t>
      </w:r>
      <w:r>
        <w:rPr/>
        <w:t>%。</w:t>
      </w:r>
    </w:p>
    <w:p>
      <w:pPr>
        <w:pStyle w:val="null3"/>
      </w:pPr>
      <w:r>
        <w:rPr/>
        <w:t>采购包1：</w:t>
      </w:r>
      <w:r>
        <w:rPr/>
        <w:t xml:space="preserve"> 付款条件说明： </w:t>
      </w:r>
      <w:r>
        <w:rPr/>
        <w:t>最终完成并提交本次试验研究成果文件后支付</w:t>
      </w:r>
      <w:r>
        <w:rPr/>
        <w:t xml:space="preserve"> ，达到付款条件起 </w:t>
      </w:r>
      <w:r>
        <w:rPr/>
        <w:t>7</w:t>
      </w:r>
      <w:r>
        <w:rPr/>
        <w:t xml:space="preserve"> 日内，支付合同总金额的 </w:t>
      </w:r>
      <w:r>
        <w:rPr/>
        <w:t>30.00</w:t>
      </w:r>
      <w:r>
        <w:rPr/>
        <w:t>%。</w:t>
      </w:r>
    </w:p>
    <w:p>
      <w:pPr>
        <w:pStyle w:val="null3"/>
      </w:pPr>
      <w:r>
        <w:rPr/>
        <w:t>采购包1：</w:t>
      </w:r>
      <w:r>
        <w:rPr/>
        <w:t xml:space="preserve"> 付款条件说明： </w:t>
      </w:r>
      <w:r>
        <w:rPr/>
        <w:t>本次试验研究成果文件满足实际需求的资料后支付</w:t>
      </w:r>
      <w:r>
        <w:rPr/>
        <w:t xml:space="preserve"> ，达到付款条件起 </w:t>
      </w:r>
      <w:r>
        <w:rPr/>
        <w:t>7</w:t>
      </w:r>
      <w:r>
        <w:rPr/>
        <w:t xml:space="preserve"> 日内，支付合同总金额的 </w:t>
      </w:r>
      <w:r>
        <w:rPr/>
        <w:t>20.00</w:t>
      </w:r>
      <w:r>
        <w:rPr/>
        <w:t>%。</w:t>
      </w:r>
    </w:p>
    <w:p>
      <w:pPr>
        <w:pStyle w:val="null3"/>
        <w:outlineLvl w:val="3"/>
      </w:pPr>
      <w:r>
        <w:rPr>
          <w:sz w:val="24"/>
          <w:b/>
        </w:rPr>
        <w:t>3.3.6违约责任及解决争议的方法</w:t>
      </w:r>
    </w:p>
    <w:p>
      <w:pPr>
        <w:pStyle w:val="null3"/>
      </w:pPr>
      <w:r>
        <w:rPr/>
        <w:t>采购包1：</w:t>
      </w:r>
    </w:p>
    <w:p>
      <w:pPr>
        <w:pStyle w:val="null3"/>
      </w:pPr>
      <w:r>
        <w:rPr/>
        <w:t>详见合同文本</w:t>
      </w:r>
    </w:p>
    <w:p>
      <w:pPr>
        <w:pStyle w:val="null3"/>
        <w:outlineLvl w:val="2"/>
      </w:pPr>
      <w:r>
        <w:rPr>
          <w:sz w:val="28"/>
          <w:b/>
        </w:rPr>
        <w:t>3.4其他要求</w:t>
      </w:r>
    </w:p>
    <w:p>
      <w:pPr>
        <w:pStyle w:val="null3"/>
      </w:pPr>
      <w:r>
        <w:rPr/>
        <w:t>无</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2、具有良好的商业信誉和健全的财务会计制度（提供2023年度财务审计报告或开标前6个月内银行资信证明或财政部门认可的政府采购专业担保机构出具的投标担保函）； 3、具有履行合同所必需的设备和专业技术能力的书面声明（格式详见附件）； 4、具有依法缴纳税收和社会保障资金的良好记录（提供开标前12个月内任一月份的社保和缴纳税收的证明，依法不需要缴纳社会保障资金、免税或无须缴纳税款的供应商，应提供相关证明文件)； 5、参加政府采购活动前 3 年内在经营活动中没有重大违法记录的书面声明（格式详见附件）。供应商需在项目电子化交易系统中按要求上传相应证明文件并进行电子签章。</w:t>
            </w:r>
          </w:p>
        </w:tc>
        <w:tc>
          <w:tcPr>
            <w:tcW w:type="dxa" w:w="1661"/>
          </w:tcPr>
          <w:p>
            <w:pPr>
              <w:pStyle w:val="null3"/>
            </w:pPr>
            <w:r>
              <w:rPr/>
              <w:t>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响应文件封面 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资格证明文件 拒绝商业贿赂承诺书 其他证明文件 供应商诚信承诺书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法定代表人直接参加投标的，须出具身份证，并与营业执照上信息一致；法定代表人或授权代表参加投标的，须出具法定代表人授权书及授权代表身份证；</w:t>
            </w:r>
          </w:p>
        </w:tc>
        <w:tc>
          <w:tcPr>
            <w:tcW w:type="dxa" w:w="3322"/>
          </w:tcPr>
          <w:p>
            <w:pPr>
              <w:pStyle w:val="null3"/>
            </w:pPr>
            <w:r>
              <w:rPr/>
              <w:t>法定代表人直接参加投标的，须出具身份证，并与营业执照上信息一致；法定代表人或授权代表参加投标的，须出具法定代表人授权书及授权代表身份证；供应商需在项目电子化交易系统中按要求上传相应证明文件并进行电子签章。</w:t>
            </w:r>
          </w:p>
        </w:tc>
        <w:tc>
          <w:tcPr>
            <w:tcW w:type="dxa" w:w="1661"/>
          </w:tcPr>
          <w:p>
            <w:pPr>
              <w:pStyle w:val="null3"/>
            </w:pPr>
            <w:r>
              <w:rPr/>
              <w:t>响应文件封面 资格证明文件</w:t>
            </w:r>
          </w:p>
        </w:tc>
      </w:tr>
      <w:tr>
        <w:tc>
          <w:tcPr>
            <w:tcW w:type="dxa" w:w="831"/>
          </w:tcPr>
          <w:p>
            <w:pPr>
              <w:pStyle w:val="null3"/>
            </w:pPr>
            <w:r>
              <w:rPr/>
              <w:t>2</w:t>
            </w:r>
          </w:p>
        </w:tc>
        <w:tc>
          <w:tcPr>
            <w:tcW w:type="dxa" w:w="2492"/>
          </w:tcPr>
          <w:p>
            <w:pPr>
              <w:pStyle w:val="null3"/>
            </w:pPr>
            <w:r>
              <w:rPr/>
              <w:t>企业资质</w:t>
            </w:r>
          </w:p>
        </w:tc>
        <w:tc>
          <w:tcPr>
            <w:tcW w:type="dxa" w:w="3322"/>
          </w:tcPr>
          <w:p>
            <w:pPr>
              <w:pStyle w:val="null3"/>
            </w:pPr>
            <w:r>
              <w:rPr/>
              <w:t>具有国家文物行政主管部门核发的文物保护工程勘察设计甲级资质（业务范围包含：古文化遗址古墓葬保护）；</w:t>
            </w:r>
          </w:p>
        </w:tc>
        <w:tc>
          <w:tcPr>
            <w:tcW w:type="dxa" w:w="1661"/>
          </w:tcPr>
          <w:p>
            <w:pPr>
              <w:pStyle w:val="null3"/>
            </w:pPr>
            <w:r>
              <w:rPr/>
              <w:t>响应文件封面 资格证明文件</w:t>
            </w:r>
          </w:p>
        </w:tc>
      </w:tr>
      <w:tr>
        <w:tc>
          <w:tcPr>
            <w:tcW w:type="dxa" w:w="831"/>
          </w:tcPr>
          <w:p>
            <w:pPr>
              <w:pStyle w:val="null3"/>
            </w:pPr>
            <w:r>
              <w:rPr/>
              <w:t>3</w:t>
            </w:r>
          </w:p>
        </w:tc>
        <w:tc>
          <w:tcPr>
            <w:tcW w:type="dxa" w:w="2492"/>
          </w:tcPr>
          <w:p>
            <w:pPr>
              <w:pStyle w:val="null3"/>
            </w:pPr>
            <w:r>
              <w:rPr/>
              <w:t>企业关系</w:t>
            </w:r>
          </w:p>
        </w:tc>
        <w:tc>
          <w:tcPr>
            <w:tcW w:type="dxa" w:w="3322"/>
          </w:tcPr>
          <w:p>
            <w:pPr>
              <w:pStyle w:val="null3"/>
            </w:pPr>
            <w:r>
              <w:rPr/>
              <w:t>单位负责人为同一人或存在控股、管理关系不同单位不得同时参加本次投标活动。</w:t>
            </w:r>
          </w:p>
        </w:tc>
        <w:tc>
          <w:tcPr>
            <w:tcW w:type="dxa" w:w="1661"/>
          </w:tcPr>
          <w:p>
            <w:pPr>
              <w:pStyle w:val="null3"/>
            </w:pPr>
            <w:r>
              <w:rPr/>
              <w:t>资格证明文件 响应函</w:t>
            </w:r>
          </w:p>
        </w:tc>
      </w:tr>
      <w:tr>
        <w:tc>
          <w:tcPr>
            <w:tcW w:type="dxa" w:w="831"/>
          </w:tcPr>
          <w:p>
            <w:pPr>
              <w:pStyle w:val="null3"/>
            </w:pPr>
            <w:r>
              <w:rPr/>
              <w:t>4</w:t>
            </w:r>
          </w:p>
        </w:tc>
        <w:tc>
          <w:tcPr>
            <w:tcW w:type="dxa" w:w="2492"/>
          </w:tcPr>
          <w:p>
            <w:pPr>
              <w:pStyle w:val="null3"/>
            </w:pPr>
            <w:r>
              <w:rPr/>
              <w:t>本项目不接受联合体磋商</w:t>
            </w:r>
          </w:p>
        </w:tc>
        <w:tc>
          <w:tcPr>
            <w:tcW w:type="dxa" w:w="3322"/>
          </w:tcPr>
          <w:p>
            <w:pPr>
              <w:pStyle w:val="null3"/>
            </w:pPr>
            <w:r>
              <w:rPr/>
              <w:t>本项目不接受联合体磋商。供应商需在项目电子化交易系统中按要求填写《投标函》完成承诺并进行电子签章。</w:t>
            </w:r>
          </w:p>
        </w:tc>
        <w:tc>
          <w:tcPr>
            <w:tcW w:type="dxa" w:w="1661"/>
          </w:tcPr>
          <w:p>
            <w:pPr>
              <w:pStyle w:val="null3"/>
            </w:pPr>
            <w:r>
              <w:rPr/>
              <w:t>资格证明文件 响应函</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服务周期是否响应</w:t>
            </w:r>
          </w:p>
        </w:tc>
        <w:tc>
          <w:tcPr>
            <w:tcW w:type="dxa" w:w="3322"/>
          </w:tcPr>
          <w:p>
            <w:pPr>
              <w:pStyle w:val="null3"/>
            </w:pPr>
            <w:r>
              <w:rPr/>
              <w:t>服务周期是否按磋商文件要求响应</w:t>
            </w:r>
          </w:p>
        </w:tc>
        <w:tc>
          <w:tcPr>
            <w:tcW w:type="dxa" w:w="1661"/>
          </w:tcPr>
          <w:p>
            <w:pPr>
              <w:pStyle w:val="null3"/>
            </w:pPr>
            <w:r>
              <w:rPr/>
              <w:t>响应文件封面 商务及服务要求偏离表</w:t>
            </w:r>
          </w:p>
        </w:tc>
      </w:tr>
      <w:tr>
        <w:tc>
          <w:tcPr>
            <w:tcW w:type="dxa" w:w="831"/>
          </w:tcPr>
          <w:p>
            <w:pPr>
              <w:pStyle w:val="null3"/>
            </w:pPr>
            <w:r>
              <w:rPr/>
              <w:t>3</w:t>
            </w:r>
          </w:p>
        </w:tc>
        <w:tc>
          <w:tcPr>
            <w:tcW w:type="dxa" w:w="2492"/>
          </w:tcPr>
          <w:p>
            <w:pPr>
              <w:pStyle w:val="null3"/>
            </w:pPr>
            <w:r>
              <w:rPr/>
              <w:t>付款方式是否响应</w:t>
            </w:r>
          </w:p>
        </w:tc>
        <w:tc>
          <w:tcPr>
            <w:tcW w:type="dxa" w:w="3322"/>
          </w:tcPr>
          <w:p>
            <w:pPr>
              <w:pStyle w:val="null3"/>
            </w:pPr>
            <w:r>
              <w:rPr/>
              <w:t>付款方式是否响应磋商文件的要求</w:t>
            </w:r>
          </w:p>
        </w:tc>
        <w:tc>
          <w:tcPr>
            <w:tcW w:type="dxa" w:w="1661"/>
          </w:tcPr>
          <w:p>
            <w:pPr>
              <w:pStyle w:val="null3"/>
            </w:pPr>
            <w:r>
              <w:rPr/>
              <w:t>响应文件封面 商务及服务要求偏离表</w:t>
            </w:r>
          </w:p>
        </w:tc>
      </w:tr>
      <w:tr>
        <w:tc>
          <w:tcPr>
            <w:tcW w:type="dxa" w:w="831"/>
          </w:tcPr>
          <w:p>
            <w:pPr>
              <w:pStyle w:val="null3"/>
            </w:pPr>
            <w:r>
              <w:rPr/>
              <w:t>4</w:t>
            </w:r>
          </w:p>
        </w:tc>
        <w:tc>
          <w:tcPr>
            <w:tcW w:type="dxa" w:w="2492"/>
          </w:tcPr>
          <w:p>
            <w:pPr>
              <w:pStyle w:val="null3"/>
            </w:pPr>
            <w:r>
              <w:rPr/>
              <w:t>有效期是否响应</w:t>
            </w:r>
          </w:p>
        </w:tc>
        <w:tc>
          <w:tcPr>
            <w:tcW w:type="dxa" w:w="3322"/>
          </w:tcPr>
          <w:p>
            <w:pPr>
              <w:pStyle w:val="null3"/>
            </w:pPr>
            <w:r>
              <w:rPr/>
              <w:t>有效期是否响应磋商文件的要求</w:t>
            </w:r>
          </w:p>
        </w:tc>
        <w:tc>
          <w:tcPr>
            <w:tcW w:type="dxa" w:w="1661"/>
          </w:tcPr>
          <w:p>
            <w:pPr>
              <w:pStyle w:val="null3"/>
            </w:pPr>
            <w:r>
              <w:rPr/>
              <w:t>响应文件封面 商务及服务要求偏离表</w:t>
            </w:r>
          </w:p>
        </w:tc>
      </w:tr>
      <w:tr>
        <w:tc>
          <w:tcPr>
            <w:tcW w:type="dxa" w:w="831"/>
          </w:tcPr>
          <w:p>
            <w:pPr>
              <w:pStyle w:val="null3"/>
            </w:pPr>
            <w:r>
              <w:rPr/>
              <w:t>5</w:t>
            </w:r>
          </w:p>
        </w:tc>
        <w:tc>
          <w:tcPr>
            <w:tcW w:type="dxa" w:w="2492"/>
          </w:tcPr>
          <w:p>
            <w:pPr>
              <w:pStyle w:val="null3"/>
            </w:pPr>
            <w:r>
              <w:rPr/>
              <w:t>磋商报价是否超过采购预算或最高限价</w:t>
            </w:r>
          </w:p>
        </w:tc>
        <w:tc>
          <w:tcPr>
            <w:tcW w:type="dxa" w:w="3322"/>
          </w:tcPr>
          <w:p>
            <w:pPr>
              <w:pStyle w:val="null3"/>
            </w:pPr>
            <w:r>
              <w:rPr/>
              <w:t>磋商报价是否超过采购预算或最高限价</w:t>
            </w:r>
          </w:p>
        </w:tc>
        <w:tc>
          <w:tcPr>
            <w:tcW w:type="dxa" w:w="1661"/>
          </w:tcPr>
          <w:p>
            <w:pPr>
              <w:pStyle w:val="null3"/>
            </w:pPr>
            <w:r>
              <w:rPr/>
              <w:t>响应文件封面 商务及服务要求偏离表</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项目理解</w:t>
            </w:r>
          </w:p>
        </w:tc>
        <w:tc>
          <w:tcPr>
            <w:tcW w:type="dxa" w:w="2492"/>
          </w:tcPr>
          <w:p>
            <w:pPr>
              <w:pStyle w:val="null3"/>
            </w:pPr>
            <w:r>
              <w:rPr/>
              <w:t>供应商根据自身对本次采购需求的解读，提供项目的整体方案，结合相关技术支持材料，横向比较，自主排序赋分： 工作思路清晰，工作计划科学合理，方案编写规范，逻辑完整；技术服务内容细致全面，方案针对性强，贴合采购人需求；数据整理工作严谨，保证数据的真实性和原始性，得8分； 工作思路较清晰，工作计划合理，方案编写较规范；技术支持服务较全面，方案基本符合要求；数据整理工作较严谨，能够一定程度上保证数据的真实性和原始性，得4分； 工作思路简单，工作计划普遍，方案编写能力一般；技术支持服务内容未涵盖完全，方案针对性不强；数据整理工作能力未有效体现，得2分。 不满足要求或未提供得0分。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总体方案</w:t>
            </w:r>
          </w:p>
        </w:tc>
        <w:tc>
          <w:tcPr>
            <w:tcW w:type="dxa" w:w="2492"/>
          </w:tcPr>
          <w:p>
            <w:pPr>
              <w:pStyle w:val="null3"/>
            </w:pPr>
            <w:r>
              <w:rPr/>
              <w:t>工作思路清晰，工作计划科学合理，方案编写规范，逻辑完整；技术服务内容细致全面，方案针对性强，贴合采购人需求；数据整理工作严谨，保证数据的真实性和原始性，得8分； 工作思路较清晰，工作计划合理，方案编写较规范；技术支持服务较全面，方案基本符合要求；数据整理工作较严谨，能够一定程度上保证数据的真实性和原始性，得4分； 工作思路简单，工作计划普遍，方案编写能力一般；技术支持服务内容未涵盖完全，方案针对性不强；数据整理工作能力未有效体现，得2分。 不满足要求或未提供得0分。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实施方案</w:t>
            </w:r>
          </w:p>
        </w:tc>
        <w:tc>
          <w:tcPr>
            <w:tcW w:type="dxa" w:w="2492"/>
          </w:tcPr>
          <w:p>
            <w:pPr>
              <w:pStyle w:val="null3"/>
            </w:pPr>
            <w:r>
              <w:rPr/>
              <w:t>提供实施目标、质量标准和达到的最终成果，包括但不限于具体可行详细的勘察和设计保证措施、管理流程、规章制度等。 实施方案内容齐全、内容可行得6分； 实施方案内容较齐全、内容基本可行得4分； 实施方案内容较齐全、内容部分可行得2分； 不满足要求或未提供得0分。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服务计划</w:t>
            </w:r>
          </w:p>
        </w:tc>
        <w:tc>
          <w:tcPr>
            <w:tcW w:type="dxa" w:w="2492"/>
          </w:tcPr>
          <w:p>
            <w:pPr>
              <w:pStyle w:val="null3"/>
            </w:pPr>
            <w:r>
              <w:rPr/>
              <w:t>提供环境监测与研究等内容计划 环境监测与研究等内容计划完善、内容可行得6分； 环境监测与研究等内容计划较完善、内容基本可行得4分； 环境监测与研究等内容计划较完善、内容部分可行得2分； 不满足要求或未提供得0分。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质量保证措施</w:t>
            </w:r>
          </w:p>
        </w:tc>
        <w:tc>
          <w:tcPr>
            <w:tcW w:type="dxa" w:w="2492"/>
          </w:tcPr>
          <w:p>
            <w:pPr>
              <w:pStyle w:val="null3"/>
            </w:pPr>
            <w:r>
              <w:rPr/>
              <w:t>供应商根据运行实际情况，制定合理可行的质量保障措施。 质量保障措施合理，实际项目情况了解得6分； 质量保证措施较合理，基本了解项目实际情况得4分； 质量保证措施较合理，部分了解项目实际情况得2分； 不满足要求或未提供得0分。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突发事件的解决方案</w:t>
            </w:r>
          </w:p>
        </w:tc>
        <w:tc>
          <w:tcPr>
            <w:tcW w:type="dxa" w:w="2492"/>
          </w:tcPr>
          <w:p>
            <w:pPr>
              <w:pStyle w:val="null3"/>
            </w:pPr>
            <w:r>
              <w:rPr/>
              <w:t>根据供应商突发性应急事件解决方案和解决措施； 方案和解决措施内容齐全，满足项目实际要求得6分； 方案和解决措施内容较齐全，基本满足项目实际要求得4分； 方案和解决措施内容较齐全，部分满足项目实际要求得2分； 不满足要求或未提供得0分。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主持项目</w:t>
            </w:r>
          </w:p>
        </w:tc>
        <w:tc>
          <w:tcPr>
            <w:tcW w:type="dxa" w:w="2492"/>
          </w:tcPr>
          <w:p>
            <w:pPr>
              <w:pStyle w:val="null3"/>
            </w:pPr>
            <w:r>
              <w:rPr/>
              <w:t>1.拟配置的服务团队的成员参与同类项目，每个项目3分，满分9分，没有的不得分； 注：提供承担项目名称、主持人、项目编号、任务书或结项证明，以上材料均提供复印件并加盖单位公章，不提供不得分。</w:t>
            </w:r>
          </w:p>
        </w:tc>
        <w:tc>
          <w:tcPr>
            <w:tcW w:type="dxa" w:w="831"/>
          </w:tcPr>
          <w:p>
            <w:pPr>
              <w:pStyle w:val="null3"/>
              <w:jc w:val="right"/>
            </w:pPr>
            <w:r>
              <w:rPr/>
              <w:t>9.0000</w:t>
            </w:r>
          </w:p>
        </w:tc>
        <w:tc>
          <w:tcPr>
            <w:tcW w:type="dxa" w:w="831"/>
          </w:tcPr>
          <w:p>
            <w:pPr>
              <w:pStyle w:val="null3"/>
            </w:pPr>
            <w:r>
              <w:rPr/>
              <w:t>客观</w:t>
            </w:r>
          </w:p>
        </w:tc>
        <w:tc>
          <w:tcPr>
            <w:tcW w:type="dxa" w:w="1661"/>
          </w:tcPr>
          <w:p>
            <w:pPr>
              <w:pStyle w:val="null3"/>
            </w:pPr>
            <w:r>
              <w:rPr/>
              <w:t>服务方案</w:t>
            </w:r>
          </w:p>
        </w:tc>
      </w:tr>
      <w:tr>
        <w:tc>
          <w:tcPr>
            <w:tcW w:type="dxa" w:w="831"/>
            <w:vMerge/>
          </w:tcPr>
          <w:p/>
        </w:tc>
        <w:tc>
          <w:tcPr>
            <w:tcW w:type="dxa" w:w="1661"/>
          </w:tcPr>
          <w:p>
            <w:pPr>
              <w:pStyle w:val="null3"/>
            </w:pPr>
            <w:r>
              <w:rPr/>
              <w:t>人员配备</w:t>
            </w:r>
          </w:p>
        </w:tc>
        <w:tc>
          <w:tcPr>
            <w:tcW w:type="dxa" w:w="2492"/>
          </w:tcPr>
          <w:p>
            <w:pPr>
              <w:pStyle w:val="null3"/>
            </w:pPr>
            <w:r>
              <w:rPr/>
              <w:t>1、项目负责人：具有文博类或工程类副高级技术职称得1分，具有文博类或工程类正高或研究员技术职称得3分。本项满分3分。 2、技术负责人：具有文博类或工程类副高级技术职称得1分，具有文博类或工程类正高或研究员技术职称得3分。本项满分3分。 3、其他人员：每配备一名文物保护工程责任设计师得2分，本项满分8分。</w:t>
            </w:r>
          </w:p>
        </w:tc>
        <w:tc>
          <w:tcPr>
            <w:tcW w:type="dxa" w:w="831"/>
          </w:tcPr>
          <w:p>
            <w:pPr>
              <w:pStyle w:val="null3"/>
              <w:jc w:val="right"/>
            </w:pPr>
            <w:r>
              <w:rPr/>
              <w:t>14.0000</w:t>
            </w:r>
          </w:p>
        </w:tc>
        <w:tc>
          <w:tcPr>
            <w:tcW w:type="dxa" w:w="831"/>
          </w:tcPr>
          <w:p>
            <w:pPr>
              <w:pStyle w:val="null3"/>
            </w:pPr>
            <w:r>
              <w:rPr/>
              <w:t>客观</w:t>
            </w:r>
          </w:p>
        </w:tc>
        <w:tc>
          <w:tcPr>
            <w:tcW w:type="dxa" w:w="1661"/>
          </w:tcPr>
          <w:p>
            <w:pPr>
              <w:pStyle w:val="null3"/>
            </w:pPr>
            <w:r>
              <w:rPr/>
              <w:t>服务方案</w:t>
            </w:r>
          </w:p>
          <w:p>
            <w:pPr>
              <w:pStyle w:val="null3"/>
            </w:pPr>
            <w:r>
              <w:rPr/>
              <w:t>拟投入本项目的人员</w:t>
            </w:r>
          </w:p>
        </w:tc>
      </w:tr>
      <w:tr>
        <w:tc>
          <w:tcPr>
            <w:tcW w:type="dxa" w:w="831"/>
            <w:vMerge/>
          </w:tcPr>
          <w:p/>
        </w:tc>
        <w:tc>
          <w:tcPr>
            <w:tcW w:type="dxa" w:w="1661"/>
          </w:tcPr>
          <w:p>
            <w:pPr>
              <w:pStyle w:val="null3"/>
            </w:pPr>
            <w:r>
              <w:rPr/>
              <w:t>服务承诺</w:t>
            </w:r>
          </w:p>
        </w:tc>
        <w:tc>
          <w:tcPr>
            <w:tcW w:type="dxa" w:w="2492"/>
          </w:tcPr>
          <w:p>
            <w:pPr>
              <w:pStyle w:val="null3"/>
            </w:pPr>
            <w:r>
              <w:rPr/>
              <w:t>针对本次服务所提供的勘察设计研究方案，该方案在实施后对文物及周围环境无负面影响的承诺； 服务承诺针对采购需求有具体的承诺，内容齐全得6分； 服务承诺针对采购需求有承诺，内容齐全得4分； 服务承诺针对采购需求有承诺，内容部分齐全得2分； 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重难点分析及合理化建议</w:t>
            </w:r>
          </w:p>
        </w:tc>
        <w:tc>
          <w:tcPr>
            <w:tcW w:type="dxa" w:w="2492"/>
          </w:tcPr>
          <w:p>
            <w:pPr>
              <w:pStyle w:val="null3"/>
            </w:pPr>
            <w:r>
              <w:rPr/>
              <w:t>供应商提供本项目重难点分析及合理化建议。 提供3条以上关于本项目建议且与本项目实际相关联得6分； 提供2条关于本项目建议且与本项目实际相关联得4分； 提供1条关于本项目建议且与本项目实际相关联得2分； 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投标人自2018年01月01日至投标截止时间以来具有1个已完成或新承接或正在实施的古文化遗址保护类的试验研究类似业绩得5分，每增加1个上述类似业绩加5分。本项满分15分。</w:t>
            </w:r>
          </w:p>
        </w:tc>
        <w:tc>
          <w:tcPr>
            <w:tcW w:type="dxa" w:w="831"/>
          </w:tcPr>
          <w:p>
            <w:pPr>
              <w:pStyle w:val="null3"/>
              <w:jc w:val="right"/>
            </w:pPr>
            <w:r>
              <w:rPr/>
              <w:t>15.0000</w:t>
            </w:r>
          </w:p>
        </w:tc>
        <w:tc>
          <w:tcPr>
            <w:tcW w:type="dxa" w:w="831"/>
          </w:tcPr>
          <w:p>
            <w:pPr>
              <w:pStyle w:val="null3"/>
            </w:pPr>
            <w:r>
              <w:rPr/>
              <w:t>客观</w:t>
            </w:r>
          </w:p>
        </w:tc>
        <w:tc>
          <w:tcPr>
            <w:tcW w:type="dxa" w:w="1661"/>
          </w:tcPr>
          <w:p>
            <w:pPr>
              <w:pStyle w:val="null3"/>
            </w:pPr>
            <w:r>
              <w:rPr/>
              <w:t>服务方案</w:t>
            </w:r>
          </w:p>
          <w:p>
            <w:pPr>
              <w:pStyle w:val="null3"/>
            </w:pPr>
            <w:r>
              <w:rPr/>
              <w:t>项目业绩一览表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采用低价优先法计算，即满足磋商文件要求且磋商价格最低的磋商报价为评审基准价，其价格分为满分。其他供应商的价格分统一按照下列公式计算：磋商报价得分=（评标基准价/磋商评审价）×价格权值%×100（专门面向中小企业采购的项目或采购包，不再执行价格评审优惠的扶持政策）</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详见附件：资格证明文件</w:t>
      </w:r>
    </w:p>
    <w:p>
      <w:pPr>
        <w:pStyle w:val="null3"/>
        <w:ind w:firstLine="960"/>
      </w:pPr>
      <w:r>
        <w:rPr/>
        <w:t>详见附件：项目业绩一览表</w:t>
      </w:r>
    </w:p>
    <w:p>
      <w:pPr>
        <w:pStyle w:val="null3"/>
        <w:ind w:firstLine="960"/>
      </w:pPr>
      <w:r>
        <w:rPr/>
        <w:t>详见附件：拟投入本项目的人员</w:t>
      </w:r>
    </w:p>
    <w:p>
      <w:pPr>
        <w:pStyle w:val="null3"/>
        <w:ind w:firstLine="960"/>
      </w:pPr>
      <w:r>
        <w:rPr/>
        <w:t>详见附件：商务及服务要求偏离表</w:t>
      </w:r>
    </w:p>
    <w:p>
      <w:pPr>
        <w:pStyle w:val="null3"/>
        <w:ind w:firstLine="960"/>
      </w:pPr>
      <w:r>
        <w:rPr/>
        <w:t>详见附件：供应商诚信承诺书</w:t>
      </w:r>
    </w:p>
    <w:p>
      <w:pPr>
        <w:pStyle w:val="null3"/>
        <w:ind w:firstLine="960"/>
      </w:pPr>
      <w:r>
        <w:rPr/>
        <w:t>详见附件：拒绝商业贿赂承诺书</w:t>
      </w:r>
    </w:p>
    <w:p>
      <w:pPr>
        <w:pStyle w:val="null3"/>
        <w:ind w:firstLine="960"/>
      </w:pPr>
      <w:r>
        <w:rPr/>
        <w:t>详见附件：其他证明文件</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详见附件：秦始皇兵马俑三号坑遗址综合保护研究项目合同模版.docx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