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67BDC">
      <w:pPr>
        <w:adjustRightInd w:val="0"/>
        <w:spacing w:line="360" w:lineRule="auto"/>
        <w:jc w:val="center"/>
        <w:rPr>
          <w:rFonts w:ascii="宋体" w:hAnsi="宋体" w:eastAsia="宋体" w:cs="宋体"/>
          <w:kern w:val="21"/>
          <w:sz w:val="36"/>
          <w:szCs w:val="36"/>
        </w:rPr>
      </w:pPr>
      <w:r>
        <w:rPr>
          <w:rFonts w:hint="eastAsia" w:ascii="宋体" w:hAnsi="宋体" w:eastAsia="宋体" w:cs="宋体"/>
          <w:kern w:val="21"/>
          <w:sz w:val="24"/>
        </w:rPr>
        <w:t>仪器设备类采购合同示范文本</w:t>
      </w:r>
    </w:p>
    <w:p w14:paraId="527EB4B8">
      <w:pPr>
        <w:spacing w:line="360" w:lineRule="auto"/>
        <w:ind w:firstLine="480" w:firstLineChars="200"/>
        <w:rPr>
          <w:rFonts w:ascii="宋体" w:hAnsi="宋体" w:eastAsia="宋体" w:cs="宋体"/>
          <w:kern w:val="21"/>
          <w:sz w:val="24"/>
        </w:rPr>
      </w:pPr>
    </w:p>
    <w:p w14:paraId="5D1BD781">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甲方：</w:t>
      </w:r>
      <w:r>
        <w:rPr>
          <w:rFonts w:hint="eastAsia" w:ascii="宋体" w:hAnsi="宋体" w:eastAsia="宋体" w:cs="宋体"/>
          <w:kern w:val="21"/>
          <w:sz w:val="20"/>
          <w:szCs w:val="20"/>
          <w:u w:val="single"/>
        </w:rPr>
        <w:t xml:space="preserve">  西安建筑科技大学   </w:t>
      </w:r>
    </w:p>
    <w:p w14:paraId="3C4A6E86">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乙方：</w:t>
      </w:r>
      <w:r>
        <w:rPr>
          <w:rFonts w:hint="eastAsia" w:ascii="宋体" w:hAnsi="宋体" w:eastAsia="宋体" w:cs="宋体"/>
          <w:kern w:val="21"/>
          <w:sz w:val="20"/>
          <w:szCs w:val="20"/>
          <w:u w:val="single"/>
        </w:rPr>
        <w:t xml:space="preserve">                     </w:t>
      </w:r>
    </w:p>
    <w:p w14:paraId="5177F609">
      <w:pPr>
        <w:spacing w:line="360" w:lineRule="auto"/>
        <w:ind w:firstLine="400" w:firstLineChars="200"/>
        <w:rPr>
          <w:rFonts w:ascii="宋体" w:hAnsi="宋体" w:eastAsia="宋体" w:cs="宋体"/>
          <w:kern w:val="21"/>
          <w:sz w:val="20"/>
          <w:szCs w:val="20"/>
        </w:rPr>
      </w:pPr>
    </w:p>
    <w:p w14:paraId="4DE2BDE8">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依据《中华人民共和国政府采购法》《中华人民共和国民法典》等相关法律法规，以及</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14:paraId="6CDE69EA">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一、合同标的</w:t>
      </w:r>
    </w:p>
    <w:p w14:paraId="519AF9CF">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1.标的明细清单</w:t>
      </w:r>
    </w:p>
    <w:tbl>
      <w:tblPr>
        <w:tblStyle w:val="7"/>
        <w:tblW w:w="8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3D688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311B416D">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序号</w:t>
            </w:r>
          </w:p>
        </w:tc>
        <w:tc>
          <w:tcPr>
            <w:tcW w:w="1805" w:type="dxa"/>
            <w:noWrap/>
            <w:tcMar>
              <w:top w:w="20" w:type="dxa"/>
              <w:left w:w="20" w:type="dxa"/>
              <w:bottom w:w="0" w:type="dxa"/>
              <w:right w:w="20" w:type="dxa"/>
            </w:tcMar>
            <w:vAlign w:val="center"/>
          </w:tcPr>
          <w:p w14:paraId="7B2DA1CF">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设备名称</w:t>
            </w:r>
          </w:p>
        </w:tc>
        <w:tc>
          <w:tcPr>
            <w:tcW w:w="1980" w:type="dxa"/>
            <w:noWrap/>
            <w:tcMar>
              <w:top w:w="20" w:type="dxa"/>
              <w:left w:w="20" w:type="dxa"/>
              <w:bottom w:w="0" w:type="dxa"/>
              <w:right w:w="20" w:type="dxa"/>
            </w:tcMar>
            <w:vAlign w:val="center"/>
          </w:tcPr>
          <w:p w14:paraId="33C58FE9">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品牌、规格、型号</w:t>
            </w:r>
          </w:p>
        </w:tc>
        <w:tc>
          <w:tcPr>
            <w:tcW w:w="886" w:type="dxa"/>
            <w:noWrap/>
            <w:tcMar>
              <w:top w:w="20" w:type="dxa"/>
              <w:left w:w="20" w:type="dxa"/>
              <w:bottom w:w="0" w:type="dxa"/>
              <w:right w:w="20" w:type="dxa"/>
            </w:tcMar>
            <w:vAlign w:val="center"/>
          </w:tcPr>
          <w:p w14:paraId="38AAA567">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数量</w:t>
            </w:r>
          </w:p>
          <w:p w14:paraId="67982F08">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（台、套）</w:t>
            </w:r>
          </w:p>
        </w:tc>
        <w:tc>
          <w:tcPr>
            <w:tcW w:w="985" w:type="dxa"/>
            <w:noWrap/>
            <w:tcMar>
              <w:top w:w="20" w:type="dxa"/>
              <w:left w:w="20" w:type="dxa"/>
              <w:bottom w:w="0" w:type="dxa"/>
              <w:right w:w="20" w:type="dxa"/>
            </w:tcMar>
            <w:vAlign w:val="center"/>
          </w:tcPr>
          <w:p w14:paraId="6523F095">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单价</w:t>
            </w:r>
          </w:p>
          <w:p w14:paraId="382217FD">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(万元)</w:t>
            </w:r>
          </w:p>
        </w:tc>
        <w:tc>
          <w:tcPr>
            <w:tcW w:w="984" w:type="dxa"/>
            <w:noWrap/>
            <w:tcMar>
              <w:top w:w="20" w:type="dxa"/>
              <w:left w:w="20" w:type="dxa"/>
              <w:bottom w:w="0" w:type="dxa"/>
              <w:right w:w="20" w:type="dxa"/>
            </w:tcMar>
            <w:vAlign w:val="center"/>
          </w:tcPr>
          <w:p w14:paraId="32481F90">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合计</w:t>
            </w:r>
          </w:p>
          <w:p w14:paraId="115AB750">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（万元）</w:t>
            </w:r>
          </w:p>
        </w:tc>
        <w:tc>
          <w:tcPr>
            <w:tcW w:w="978" w:type="dxa"/>
            <w:noWrap/>
            <w:vAlign w:val="center"/>
          </w:tcPr>
          <w:p w14:paraId="60AA2668">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生产商</w:t>
            </w:r>
          </w:p>
        </w:tc>
        <w:tc>
          <w:tcPr>
            <w:tcW w:w="580" w:type="dxa"/>
            <w:noWrap/>
            <w:tcMar>
              <w:top w:w="20" w:type="dxa"/>
              <w:left w:w="20" w:type="dxa"/>
              <w:bottom w:w="0" w:type="dxa"/>
              <w:right w:w="20" w:type="dxa"/>
            </w:tcMar>
            <w:vAlign w:val="center"/>
          </w:tcPr>
          <w:p w14:paraId="113B20D4">
            <w:pPr>
              <w:spacing w:line="360" w:lineRule="auto"/>
              <w:jc w:val="center"/>
              <w:rPr>
                <w:rFonts w:ascii="宋体" w:hAnsi="宋体" w:eastAsia="宋体" w:cs="宋体"/>
                <w:b/>
                <w:kern w:val="21"/>
                <w:sz w:val="20"/>
                <w:szCs w:val="20"/>
              </w:rPr>
            </w:pPr>
            <w:r>
              <w:rPr>
                <w:rFonts w:hint="eastAsia" w:ascii="宋体" w:hAnsi="宋体" w:eastAsia="宋体" w:cs="宋体"/>
                <w:b/>
                <w:kern w:val="21"/>
                <w:sz w:val="20"/>
                <w:szCs w:val="20"/>
              </w:rPr>
              <w:t>备注</w:t>
            </w:r>
          </w:p>
        </w:tc>
      </w:tr>
      <w:tr w14:paraId="6FD6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610EF377">
            <w:pPr>
              <w:spacing w:line="360" w:lineRule="auto"/>
              <w:jc w:val="center"/>
              <w:rPr>
                <w:rFonts w:ascii="宋体" w:hAnsi="宋体" w:eastAsia="宋体" w:cs="宋体"/>
                <w:kern w:val="21"/>
                <w:sz w:val="20"/>
                <w:szCs w:val="20"/>
              </w:rPr>
            </w:pPr>
            <w:r>
              <w:rPr>
                <w:rFonts w:hint="eastAsia" w:ascii="宋体" w:hAnsi="宋体" w:eastAsia="宋体" w:cs="宋体"/>
                <w:kern w:val="21"/>
                <w:sz w:val="20"/>
                <w:szCs w:val="20"/>
              </w:rPr>
              <w:t>1</w:t>
            </w:r>
          </w:p>
        </w:tc>
        <w:tc>
          <w:tcPr>
            <w:tcW w:w="1805" w:type="dxa"/>
            <w:noWrap/>
            <w:tcMar>
              <w:top w:w="20" w:type="dxa"/>
              <w:left w:w="20" w:type="dxa"/>
              <w:bottom w:w="0" w:type="dxa"/>
              <w:right w:w="20" w:type="dxa"/>
            </w:tcMar>
            <w:vAlign w:val="center"/>
          </w:tcPr>
          <w:p w14:paraId="00A187B3">
            <w:pPr>
              <w:spacing w:line="360" w:lineRule="auto"/>
              <w:jc w:val="center"/>
              <w:rPr>
                <w:rFonts w:ascii="宋体" w:hAnsi="宋体" w:eastAsia="宋体" w:cs="宋体"/>
                <w:kern w:val="21"/>
                <w:sz w:val="20"/>
                <w:szCs w:val="20"/>
              </w:rPr>
            </w:pPr>
          </w:p>
        </w:tc>
        <w:tc>
          <w:tcPr>
            <w:tcW w:w="1980" w:type="dxa"/>
            <w:noWrap/>
            <w:tcMar>
              <w:top w:w="20" w:type="dxa"/>
              <w:left w:w="20" w:type="dxa"/>
              <w:bottom w:w="0" w:type="dxa"/>
              <w:right w:w="20" w:type="dxa"/>
            </w:tcMar>
            <w:vAlign w:val="center"/>
          </w:tcPr>
          <w:p w14:paraId="32887CB1">
            <w:pPr>
              <w:spacing w:line="360" w:lineRule="auto"/>
              <w:jc w:val="center"/>
              <w:rPr>
                <w:rFonts w:ascii="宋体" w:hAnsi="宋体" w:eastAsia="宋体" w:cs="宋体"/>
                <w:kern w:val="21"/>
                <w:sz w:val="20"/>
                <w:szCs w:val="20"/>
              </w:rPr>
            </w:pPr>
          </w:p>
        </w:tc>
        <w:tc>
          <w:tcPr>
            <w:tcW w:w="886" w:type="dxa"/>
            <w:noWrap/>
            <w:tcMar>
              <w:top w:w="20" w:type="dxa"/>
              <w:left w:w="20" w:type="dxa"/>
              <w:bottom w:w="0" w:type="dxa"/>
              <w:right w:w="20" w:type="dxa"/>
            </w:tcMar>
            <w:vAlign w:val="center"/>
          </w:tcPr>
          <w:p w14:paraId="52DD23C4">
            <w:pPr>
              <w:spacing w:line="360" w:lineRule="auto"/>
              <w:jc w:val="center"/>
              <w:rPr>
                <w:rFonts w:ascii="宋体" w:hAnsi="宋体" w:eastAsia="宋体" w:cs="宋体"/>
                <w:kern w:val="21"/>
                <w:sz w:val="20"/>
                <w:szCs w:val="20"/>
              </w:rPr>
            </w:pPr>
          </w:p>
        </w:tc>
        <w:tc>
          <w:tcPr>
            <w:tcW w:w="985" w:type="dxa"/>
            <w:noWrap/>
            <w:tcMar>
              <w:top w:w="20" w:type="dxa"/>
              <w:left w:w="20" w:type="dxa"/>
              <w:bottom w:w="0" w:type="dxa"/>
              <w:right w:w="20" w:type="dxa"/>
            </w:tcMar>
            <w:vAlign w:val="center"/>
          </w:tcPr>
          <w:p w14:paraId="7D84F743">
            <w:pPr>
              <w:spacing w:line="360" w:lineRule="auto"/>
              <w:jc w:val="center"/>
              <w:rPr>
                <w:rFonts w:ascii="宋体" w:hAnsi="宋体" w:eastAsia="宋体" w:cs="宋体"/>
                <w:kern w:val="21"/>
                <w:sz w:val="20"/>
                <w:szCs w:val="20"/>
              </w:rPr>
            </w:pPr>
          </w:p>
        </w:tc>
        <w:tc>
          <w:tcPr>
            <w:tcW w:w="984" w:type="dxa"/>
            <w:noWrap/>
            <w:tcMar>
              <w:top w:w="20" w:type="dxa"/>
              <w:left w:w="20" w:type="dxa"/>
              <w:bottom w:w="0" w:type="dxa"/>
              <w:right w:w="20" w:type="dxa"/>
            </w:tcMar>
            <w:vAlign w:val="center"/>
          </w:tcPr>
          <w:p w14:paraId="3B7AF0EC">
            <w:pPr>
              <w:spacing w:line="360" w:lineRule="auto"/>
              <w:jc w:val="center"/>
              <w:rPr>
                <w:rFonts w:ascii="宋体" w:hAnsi="宋体" w:eastAsia="宋体" w:cs="宋体"/>
                <w:kern w:val="21"/>
                <w:sz w:val="20"/>
                <w:szCs w:val="20"/>
              </w:rPr>
            </w:pPr>
          </w:p>
        </w:tc>
        <w:tc>
          <w:tcPr>
            <w:tcW w:w="978" w:type="dxa"/>
            <w:noWrap/>
            <w:vAlign w:val="center"/>
          </w:tcPr>
          <w:p w14:paraId="38D06F50">
            <w:pPr>
              <w:spacing w:line="360" w:lineRule="auto"/>
              <w:jc w:val="center"/>
              <w:rPr>
                <w:rFonts w:ascii="宋体" w:hAnsi="宋体" w:eastAsia="宋体" w:cs="宋体"/>
                <w:kern w:val="21"/>
                <w:sz w:val="20"/>
                <w:szCs w:val="20"/>
              </w:rPr>
            </w:pPr>
          </w:p>
        </w:tc>
        <w:tc>
          <w:tcPr>
            <w:tcW w:w="580" w:type="dxa"/>
            <w:noWrap/>
            <w:tcMar>
              <w:top w:w="20" w:type="dxa"/>
              <w:left w:w="20" w:type="dxa"/>
              <w:bottom w:w="0" w:type="dxa"/>
              <w:right w:w="20" w:type="dxa"/>
            </w:tcMar>
            <w:vAlign w:val="center"/>
          </w:tcPr>
          <w:p w14:paraId="38751C44">
            <w:pPr>
              <w:spacing w:line="360" w:lineRule="auto"/>
              <w:jc w:val="center"/>
              <w:rPr>
                <w:rFonts w:ascii="宋体" w:hAnsi="宋体" w:eastAsia="宋体" w:cs="宋体"/>
                <w:kern w:val="21"/>
                <w:sz w:val="20"/>
                <w:szCs w:val="20"/>
              </w:rPr>
            </w:pPr>
          </w:p>
        </w:tc>
      </w:tr>
      <w:tr w14:paraId="3FDBE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0E4C6872">
            <w:pPr>
              <w:spacing w:line="360" w:lineRule="auto"/>
              <w:jc w:val="center"/>
              <w:rPr>
                <w:rFonts w:ascii="宋体" w:hAnsi="宋体" w:eastAsia="宋体" w:cs="宋体"/>
                <w:kern w:val="21"/>
                <w:sz w:val="20"/>
                <w:szCs w:val="20"/>
              </w:rPr>
            </w:pPr>
            <w:r>
              <w:rPr>
                <w:rFonts w:hint="eastAsia" w:ascii="宋体" w:hAnsi="宋体" w:eastAsia="宋体" w:cs="宋体"/>
                <w:kern w:val="21"/>
                <w:sz w:val="20"/>
                <w:szCs w:val="20"/>
              </w:rPr>
              <w:t>2</w:t>
            </w:r>
          </w:p>
        </w:tc>
        <w:tc>
          <w:tcPr>
            <w:tcW w:w="1805" w:type="dxa"/>
            <w:noWrap/>
            <w:tcMar>
              <w:top w:w="20" w:type="dxa"/>
              <w:left w:w="20" w:type="dxa"/>
              <w:bottom w:w="0" w:type="dxa"/>
              <w:right w:w="20" w:type="dxa"/>
            </w:tcMar>
            <w:vAlign w:val="center"/>
          </w:tcPr>
          <w:p w14:paraId="7CEDE032">
            <w:pPr>
              <w:spacing w:line="360" w:lineRule="auto"/>
              <w:jc w:val="center"/>
              <w:rPr>
                <w:rFonts w:ascii="宋体" w:hAnsi="宋体" w:eastAsia="宋体" w:cs="宋体"/>
                <w:kern w:val="21"/>
                <w:sz w:val="20"/>
                <w:szCs w:val="20"/>
              </w:rPr>
            </w:pPr>
          </w:p>
        </w:tc>
        <w:tc>
          <w:tcPr>
            <w:tcW w:w="1980" w:type="dxa"/>
            <w:noWrap/>
            <w:tcMar>
              <w:top w:w="20" w:type="dxa"/>
              <w:left w:w="20" w:type="dxa"/>
              <w:bottom w:w="0" w:type="dxa"/>
              <w:right w:w="20" w:type="dxa"/>
            </w:tcMar>
            <w:vAlign w:val="center"/>
          </w:tcPr>
          <w:p w14:paraId="1EEE93A4">
            <w:pPr>
              <w:spacing w:line="360" w:lineRule="auto"/>
              <w:jc w:val="center"/>
              <w:rPr>
                <w:rFonts w:ascii="宋体" w:hAnsi="宋体" w:eastAsia="宋体" w:cs="宋体"/>
                <w:kern w:val="21"/>
                <w:sz w:val="20"/>
                <w:szCs w:val="20"/>
              </w:rPr>
            </w:pPr>
          </w:p>
        </w:tc>
        <w:tc>
          <w:tcPr>
            <w:tcW w:w="886" w:type="dxa"/>
            <w:noWrap/>
            <w:tcMar>
              <w:top w:w="20" w:type="dxa"/>
              <w:left w:w="20" w:type="dxa"/>
              <w:bottom w:w="0" w:type="dxa"/>
              <w:right w:w="20" w:type="dxa"/>
            </w:tcMar>
            <w:vAlign w:val="center"/>
          </w:tcPr>
          <w:p w14:paraId="46AD04B8">
            <w:pPr>
              <w:spacing w:line="360" w:lineRule="auto"/>
              <w:jc w:val="center"/>
              <w:rPr>
                <w:rFonts w:ascii="宋体" w:hAnsi="宋体" w:eastAsia="宋体" w:cs="宋体"/>
                <w:kern w:val="21"/>
                <w:sz w:val="20"/>
                <w:szCs w:val="20"/>
              </w:rPr>
            </w:pPr>
          </w:p>
        </w:tc>
        <w:tc>
          <w:tcPr>
            <w:tcW w:w="985" w:type="dxa"/>
            <w:noWrap/>
            <w:tcMar>
              <w:top w:w="20" w:type="dxa"/>
              <w:left w:w="20" w:type="dxa"/>
              <w:bottom w:w="0" w:type="dxa"/>
              <w:right w:w="20" w:type="dxa"/>
            </w:tcMar>
            <w:vAlign w:val="center"/>
          </w:tcPr>
          <w:p w14:paraId="0C81F247">
            <w:pPr>
              <w:spacing w:line="360" w:lineRule="auto"/>
              <w:jc w:val="center"/>
              <w:rPr>
                <w:rFonts w:ascii="宋体" w:hAnsi="宋体" w:eastAsia="宋体" w:cs="宋体"/>
                <w:kern w:val="21"/>
                <w:sz w:val="20"/>
                <w:szCs w:val="20"/>
              </w:rPr>
            </w:pPr>
          </w:p>
        </w:tc>
        <w:tc>
          <w:tcPr>
            <w:tcW w:w="984" w:type="dxa"/>
            <w:noWrap/>
            <w:tcMar>
              <w:top w:w="20" w:type="dxa"/>
              <w:left w:w="20" w:type="dxa"/>
              <w:bottom w:w="0" w:type="dxa"/>
              <w:right w:w="20" w:type="dxa"/>
            </w:tcMar>
            <w:vAlign w:val="center"/>
          </w:tcPr>
          <w:p w14:paraId="64213179">
            <w:pPr>
              <w:spacing w:line="360" w:lineRule="auto"/>
              <w:jc w:val="center"/>
              <w:rPr>
                <w:rFonts w:ascii="宋体" w:hAnsi="宋体" w:eastAsia="宋体" w:cs="宋体"/>
                <w:kern w:val="21"/>
                <w:sz w:val="20"/>
                <w:szCs w:val="20"/>
              </w:rPr>
            </w:pPr>
          </w:p>
        </w:tc>
        <w:tc>
          <w:tcPr>
            <w:tcW w:w="978" w:type="dxa"/>
            <w:noWrap/>
            <w:vAlign w:val="center"/>
          </w:tcPr>
          <w:p w14:paraId="72629A1B">
            <w:pPr>
              <w:spacing w:line="360" w:lineRule="auto"/>
              <w:jc w:val="center"/>
              <w:rPr>
                <w:rFonts w:ascii="宋体" w:hAnsi="宋体" w:eastAsia="宋体" w:cs="宋体"/>
                <w:kern w:val="21"/>
                <w:sz w:val="20"/>
                <w:szCs w:val="20"/>
              </w:rPr>
            </w:pPr>
          </w:p>
        </w:tc>
        <w:tc>
          <w:tcPr>
            <w:tcW w:w="580" w:type="dxa"/>
            <w:noWrap/>
            <w:tcMar>
              <w:top w:w="20" w:type="dxa"/>
              <w:left w:w="20" w:type="dxa"/>
              <w:bottom w:w="0" w:type="dxa"/>
              <w:right w:w="20" w:type="dxa"/>
            </w:tcMar>
            <w:vAlign w:val="center"/>
          </w:tcPr>
          <w:p w14:paraId="6F47B37F">
            <w:pPr>
              <w:spacing w:line="360" w:lineRule="auto"/>
              <w:jc w:val="center"/>
              <w:rPr>
                <w:rFonts w:ascii="宋体" w:hAnsi="宋体" w:eastAsia="宋体" w:cs="宋体"/>
                <w:kern w:val="21"/>
                <w:sz w:val="20"/>
                <w:szCs w:val="20"/>
              </w:rPr>
            </w:pPr>
          </w:p>
        </w:tc>
      </w:tr>
      <w:tr w14:paraId="3B1E9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30357827">
            <w:pPr>
              <w:spacing w:line="360" w:lineRule="auto"/>
              <w:jc w:val="center"/>
              <w:rPr>
                <w:rFonts w:ascii="宋体" w:hAnsi="宋体" w:eastAsia="宋体" w:cs="宋体"/>
                <w:kern w:val="21"/>
                <w:sz w:val="20"/>
                <w:szCs w:val="20"/>
              </w:rPr>
            </w:pPr>
            <w:r>
              <w:rPr>
                <w:rFonts w:hint="eastAsia" w:ascii="宋体" w:hAnsi="宋体" w:eastAsia="宋体" w:cs="宋体"/>
                <w:kern w:val="21"/>
                <w:sz w:val="20"/>
                <w:szCs w:val="20"/>
              </w:rPr>
              <w:t>3</w:t>
            </w:r>
          </w:p>
        </w:tc>
        <w:tc>
          <w:tcPr>
            <w:tcW w:w="1805" w:type="dxa"/>
            <w:noWrap/>
            <w:tcMar>
              <w:top w:w="20" w:type="dxa"/>
              <w:left w:w="20" w:type="dxa"/>
              <w:bottom w:w="0" w:type="dxa"/>
              <w:right w:w="20" w:type="dxa"/>
            </w:tcMar>
            <w:vAlign w:val="center"/>
          </w:tcPr>
          <w:p w14:paraId="6BC62EF5">
            <w:pPr>
              <w:spacing w:line="360" w:lineRule="auto"/>
              <w:jc w:val="center"/>
              <w:rPr>
                <w:rFonts w:ascii="宋体" w:hAnsi="宋体" w:eastAsia="宋体" w:cs="宋体"/>
                <w:kern w:val="21"/>
                <w:sz w:val="20"/>
                <w:szCs w:val="20"/>
              </w:rPr>
            </w:pPr>
          </w:p>
        </w:tc>
        <w:tc>
          <w:tcPr>
            <w:tcW w:w="1980" w:type="dxa"/>
            <w:noWrap/>
            <w:tcMar>
              <w:top w:w="20" w:type="dxa"/>
              <w:left w:w="20" w:type="dxa"/>
              <w:bottom w:w="0" w:type="dxa"/>
              <w:right w:w="20" w:type="dxa"/>
            </w:tcMar>
            <w:vAlign w:val="center"/>
          </w:tcPr>
          <w:p w14:paraId="0F4FC764">
            <w:pPr>
              <w:spacing w:line="360" w:lineRule="auto"/>
              <w:jc w:val="center"/>
              <w:rPr>
                <w:rFonts w:ascii="宋体" w:hAnsi="宋体" w:eastAsia="宋体" w:cs="宋体"/>
                <w:kern w:val="21"/>
                <w:sz w:val="20"/>
                <w:szCs w:val="20"/>
              </w:rPr>
            </w:pPr>
          </w:p>
        </w:tc>
        <w:tc>
          <w:tcPr>
            <w:tcW w:w="886" w:type="dxa"/>
            <w:noWrap/>
            <w:tcMar>
              <w:top w:w="20" w:type="dxa"/>
              <w:left w:w="20" w:type="dxa"/>
              <w:bottom w:w="0" w:type="dxa"/>
              <w:right w:w="20" w:type="dxa"/>
            </w:tcMar>
            <w:vAlign w:val="center"/>
          </w:tcPr>
          <w:p w14:paraId="6EA3C84F">
            <w:pPr>
              <w:spacing w:line="360" w:lineRule="auto"/>
              <w:jc w:val="center"/>
              <w:rPr>
                <w:rFonts w:ascii="宋体" w:hAnsi="宋体" w:eastAsia="宋体" w:cs="宋体"/>
                <w:kern w:val="21"/>
                <w:sz w:val="20"/>
                <w:szCs w:val="20"/>
              </w:rPr>
            </w:pPr>
          </w:p>
        </w:tc>
        <w:tc>
          <w:tcPr>
            <w:tcW w:w="985" w:type="dxa"/>
            <w:noWrap/>
            <w:tcMar>
              <w:top w:w="20" w:type="dxa"/>
              <w:left w:w="20" w:type="dxa"/>
              <w:bottom w:w="0" w:type="dxa"/>
              <w:right w:w="20" w:type="dxa"/>
            </w:tcMar>
            <w:vAlign w:val="center"/>
          </w:tcPr>
          <w:p w14:paraId="3EABBFB4">
            <w:pPr>
              <w:spacing w:line="360" w:lineRule="auto"/>
              <w:jc w:val="center"/>
              <w:rPr>
                <w:rFonts w:ascii="宋体" w:hAnsi="宋体" w:eastAsia="宋体" w:cs="宋体"/>
                <w:kern w:val="21"/>
                <w:sz w:val="20"/>
                <w:szCs w:val="20"/>
              </w:rPr>
            </w:pPr>
          </w:p>
        </w:tc>
        <w:tc>
          <w:tcPr>
            <w:tcW w:w="984" w:type="dxa"/>
            <w:noWrap/>
            <w:tcMar>
              <w:top w:w="20" w:type="dxa"/>
              <w:left w:w="20" w:type="dxa"/>
              <w:bottom w:w="0" w:type="dxa"/>
              <w:right w:w="20" w:type="dxa"/>
            </w:tcMar>
            <w:vAlign w:val="center"/>
          </w:tcPr>
          <w:p w14:paraId="0B897E3F">
            <w:pPr>
              <w:spacing w:line="360" w:lineRule="auto"/>
              <w:jc w:val="center"/>
              <w:rPr>
                <w:rFonts w:ascii="宋体" w:hAnsi="宋体" w:eastAsia="宋体" w:cs="宋体"/>
                <w:kern w:val="21"/>
                <w:sz w:val="20"/>
                <w:szCs w:val="20"/>
              </w:rPr>
            </w:pPr>
          </w:p>
        </w:tc>
        <w:tc>
          <w:tcPr>
            <w:tcW w:w="978" w:type="dxa"/>
            <w:noWrap/>
            <w:vAlign w:val="center"/>
          </w:tcPr>
          <w:p w14:paraId="1BC864A3">
            <w:pPr>
              <w:spacing w:line="360" w:lineRule="auto"/>
              <w:jc w:val="center"/>
              <w:rPr>
                <w:rFonts w:ascii="宋体" w:hAnsi="宋体" w:eastAsia="宋体" w:cs="宋体"/>
                <w:kern w:val="21"/>
                <w:sz w:val="20"/>
                <w:szCs w:val="20"/>
              </w:rPr>
            </w:pPr>
          </w:p>
        </w:tc>
        <w:tc>
          <w:tcPr>
            <w:tcW w:w="580" w:type="dxa"/>
            <w:noWrap/>
            <w:tcMar>
              <w:top w:w="20" w:type="dxa"/>
              <w:left w:w="20" w:type="dxa"/>
              <w:bottom w:w="0" w:type="dxa"/>
              <w:right w:w="20" w:type="dxa"/>
            </w:tcMar>
            <w:vAlign w:val="center"/>
          </w:tcPr>
          <w:p w14:paraId="3AD820B4">
            <w:pPr>
              <w:spacing w:line="360" w:lineRule="auto"/>
              <w:jc w:val="center"/>
              <w:rPr>
                <w:rFonts w:ascii="宋体" w:hAnsi="宋体" w:eastAsia="宋体" w:cs="宋体"/>
                <w:kern w:val="21"/>
                <w:sz w:val="20"/>
                <w:szCs w:val="20"/>
              </w:rPr>
            </w:pPr>
          </w:p>
        </w:tc>
      </w:tr>
      <w:tr w14:paraId="21356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7771F320">
            <w:pPr>
              <w:spacing w:line="360" w:lineRule="auto"/>
              <w:jc w:val="center"/>
              <w:rPr>
                <w:rFonts w:ascii="宋体" w:hAnsi="宋体" w:eastAsia="宋体" w:cs="宋体"/>
                <w:kern w:val="21"/>
                <w:sz w:val="20"/>
                <w:szCs w:val="20"/>
              </w:rPr>
            </w:pPr>
            <w:r>
              <w:rPr>
                <w:rFonts w:hint="eastAsia" w:ascii="宋体" w:hAnsi="宋体" w:eastAsia="宋体" w:cs="宋体"/>
                <w:kern w:val="21"/>
                <w:sz w:val="20"/>
                <w:szCs w:val="20"/>
              </w:rPr>
              <w:t>合同金额(元)</w:t>
            </w:r>
          </w:p>
        </w:tc>
        <w:tc>
          <w:tcPr>
            <w:tcW w:w="4413" w:type="dxa"/>
            <w:gridSpan w:val="5"/>
            <w:noWrap/>
            <w:tcMar>
              <w:top w:w="20" w:type="dxa"/>
              <w:left w:w="20" w:type="dxa"/>
              <w:bottom w:w="0" w:type="dxa"/>
              <w:right w:w="20" w:type="dxa"/>
            </w:tcMar>
            <w:vAlign w:val="center"/>
          </w:tcPr>
          <w:p w14:paraId="6717FE73">
            <w:pPr>
              <w:spacing w:line="360" w:lineRule="auto"/>
              <w:jc w:val="left"/>
              <w:rPr>
                <w:rFonts w:ascii="宋体" w:hAnsi="宋体" w:eastAsia="宋体" w:cs="宋体"/>
                <w:kern w:val="21"/>
                <w:sz w:val="20"/>
                <w:szCs w:val="20"/>
              </w:rPr>
            </w:pPr>
            <w:r>
              <w:rPr>
                <w:rFonts w:hint="eastAsia" w:ascii="宋体" w:hAnsi="宋体" w:eastAsia="宋体" w:cs="宋体"/>
                <w:kern w:val="21"/>
                <w:sz w:val="20"/>
                <w:szCs w:val="20"/>
              </w:rPr>
              <w:t xml:space="preserve">大写： </w:t>
            </w:r>
          </w:p>
        </w:tc>
      </w:tr>
      <w:tr w14:paraId="6C51A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13703A5E">
            <w:pPr>
              <w:spacing w:line="360" w:lineRule="auto"/>
              <w:jc w:val="center"/>
              <w:rPr>
                <w:rFonts w:ascii="宋体" w:hAnsi="宋体" w:eastAsia="宋体" w:cs="宋体"/>
                <w:kern w:val="21"/>
                <w:sz w:val="20"/>
                <w:szCs w:val="20"/>
              </w:rPr>
            </w:pPr>
          </w:p>
        </w:tc>
        <w:tc>
          <w:tcPr>
            <w:tcW w:w="4413" w:type="dxa"/>
            <w:gridSpan w:val="5"/>
            <w:noWrap/>
            <w:tcMar>
              <w:top w:w="20" w:type="dxa"/>
              <w:left w:w="20" w:type="dxa"/>
              <w:bottom w:w="0" w:type="dxa"/>
              <w:right w:w="20" w:type="dxa"/>
            </w:tcMar>
            <w:vAlign w:val="center"/>
          </w:tcPr>
          <w:p w14:paraId="2D0D7E1B">
            <w:pPr>
              <w:spacing w:line="360" w:lineRule="auto"/>
              <w:jc w:val="left"/>
              <w:rPr>
                <w:rFonts w:ascii="宋体" w:hAnsi="宋体" w:eastAsia="宋体" w:cs="宋体"/>
                <w:kern w:val="21"/>
                <w:sz w:val="20"/>
                <w:szCs w:val="20"/>
              </w:rPr>
            </w:pPr>
            <w:r>
              <w:rPr>
                <w:rFonts w:hint="eastAsia" w:ascii="宋体" w:hAnsi="宋体" w:eastAsia="宋体" w:cs="宋体"/>
                <w:kern w:val="21"/>
                <w:sz w:val="20"/>
                <w:szCs w:val="20"/>
              </w:rPr>
              <w:t>小写：   元</w:t>
            </w:r>
          </w:p>
        </w:tc>
      </w:tr>
    </w:tbl>
    <w:p w14:paraId="2003DCB8">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2.上述合同金额为一次性包干总价，不受市场价格的变化和影响，在合同不发生变更时作为付款结算的依据。</w:t>
      </w:r>
    </w:p>
    <w:p w14:paraId="063A4194">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7E5A341B">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4.在实际合同履行过程中，如果乙方未完全履行合同义务或履行的合同义务不符合约定的，则未履行或履行不符合合同约定的内容所对应的价款由甲方直接从上述约定的包干价中扣除。</w:t>
      </w:r>
    </w:p>
    <w:p w14:paraId="1E458659">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二、货物质量</w:t>
      </w:r>
    </w:p>
    <w:p w14:paraId="6F6163A4">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乙方提供的所有货物的技术规格和参数、指标要求应等于或优于招标文件、投标文件技术规格和参数、指标要求（设备的技术参数、指标详见附件1）。若技术规格要求中无相应规定，则应符合相应的国家有关部门最新颁布的相应正式标准。</w:t>
      </w:r>
    </w:p>
    <w:p w14:paraId="2E84FD46">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2.乙方提供的设备及配套产品须符合国家有关质量标准、规范和环保要求。</w:t>
      </w:r>
    </w:p>
    <w:p w14:paraId="60CC65E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171DF1A4">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4.乙方提供的设备及配套产品必须能按国家标准供应、检测、调试，确保产品技术指标满足使用要求。</w:t>
      </w:r>
    </w:p>
    <w:p w14:paraId="0EFA0097">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5.除非技术规范中另有规定，计量单位均采用中华人民共和国法定计量单位。</w:t>
      </w:r>
    </w:p>
    <w:p w14:paraId="742A5DDE">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三、交货时间及交货地点</w:t>
      </w:r>
    </w:p>
    <w:p w14:paraId="694881AD">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1.交货（安装）地点：</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（具体到房间）。乙方要提供整套合格产品，切实做好安全防护相关工作，并负责安排卸货和安装所需工具以及人员。</w:t>
      </w:r>
    </w:p>
    <w:p w14:paraId="5A6AC7C7">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2.交货日期：20</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年</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月</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日前或合同签订后</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个工作日内，乙方负责将产品运输到交货（安装）地点，并按照验收标准和验收程序完成设备的安装、调试和验收工作。乙方交货时须保证产品包装完好，安装调试及验收时设备外观无划痕，设备质量完好。</w:t>
      </w:r>
    </w:p>
    <w:p w14:paraId="5A226A9F">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四、货物交付及验收</w:t>
      </w:r>
    </w:p>
    <w:p w14:paraId="1D92A277">
      <w:pPr>
        <w:widowControl/>
        <w:spacing w:line="360" w:lineRule="auto"/>
        <w:ind w:firstLine="482"/>
        <w:jc w:val="left"/>
        <w:rPr>
          <w:rFonts w:ascii="宋体" w:hAnsi="宋体" w:eastAsia="宋体" w:cs="宋体"/>
          <w:kern w:val="21"/>
          <w:sz w:val="20"/>
          <w:szCs w:val="20"/>
        </w:rPr>
      </w:pPr>
      <w:r>
        <w:rPr>
          <w:rFonts w:hint="eastAsia" w:ascii="宋体" w:hAnsi="宋体" w:eastAsia="宋体" w:cs="宋体"/>
          <w:b/>
          <w:bCs/>
          <w:kern w:val="21"/>
          <w:sz w:val="20"/>
          <w:szCs w:val="20"/>
        </w:rPr>
        <w:t>1.货物交付</w:t>
      </w:r>
    </w:p>
    <w:p w14:paraId="00370DB6">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7F1F826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1.2乙方负责提供货物（设备）相应的技术资料，包括产品合格证、产品保修单、安装使用及维护说明书以及运输装箱清单等,并对所有技术材料的真实性、准确性、先进性、完整性负责。</w:t>
      </w:r>
    </w:p>
    <w:p w14:paraId="20F47DE3">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4C8AA9F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FE73E50">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1.5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1740D68">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28211840">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1.6乙方应向甲方提供有关标准的中文文本。</w:t>
      </w:r>
    </w:p>
    <w:p w14:paraId="3C9CB2AB">
      <w:pPr>
        <w:widowControl/>
        <w:spacing w:line="360" w:lineRule="auto"/>
        <w:ind w:firstLine="482"/>
        <w:jc w:val="left"/>
        <w:rPr>
          <w:rFonts w:ascii="宋体" w:hAnsi="宋体" w:eastAsia="宋体" w:cs="宋体"/>
          <w:b/>
          <w:bCs/>
          <w:kern w:val="21"/>
          <w:sz w:val="20"/>
          <w:szCs w:val="20"/>
        </w:rPr>
      </w:pPr>
      <w:r>
        <w:rPr>
          <w:rFonts w:hint="eastAsia" w:ascii="宋体" w:hAnsi="宋体" w:eastAsia="宋体" w:cs="宋体"/>
          <w:b/>
          <w:bCs/>
          <w:kern w:val="21"/>
          <w:sz w:val="20"/>
          <w:szCs w:val="20"/>
        </w:rPr>
        <w:t>2.验收</w:t>
      </w:r>
    </w:p>
    <w:p w14:paraId="0D0BB441">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2.1验收方法及标准：</w:t>
      </w:r>
      <w:r>
        <w:rPr>
          <w:rFonts w:hint="eastAsia" w:ascii="宋体" w:hAnsi="宋体" w:eastAsia="宋体" w:cs="宋体"/>
          <w:kern w:val="21"/>
          <w:sz w:val="20"/>
          <w:szCs w:val="20"/>
          <w:u w:val="single"/>
        </w:rPr>
        <w:t xml:space="preserve"> 具体详见附件2 </w:t>
      </w:r>
      <w:r>
        <w:rPr>
          <w:rFonts w:hint="eastAsia" w:ascii="宋体" w:hAnsi="宋体" w:eastAsia="宋体" w:cs="宋体"/>
          <w:kern w:val="21"/>
          <w:sz w:val="20"/>
          <w:szCs w:val="20"/>
        </w:rPr>
        <w:t>。</w:t>
      </w:r>
    </w:p>
    <w:p w14:paraId="646958B7">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五、合同价款支付及履约保证金</w:t>
      </w:r>
    </w:p>
    <w:p w14:paraId="7C9060FE">
      <w:pPr>
        <w:spacing w:line="360" w:lineRule="auto"/>
        <w:ind w:firstLine="402" w:firstLineChars="200"/>
        <w:rPr>
          <w:rFonts w:ascii="宋体" w:hAnsi="宋体" w:eastAsia="宋体" w:cs="宋体"/>
          <w:b/>
          <w:bCs/>
          <w:kern w:val="21"/>
          <w:sz w:val="20"/>
          <w:szCs w:val="20"/>
        </w:rPr>
      </w:pPr>
      <w:r>
        <w:rPr>
          <w:rFonts w:hint="eastAsia" w:ascii="宋体" w:hAnsi="宋体" w:eastAsia="宋体" w:cs="宋体"/>
          <w:b/>
          <w:bCs/>
          <w:kern w:val="21"/>
          <w:sz w:val="20"/>
          <w:szCs w:val="20"/>
        </w:rPr>
        <w:t>1. 合同价款支付</w:t>
      </w:r>
    </w:p>
    <w:p w14:paraId="0D7AFCE4">
      <w:pPr>
        <w:spacing w:line="360" w:lineRule="auto"/>
        <w:ind w:firstLine="402" w:firstLineChars="200"/>
        <w:rPr>
          <w:rFonts w:ascii="宋体" w:hAnsi="宋体" w:eastAsia="宋体" w:cs="宋体"/>
          <w:b/>
          <w:bCs/>
          <w:kern w:val="21"/>
          <w:sz w:val="20"/>
          <w:szCs w:val="20"/>
        </w:rPr>
      </w:pPr>
      <w:r>
        <w:rPr>
          <w:rFonts w:hint="eastAsia" w:ascii="宋体" w:hAnsi="宋体" w:eastAsia="宋体" w:cs="宋体"/>
          <w:b/>
          <w:bCs/>
          <w:kern w:val="21"/>
          <w:sz w:val="20"/>
          <w:szCs w:val="20"/>
        </w:rPr>
        <w:t>1.1合同价款支付方式（请在确定的支付方式前面的“</w:t>
      </w:r>
      <w:r>
        <w:rPr>
          <w:rFonts w:hint="eastAsia" w:ascii="宋体" w:hAnsi="宋体" w:eastAsia="宋体" w:cs="宋体"/>
          <w:b/>
          <w:bCs/>
          <w:kern w:val="21"/>
          <w:sz w:val="20"/>
          <w:szCs w:val="20"/>
        </w:rPr>
        <w:sym w:font="Wingdings 2" w:char="00A3"/>
      </w:r>
      <w:r>
        <w:rPr>
          <w:rFonts w:hint="eastAsia" w:ascii="宋体" w:hAnsi="宋体" w:eastAsia="宋体" w:cs="宋体"/>
          <w:b/>
          <w:bCs/>
          <w:kern w:val="21"/>
          <w:sz w:val="20"/>
          <w:szCs w:val="20"/>
        </w:rPr>
        <w:t xml:space="preserve"> ”打“√” ）</w:t>
      </w:r>
    </w:p>
    <w:p w14:paraId="0443B022">
      <w:pPr>
        <w:spacing w:line="360" w:lineRule="auto"/>
        <w:ind w:firstLine="402" w:firstLineChars="200"/>
        <w:rPr>
          <w:rFonts w:ascii="宋体" w:hAnsi="宋体" w:eastAsia="宋体" w:cs="宋体"/>
          <w:b/>
          <w:bCs/>
          <w:kern w:val="21"/>
          <w:sz w:val="20"/>
          <w:szCs w:val="20"/>
        </w:rPr>
      </w:pPr>
      <w:r>
        <w:rPr>
          <w:rFonts w:hint="eastAsia" w:ascii="宋体" w:hAnsi="宋体" w:eastAsia="宋体" w:cs="宋体"/>
          <w:b/>
          <w:bCs/>
          <w:kern w:val="21"/>
          <w:sz w:val="20"/>
          <w:szCs w:val="20"/>
        </w:rPr>
        <w:sym w:font="Wingdings 2" w:char="00A3"/>
      </w:r>
      <w:r>
        <w:rPr>
          <w:rFonts w:hint="eastAsia" w:ascii="宋体" w:hAnsi="宋体" w:eastAsia="宋体" w:cs="宋体"/>
          <w:b/>
          <w:bCs/>
          <w:kern w:val="21"/>
          <w:sz w:val="20"/>
          <w:szCs w:val="20"/>
        </w:rPr>
        <w:t xml:space="preserve"> 签订合同后，乙方向甲方提供银行、保险公司等金融机构出具的预付款保函或其他担保措施，甲方向乙方支付合同总价的40%作为预付款；项目验收合格后30日内，支付合同总价剩余的60%。</w:t>
      </w:r>
    </w:p>
    <w:p w14:paraId="2747CBA8">
      <w:pPr>
        <w:spacing w:line="360" w:lineRule="auto"/>
        <w:ind w:firstLine="402" w:firstLineChars="200"/>
        <w:rPr>
          <w:rFonts w:ascii="宋体" w:hAnsi="宋体" w:eastAsia="宋体" w:cs="宋体"/>
          <w:b/>
          <w:bCs/>
          <w:kern w:val="21"/>
          <w:sz w:val="20"/>
          <w:szCs w:val="20"/>
        </w:rPr>
      </w:pPr>
      <w:r>
        <w:rPr>
          <w:rFonts w:hint="eastAsia" w:ascii="宋体" w:hAnsi="宋体" w:eastAsia="宋体" w:cs="宋体"/>
          <w:b/>
          <w:bCs/>
          <w:kern w:val="21"/>
          <w:sz w:val="20"/>
          <w:szCs w:val="20"/>
        </w:rPr>
        <w:sym w:font="Wingdings 2" w:char="00A3"/>
      </w:r>
      <w:r>
        <w:rPr>
          <w:rFonts w:hint="eastAsia" w:ascii="宋体" w:hAnsi="宋体" w:eastAsia="宋体" w:cs="宋体"/>
          <w:b/>
          <w:bCs/>
          <w:kern w:val="21"/>
          <w:sz w:val="20"/>
          <w:szCs w:val="20"/>
        </w:rPr>
        <w:t xml:space="preserve"> 签订合同后，乙方无法提供预付款保函或其他担保措施，待设备到达指定地点、安装调试完成并验收合格后30日内，支付合同总价的100%。</w:t>
      </w:r>
    </w:p>
    <w:p w14:paraId="2A1E3A1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1.2甲方向乙方付款时，乙方须向甲方出具合同总价款的增值税专用发票。</w:t>
      </w:r>
    </w:p>
    <w:p w14:paraId="46908C32">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2.履约保证金</w:t>
      </w:r>
    </w:p>
    <w:p w14:paraId="32C36681">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2.1乙方应在收到中标（成交）通知书后3个工作日内，向甲方提交合同总价5%的履约保证金；</w:t>
      </w:r>
    </w:p>
    <w:p w14:paraId="143DE33D">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2.2履约保证金应使用人民币，按</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方式提交；</w:t>
      </w:r>
    </w:p>
    <w:p w14:paraId="7A16AF27">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2.3项目全部完成并由甲方验收合格后，乙方申请，甲方应把履约保证金（无息）退还乙方。</w:t>
      </w:r>
    </w:p>
    <w:p w14:paraId="0129BBB2">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六、质量保证期及售后服务</w:t>
      </w:r>
    </w:p>
    <w:p w14:paraId="1203C51A">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1.产品质量保证期为甲方最终设备验收合格后</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F704082">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2.质保期内乙方对甲方提出的服务响应不得超出</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小时。</w:t>
      </w:r>
    </w:p>
    <w:p w14:paraId="38D1E079">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3.售后服务：具体服务详见乙方投标文件中乙方的承诺书。</w:t>
      </w:r>
    </w:p>
    <w:p w14:paraId="500AEECA">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4.人员培训：乙方终身免费为甲方培训设备使用人员，培训内容包括：设备操作、维护、简单维修等。</w:t>
      </w:r>
    </w:p>
    <w:p w14:paraId="444E3986">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七、违约责任</w:t>
      </w:r>
    </w:p>
    <w:p w14:paraId="69FC516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1.合同生效后，甲乙双方应按合同规定认真履约。合同履约责任只涉及合同甲乙双方，不考虑第三方因素。</w:t>
      </w:r>
    </w:p>
    <w:p w14:paraId="2E3E9EB5">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2.除不可抗力原因外，如遇下列情况之一者，乙方所缴纳的履约保证金、产品质量保证金甲方有权不予退还，作为对甲方的赔偿，且甲方有权解除本合同：</w:t>
      </w:r>
    </w:p>
    <w:p w14:paraId="4F67F5D9">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（1）合同签订后不能按合同时限要求供货或安装调试；</w:t>
      </w:r>
    </w:p>
    <w:p w14:paraId="6CF58881">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（2）所供设备不合格、与合同不符；</w:t>
      </w:r>
    </w:p>
    <w:p w14:paraId="3EB84A7A">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（3）不能按合同履约；</w:t>
      </w:r>
    </w:p>
    <w:p w14:paraId="7DD1AE6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（4）因产品质量原因，不能通过验收。</w:t>
      </w:r>
    </w:p>
    <w:p w14:paraId="6430B1D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3.如乙方产品质量不符合国家标准、行业内控标准或本合同技术附件要求的，甲方有权退货，乙方应退还全部货款，并承担甲方合同总价款10％的违约金及其他损失。</w:t>
      </w:r>
    </w:p>
    <w:p w14:paraId="54727C50">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4.在合同规定的供货期内乙方未全部交货，除应在</w:t>
      </w:r>
      <w:r>
        <w:rPr>
          <w:rFonts w:hint="eastAsia" w:ascii="宋体" w:hAnsi="宋体" w:eastAsia="宋体" w:cs="宋体"/>
          <w:kern w:val="21"/>
          <w:sz w:val="20"/>
          <w:szCs w:val="20"/>
          <w:u w:val="single"/>
        </w:rPr>
        <w:t xml:space="preserve">     </w:t>
      </w:r>
      <w:r>
        <w:rPr>
          <w:rFonts w:hint="eastAsia" w:ascii="宋体" w:hAnsi="宋体" w:eastAsia="宋体" w:cs="宋体"/>
          <w:kern w:val="21"/>
          <w:sz w:val="20"/>
          <w:szCs w:val="20"/>
        </w:rPr>
        <w:t>天内如数补齐外，还应承担合同总款的10％违约金。</w:t>
      </w:r>
    </w:p>
    <w:p w14:paraId="3D0DF63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5.乙方对货物不按招标文件要求，擅自更换，除恢复原招标产品外，应承担更换部分价款10%的违约金；乙方如对产品材质、随机配品以次充好，除全部按要求恢复外，应承担此部分价款10%的违约金。</w:t>
      </w:r>
    </w:p>
    <w:p w14:paraId="7C89C5A0">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8E3F2E6">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B848BD9">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8.出现下列情形之一的，视为乙方违约。甲方可向乙方发出书面通知，部分或全部终止合同，同时保留向乙方索赔的权利，具体情形如下：</w:t>
      </w:r>
    </w:p>
    <w:p w14:paraId="6191EFDE">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 xml:space="preserve">（1）乙方未能在合同规定的限期或甲方同意延长的限期内，提供全部或部分货物的； </w:t>
      </w:r>
    </w:p>
    <w:p w14:paraId="35F6F9B0">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（2）乙方未能履行合同规定的其它主要义务的；</w:t>
      </w:r>
    </w:p>
    <w:p w14:paraId="5E2A57B7">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（3）乙方在本合同履行过程中有欺诈行为的。</w:t>
      </w:r>
    </w:p>
    <w:p w14:paraId="1EC340A3">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9.索赔：</w:t>
      </w:r>
      <w:r>
        <w:rPr>
          <w:rFonts w:hint="eastAsia" w:ascii="宋体" w:hAnsi="宋体" w:eastAsia="宋体" w:cs="宋体"/>
          <w:kern w:val="21"/>
          <w:sz w:val="20"/>
          <w:szCs w:val="20"/>
          <w:u w:val="single"/>
        </w:rPr>
        <w:t xml:space="preserve"> 具体详见附件3 </w:t>
      </w:r>
      <w:r>
        <w:rPr>
          <w:rFonts w:hint="eastAsia" w:ascii="宋体" w:hAnsi="宋体" w:eastAsia="宋体" w:cs="宋体"/>
          <w:kern w:val="21"/>
          <w:sz w:val="20"/>
          <w:szCs w:val="20"/>
        </w:rPr>
        <w:t>。</w:t>
      </w:r>
    </w:p>
    <w:p w14:paraId="4B2FD2FE">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35E6B77A">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八、合同争议的解决：</w:t>
      </w:r>
    </w:p>
    <w:p w14:paraId="2C862AB2">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1.甲乙双方由于本合同的履行而发生任何争议时，双方可先通过协商解决。</w:t>
      </w:r>
    </w:p>
    <w:p w14:paraId="741064CE">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2.任何一方不愿通过协商或通过协商仍不能解决争议，则双方中任何一方均应向甲方所在地人民法院起诉。</w:t>
      </w:r>
    </w:p>
    <w:p w14:paraId="2012259D">
      <w:pPr>
        <w:widowControl/>
        <w:spacing w:line="360" w:lineRule="auto"/>
        <w:ind w:firstLine="482"/>
        <w:jc w:val="left"/>
        <w:rPr>
          <w:rFonts w:ascii="宋体" w:hAnsi="宋体" w:eastAsia="宋体" w:cs="宋体"/>
          <w:b/>
          <w:kern w:val="21"/>
          <w:sz w:val="20"/>
          <w:szCs w:val="20"/>
        </w:rPr>
      </w:pPr>
      <w:r>
        <w:rPr>
          <w:rFonts w:hint="eastAsia" w:ascii="宋体" w:hAnsi="宋体" w:eastAsia="宋体" w:cs="宋体"/>
          <w:b/>
          <w:kern w:val="21"/>
          <w:sz w:val="20"/>
          <w:szCs w:val="20"/>
        </w:rPr>
        <w:t>九、其他：</w:t>
      </w:r>
    </w:p>
    <w:p w14:paraId="56310850">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1.合同经双方签字盖章后生效。本合同一式五份，甲方执四份，乙方执一份，执行完毕后自行失效。</w:t>
      </w:r>
    </w:p>
    <w:p w14:paraId="2AFBFD0C">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3.合同的附件、投标文件均作为本合同不可分割的内容，且具有同等法律效力。合同的附件由甲方使用单位负责审核并签章。</w:t>
      </w:r>
    </w:p>
    <w:p w14:paraId="5EB09289">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4.在本合同执行过程中，甲、乙双方协商签订的补充合同与原合同具有同等法律效力。</w:t>
      </w:r>
    </w:p>
    <w:p w14:paraId="01EE7713">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5.未尽事宜，双方协商解决。</w:t>
      </w:r>
    </w:p>
    <w:p w14:paraId="4A541E3D">
      <w:pPr>
        <w:spacing w:line="360" w:lineRule="auto"/>
        <w:ind w:firstLine="400" w:firstLineChars="200"/>
        <w:rPr>
          <w:rFonts w:ascii="宋体" w:hAnsi="宋体" w:eastAsia="宋体" w:cs="宋体"/>
          <w:kern w:val="21"/>
          <w:sz w:val="20"/>
          <w:szCs w:val="20"/>
        </w:rPr>
      </w:pPr>
    </w:p>
    <w:p w14:paraId="6025FA1F">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合同签订地点：西安建筑科技大学</w:t>
      </w:r>
    </w:p>
    <w:p w14:paraId="66B9AE00">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合同签订时间：      年    月    日</w:t>
      </w:r>
    </w:p>
    <w:p w14:paraId="234DE815">
      <w:pPr>
        <w:spacing w:line="360" w:lineRule="auto"/>
        <w:rPr>
          <w:rFonts w:ascii="宋体" w:hAnsi="宋体" w:eastAsia="宋体" w:cs="宋体"/>
          <w:b/>
          <w:kern w:val="21"/>
          <w:sz w:val="20"/>
          <w:szCs w:val="20"/>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23CC3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685A037">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甲  方（盖章）：西安建筑科技大学</w:t>
            </w:r>
          </w:p>
        </w:tc>
        <w:tc>
          <w:tcPr>
            <w:tcW w:w="4503" w:type="dxa"/>
            <w:vAlign w:val="center"/>
          </w:tcPr>
          <w:p w14:paraId="485643AB">
            <w:pPr>
              <w:spacing w:line="360" w:lineRule="auto"/>
              <w:rPr>
                <w:rFonts w:ascii="宋体" w:hAnsi="宋体" w:eastAsia="宋体" w:cs="宋体"/>
                <w:kern w:val="21"/>
                <w:sz w:val="20"/>
                <w:szCs w:val="20"/>
              </w:rPr>
            </w:pPr>
            <w:r>
              <w:rPr>
                <w:rFonts w:hint="eastAsia" w:ascii="宋体" w:hAnsi="宋体" w:eastAsia="宋体" w:cs="宋体"/>
                <w:b/>
                <w:kern w:val="21"/>
                <w:sz w:val="20"/>
                <w:szCs w:val="20"/>
              </w:rPr>
              <w:t>乙  方（盖章）：</w:t>
            </w:r>
          </w:p>
        </w:tc>
      </w:tr>
      <w:tr w14:paraId="5D330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534A553">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地  址：西安市雁塔路13号</w:t>
            </w:r>
          </w:p>
        </w:tc>
        <w:tc>
          <w:tcPr>
            <w:tcW w:w="4503" w:type="dxa"/>
            <w:vAlign w:val="center"/>
          </w:tcPr>
          <w:p w14:paraId="49D7F768">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地  址：</w:t>
            </w:r>
          </w:p>
        </w:tc>
      </w:tr>
      <w:tr w14:paraId="49F80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5AF6D4C">
            <w:pPr>
              <w:spacing w:line="360" w:lineRule="auto"/>
              <w:rPr>
                <w:rFonts w:ascii="宋体" w:hAnsi="宋体" w:eastAsia="宋体" w:cs="宋体"/>
                <w:kern w:val="21"/>
                <w:sz w:val="20"/>
                <w:szCs w:val="20"/>
              </w:rPr>
            </w:pPr>
            <w:r>
              <w:rPr>
                <w:rFonts w:hint="eastAsia" w:ascii="宋体" w:hAnsi="宋体" w:eastAsia="宋体" w:cs="宋体"/>
                <w:b/>
                <w:kern w:val="21"/>
                <w:sz w:val="20"/>
                <w:szCs w:val="20"/>
              </w:rPr>
              <w:t>法定代表人（签字）：</w:t>
            </w:r>
          </w:p>
        </w:tc>
        <w:tc>
          <w:tcPr>
            <w:tcW w:w="4503" w:type="dxa"/>
            <w:vAlign w:val="center"/>
          </w:tcPr>
          <w:p w14:paraId="1A844E7C">
            <w:pPr>
              <w:spacing w:line="360" w:lineRule="auto"/>
              <w:rPr>
                <w:rFonts w:ascii="宋体" w:hAnsi="宋体" w:eastAsia="宋体" w:cs="宋体"/>
                <w:kern w:val="21"/>
                <w:sz w:val="20"/>
                <w:szCs w:val="20"/>
              </w:rPr>
            </w:pPr>
            <w:r>
              <w:rPr>
                <w:rFonts w:hint="eastAsia" w:ascii="宋体" w:hAnsi="宋体" w:eastAsia="宋体" w:cs="宋体"/>
                <w:b/>
                <w:kern w:val="21"/>
                <w:sz w:val="20"/>
                <w:szCs w:val="20"/>
              </w:rPr>
              <w:t>法定代表人（签字）：</w:t>
            </w:r>
          </w:p>
        </w:tc>
      </w:tr>
      <w:tr w14:paraId="0F79F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798F981">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委托代理人（签字）：</w:t>
            </w:r>
          </w:p>
        </w:tc>
        <w:tc>
          <w:tcPr>
            <w:tcW w:w="4503" w:type="dxa"/>
            <w:vAlign w:val="center"/>
          </w:tcPr>
          <w:p w14:paraId="5F595756">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委托代理人（签字）：</w:t>
            </w:r>
          </w:p>
        </w:tc>
      </w:tr>
      <w:tr w14:paraId="733B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EEE7585">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开户名：西安建筑科技大学</w:t>
            </w:r>
          </w:p>
        </w:tc>
        <w:tc>
          <w:tcPr>
            <w:tcW w:w="4503" w:type="dxa"/>
            <w:vAlign w:val="center"/>
          </w:tcPr>
          <w:p w14:paraId="1508E1ED">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开户名：</w:t>
            </w:r>
          </w:p>
        </w:tc>
      </w:tr>
      <w:tr w14:paraId="7DDF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8258F99">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开户行：工行雁塔路支行</w:t>
            </w:r>
          </w:p>
          <w:p w14:paraId="747A7F66">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行  号: 102791000242</w:t>
            </w:r>
          </w:p>
          <w:p w14:paraId="3BE3326E">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税  号: 1261000043523106XB</w:t>
            </w:r>
          </w:p>
        </w:tc>
        <w:tc>
          <w:tcPr>
            <w:tcW w:w="4503" w:type="dxa"/>
            <w:vAlign w:val="center"/>
          </w:tcPr>
          <w:p w14:paraId="6BB5A9D0">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开户行：</w:t>
            </w:r>
          </w:p>
        </w:tc>
      </w:tr>
      <w:tr w14:paraId="0BA4F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C038F4C">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帐  号：3700023009026400639</w:t>
            </w:r>
          </w:p>
        </w:tc>
        <w:tc>
          <w:tcPr>
            <w:tcW w:w="4503" w:type="dxa"/>
            <w:vAlign w:val="center"/>
          </w:tcPr>
          <w:p w14:paraId="77A23395">
            <w:pPr>
              <w:spacing w:line="360" w:lineRule="auto"/>
              <w:rPr>
                <w:rFonts w:ascii="宋体" w:hAnsi="宋体" w:eastAsia="宋体" w:cs="宋体"/>
                <w:kern w:val="21"/>
                <w:sz w:val="20"/>
                <w:szCs w:val="20"/>
              </w:rPr>
            </w:pPr>
            <w:r>
              <w:rPr>
                <w:rFonts w:hint="eastAsia" w:ascii="宋体" w:hAnsi="宋体" w:eastAsia="宋体" w:cs="宋体"/>
                <w:b/>
                <w:kern w:val="21"/>
                <w:sz w:val="20"/>
                <w:szCs w:val="20"/>
              </w:rPr>
              <w:t>帐  号：</w:t>
            </w:r>
          </w:p>
        </w:tc>
      </w:tr>
      <w:tr w14:paraId="7F76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BAF1D61">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联系人： 梁武</w:t>
            </w:r>
          </w:p>
        </w:tc>
        <w:tc>
          <w:tcPr>
            <w:tcW w:w="4503" w:type="dxa"/>
            <w:vAlign w:val="center"/>
          </w:tcPr>
          <w:p w14:paraId="045F1A0D">
            <w:pPr>
              <w:spacing w:line="360" w:lineRule="auto"/>
              <w:rPr>
                <w:rFonts w:ascii="宋体" w:hAnsi="宋体" w:eastAsia="宋体" w:cs="宋体"/>
                <w:kern w:val="21"/>
                <w:sz w:val="20"/>
                <w:szCs w:val="20"/>
              </w:rPr>
            </w:pPr>
            <w:r>
              <w:rPr>
                <w:rFonts w:hint="eastAsia" w:ascii="宋体" w:hAnsi="宋体" w:eastAsia="宋体" w:cs="宋体"/>
                <w:b/>
                <w:kern w:val="21"/>
                <w:sz w:val="20"/>
                <w:szCs w:val="20"/>
              </w:rPr>
              <w:t>联系人：</w:t>
            </w:r>
          </w:p>
        </w:tc>
      </w:tr>
      <w:tr w14:paraId="38CBC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5BF9E0E">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联系电话：029-82202312</w:t>
            </w:r>
          </w:p>
        </w:tc>
        <w:tc>
          <w:tcPr>
            <w:tcW w:w="4503" w:type="dxa"/>
            <w:vAlign w:val="center"/>
          </w:tcPr>
          <w:p w14:paraId="4B0E0E69">
            <w:pPr>
              <w:spacing w:line="360" w:lineRule="auto"/>
              <w:rPr>
                <w:rFonts w:ascii="宋体" w:hAnsi="宋体" w:eastAsia="宋体" w:cs="宋体"/>
                <w:kern w:val="21"/>
                <w:sz w:val="20"/>
                <w:szCs w:val="20"/>
              </w:rPr>
            </w:pPr>
            <w:r>
              <w:rPr>
                <w:rFonts w:hint="eastAsia" w:ascii="宋体" w:hAnsi="宋体" w:eastAsia="宋体" w:cs="宋体"/>
                <w:b/>
                <w:kern w:val="21"/>
                <w:sz w:val="20"/>
                <w:szCs w:val="20"/>
              </w:rPr>
              <w:t>联系电话：</w:t>
            </w:r>
          </w:p>
        </w:tc>
      </w:tr>
    </w:tbl>
    <w:p w14:paraId="3F289A6F">
      <w:pPr>
        <w:widowControl/>
        <w:spacing w:line="360" w:lineRule="auto"/>
        <w:ind w:firstLine="482"/>
        <w:jc w:val="left"/>
        <w:rPr>
          <w:rFonts w:ascii="宋体" w:hAnsi="宋体" w:eastAsia="宋体" w:cs="宋体"/>
          <w:b/>
          <w:kern w:val="21"/>
          <w:sz w:val="20"/>
          <w:szCs w:val="20"/>
        </w:rPr>
      </w:pPr>
    </w:p>
    <w:p w14:paraId="71C0519D">
      <w:pPr>
        <w:widowControl/>
        <w:spacing w:line="360" w:lineRule="auto"/>
        <w:jc w:val="left"/>
        <w:rPr>
          <w:rFonts w:ascii="宋体" w:hAnsi="宋体" w:eastAsia="宋体" w:cs="宋体"/>
          <w:b/>
          <w:kern w:val="21"/>
          <w:sz w:val="20"/>
          <w:szCs w:val="20"/>
        </w:rPr>
      </w:pPr>
      <w:r>
        <w:rPr>
          <w:rFonts w:hint="eastAsia" w:ascii="宋体" w:hAnsi="宋体" w:eastAsia="宋体" w:cs="宋体"/>
          <w:b/>
          <w:kern w:val="21"/>
          <w:sz w:val="20"/>
          <w:szCs w:val="20"/>
        </w:rPr>
        <w:t>附件：</w:t>
      </w:r>
    </w:p>
    <w:p w14:paraId="4E64B0F7">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附件1：技术协议</w:t>
      </w:r>
    </w:p>
    <w:p w14:paraId="5038AF42">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附件2：验收方法及标准</w:t>
      </w:r>
    </w:p>
    <w:p w14:paraId="2F999B97">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附件3：索赔</w:t>
      </w:r>
    </w:p>
    <w:p w14:paraId="2088A3A8">
      <w:pPr>
        <w:widowControl/>
        <w:spacing w:line="360" w:lineRule="auto"/>
        <w:jc w:val="left"/>
        <w:rPr>
          <w:rFonts w:ascii="宋体" w:hAnsi="宋体" w:eastAsia="宋体" w:cs="宋体"/>
          <w:kern w:val="21"/>
          <w:sz w:val="20"/>
          <w:szCs w:val="20"/>
        </w:rPr>
        <w:sectPr>
          <w:footerReference r:id="rId3" w:type="default"/>
          <w:pgSz w:w="11906" w:h="16838"/>
          <w:pgMar w:top="1440" w:right="1800" w:bottom="1440" w:left="1800" w:header="851" w:footer="992" w:gutter="0"/>
          <w:pgNumType w:fmt="numberInDash"/>
          <w:cols w:space="425" w:num="1"/>
          <w:docGrid w:type="lines" w:linePitch="312" w:charSpace="0"/>
        </w:sectPr>
      </w:pPr>
    </w:p>
    <w:p w14:paraId="1B172946">
      <w:pPr>
        <w:widowControl/>
        <w:spacing w:line="360" w:lineRule="auto"/>
        <w:jc w:val="left"/>
        <w:rPr>
          <w:rFonts w:ascii="宋体" w:hAnsi="宋体" w:eastAsia="宋体" w:cs="宋体"/>
          <w:kern w:val="21"/>
          <w:sz w:val="20"/>
          <w:szCs w:val="20"/>
        </w:rPr>
      </w:pPr>
      <w:r>
        <w:rPr>
          <w:rFonts w:hint="eastAsia" w:ascii="宋体" w:hAnsi="宋体" w:eastAsia="宋体" w:cs="宋体"/>
          <w:kern w:val="21"/>
          <w:sz w:val="20"/>
          <w:szCs w:val="20"/>
        </w:rPr>
        <w:t>附件1：技术协议</w:t>
      </w:r>
    </w:p>
    <w:p w14:paraId="31D5F209">
      <w:pPr>
        <w:spacing w:line="360" w:lineRule="auto"/>
        <w:rPr>
          <w:rFonts w:ascii="宋体" w:hAnsi="宋体" w:eastAsia="宋体" w:cs="宋体"/>
          <w:b/>
          <w:kern w:val="21"/>
          <w:sz w:val="20"/>
          <w:szCs w:val="20"/>
        </w:rPr>
      </w:pPr>
      <w:bookmarkStart w:id="0" w:name="_Toc390373038"/>
      <w:bookmarkStart w:id="1" w:name="_Toc390360542"/>
      <w:r>
        <w:rPr>
          <w:rFonts w:hint="eastAsia" w:ascii="宋体" w:hAnsi="宋体" w:eastAsia="宋体" w:cs="宋体"/>
          <w:b/>
          <w:kern w:val="21"/>
          <w:sz w:val="20"/>
          <w:szCs w:val="20"/>
        </w:rPr>
        <w:t>1.中标产品技术参数明细</w:t>
      </w:r>
    </w:p>
    <w:p w14:paraId="05642C59">
      <w:pPr>
        <w:spacing w:line="360" w:lineRule="auto"/>
        <w:rPr>
          <w:rFonts w:ascii="宋体" w:hAnsi="宋体" w:eastAsia="宋体" w:cs="宋体"/>
          <w:kern w:val="21"/>
          <w:sz w:val="20"/>
          <w:szCs w:val="20"/>
        </w:rPr>
      </w:pPr>
      <w:r>
        <w:rPr>
          <w:rFonts w:hint="eastAsia" w:ascii="宋体" w:hAnsi="宋体" w:eastAsia="宋体" w:cs="宋体"/>
          <w:kern w:val="21"/>
          <w:sz w:val="20"/>
          <w:szCs w:val="20"/>
        </w:rPr>
        <w:t>我公司承诺：合同中数列产品均满足标书及使用要求，无任何负偏离。并与所供产品完全一致。</w:t>
      </w:r>
    </w:p>
    <w:bookmarkEnd w:id="0"/>
    <w:bookmarkEnd w:id="1"/>
    <w:p w14:paraId="7A633CA6">
      <w:pPr>
        <w:spacing w:line="360" w:lineRule="auto"/>
        <w:rPr>
          <w:rStyle w:val="9"/>
          <w:rFonts w:ascii="宋体" w:hAnsi="宋体" w:eastAsia="宋体" w:cs="宋体"/>
          <w:kern w:val="21"/>
          <w:sz w:val="20"/>
          <w:szCs w:val="20"/>
        </w:rPr>
      </w:pPr>
      <w:r>
        <w:rPr>
          <w:rStyle w:val="9"/>
          <w:rFonts w:hint="eastAsia" w:ascii="宋体" w:hAnsi="宋体" w:eastAsia="宋体" w:cs="宋体"/>
          <w:kern w:val="21"/>
          <w:sz w:val="20"/>
          <w:szCs w:val="20"/>
        </w:rPr>
        <w:t>1.1设备特性</w:t>
      </w:r>
    </w:p>
    <w:p w14:paraId="0559896A">
      <w:pPr>
        <w:spacing w:line="360" w:lineRule="auto"/>
        <w:rPr>
          <w:rFonts w:ascii="宋体" w:hAnsi="宋体" w:eastAsia="宋体" w:cs="宋体"/>
          <w:b/>
          <w:kern w:val="21"/>
          <w:sz w:val="20"/>
          <w:szCs w:val="20"/>
        </w:rPr>
      </w:pPr>
      <w:r>
        <w:rPr>
          <w:rStyle w:val="9"/>
          <w:rFonts w:hint="eastAsia" w:ascii="宋体" w:hAnsi="宋体" w:eastAsia="宋体" w:cs="宋体"/>
          <w:kern w:val="21"/>
          <w:sz w:val="20"/>
          <w:szCs w:val="20"/>
        </w:rPr>
        <w:t>1.2</w:t>
      </w:r>
      <w:r>
        <w:rPr>
          <w:rFonts w:hint="eastAsia" w:ascii="宋体" w:hAnsi="宋体" w:eastAsia="宋体" w:cs="宋体"/>
          <w:b/>
          <w:kern w:val="21"/>
          <w:sz w:val="20"/>
          <w:szCs w:val="20"/>
        </w:rPr>
        <w:t>设备用途</w:t>
      </w:r>
    </w:p>
    <w:p w14:paraId="6982BA7C">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1.3设备主要参数指标</w:t>
      </w:r>
    </w:p>
    <w:p w14:paraId="437301EE">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 xml:space="preserve">1.4质量要求与安全要求 </w:t>
      </w:r>
    </w:p>
    <w:p w14:paraId="5F5F66F5">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1.5设备运行一般流程图</w:t>
      </w:r>
    </w:p>
    <w:p w14:paraId="55C1AE27">
      <w:pPr>
        <w:spacing w:line="360" w:lineRule="auto"/>
        <w:rPr>
          <w:rFonts w:ascii="宋体" w:hAnsi="宋体" w:eastAsia="宋体" w:cs="宋体"/>
          <w:kern w:val="21"/>
          <w:sz w:val="20"/>
          <w:szCs w:val="20"/>
        </w:rPr>
      </w:pPr>
      <w:r>
        <w:rPr>
          <w:rStyle w:val="9"/>
          <w:rFonts w:hint="eastAsia" w:ascii="宋体" w:hAnsi="宋体" w:eastAsia="宋体" w:cs="宋体"/>
          <w:b w:val="0"/>
          <w:bCs w:val="0"/>
          <w:kern w:val="21"/>
          <w:sz w:val="20"/>
          <w:szCs w:val="20"/>
        </w:rPr>
        <w:t xml:space="preserve"> </w:t>
      </w:r>
    </w:p>
    <w:p w14:paraId="4A07F2C2">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2售后服务内容</w:t>
      </w:r>
      <w:bookmarkStart w:id="2" w:name="_Toc390360557"/>
      <w:bookmarkStart w:id="3" w:name="_Toc390373053"/>
      <w:bookmarkStart w:id="4" w:name="_Toc373263358"/>
    </w:p>
    <w:p w14:paraId="2E0765B9">
      <w:pPr>
        <w:spacing w:line="360" w:lineRule="auto"/>
        <w:rPr>
          <w:rFonts w:ascii="宋体" w:hAnsi="宋体" w:eastAsia="宋体" w:cs="宋体"/>
          <w:b/>
          <w:kern w:val="21"/>
          <w:sz w:val="20"/>
          <w:szCs w:val="20"/>
        </w:rPr>
      </w:pPr>
      <w:bookmarkStart w:id="5" w:name="_Toc373263359"/>
      <w:bookmarkStart w:id="6" w:name="_Toc390373054"/>
      <w:bookmarkStart w:id="7" w:name="_Toc390360558"/>
      <w:r>
        <w:rPr>
          <w:rFonts w:hint="eastAsia" w:ascii="宋体" w:hAnsi="宋体" w:eastAsia="宋体" w:cs="宋体"/>
          <w:b/>
          <w:kern w:val="21"/>
          <w:sz w:val="20"/>
          <w:szCs w:val="20"/>
        </w:rPr>
        <w:t>2.1技术服务、售后服务体系、故障响应时间、应急维修措施</w:t>
      </w:r>
      <w:bookmarkEnd w:id="5"/>
      <w:bookmarkEnd w:id="6"/>
      <w:bookmarkEnd w:id="7"/>
    </w:p>
    <w:p w14:paraId="0D8CC9AA">
      <w:pPr>
        <w:spacing w:line="360" w:lineRule="auto"/>
        <w:ind w:right="210" w:rightChars="100" w:firstLine="400" w:firstLineChars="200"/>
        <w:outlineLvl w:val="3"/>
        <w:rPr>
          <w:rFonts w:ascii="宋体" w:hAnsi="宋体" w:eastAsia="宋体" w:cs="宋体"/>
          <w:kern w:val="21"/>
          <w:sz w:val="20"/>
          <w:szCs w:val="20"/>
        </w:rPr>
      </w:pPr>
      <w:r>
        <w:rPr>
          <w:rFonts w:hint="eastAsia" w:ascii="宋体" w:hAnsi="宋体" w:eastAsia="宋体" w:cs="宋体"/>
          <w:kern w:val="21"/>
          <w:sz w:val="20"/>
          <w:szCs w:val="20"/>
        </w:rPr>
        <w:t>2.1.1技术服务措施</w:t>
      </w:r>
    </w:p>
    <w:p w14:paraId="03F98594">
      <w:pPr>
        <w:spacing w:line="360" w:lineRule="auto"/>
        <w:ind w:right="210" w:rightChars="100" w:firstLine="400" w:firstLineChars="200"/>
        <w:outlineLvl w:val="3"/>
        <w:rPr>
          <w:rFonts w:ascii="宋体" w:hAnsi="宋体" w:eastAsia="宋体" w:cs="宋体"/>
          <w:kern w:val="21"/>
          <w:sz w:val="20"/>
          <w:szCs w:val="20"/>
        </w:rPr>
      </w:pPr>
      <w:r>
        <w:rPr>
          <w:rFonts w:hint="eastAsia" w:ascii="宋体" w:hAnsi="宋体" w:eastAsia="宋体" w:cs="宋体"/>
          <w:kern w:val="21"/>
          <w:sz w:val="20"/>
          <w:szCs w:val="20"/>
        </w:rPr>
        <w:t>2.1.2售后服务体系</w:t>
      </w:r>
    </w:p>
    <w:p w14:paraId="148B0AD4">
      <w:pPr>
        <w:spacing w:line="360" w:lineRule="auto"/>
        <w:ind w:firstLine="400" w:firstLineChars="200"/>
        <w:jc w:val="left"/>
        <w:outlineLvl w:val="0"/>
        <w:rPr>
          <w:rFonts w:ascii="宋体" w:hAnsi="宋体" w:eastAsia="宋体" w:cs="宋体"/>
          <w:kern w:val="21"/>
          <w:sz w:val="20"/>
          <w:szCs w:val="20"/>
        </w:rPr>
      </w:pPr>
      <w:r>
        <w:rPr>
          <w:rFonts w:hint="eastAsia" w:ascii="宋体" w:hAnsi="宋体" w:eastAsia="宋体" w:cs="宋体"/>
          <w:kern w:val="21"/>
          <w:sz w:val="20"/>
          <w:szCs w:val="20"/>
        </w:rPr>
        <w:t>质保期内服务</w:t>
      </w:r>
    </w:p>
    <w:p w14:paraId="06DDE523">
      <w:pPr>
        <w:spacing w:line="360" w:lineRule="auto"/>
        <w:ind w:firstLine="400" w:firstLineChars="200"/>
        <w:jc w:val="left"/>
        <w:outlineLvl w:val="0"/>
        <w:rPr>
          <w:rFonts w:ascii="宋体" w:hAnsi="宋体" w:eastAsia="宋体" w:cs="宋体"/>
          <w:kern w:val="21"/>
          <w:sz w:val="20"/>
          <w:szCs w:val="20"/>
        </w:rPr>
      </w:pPr>
      <w:r>
        <w:rPr>
          <w:rFonts w:hint="eastAsia" w:ascii="宋体" w:hAnsi="宋体" w:eastAsia="宋体" w:cs="宋体"/>
          <w:kern w:val="21"/>
          <w:sz w:val="20"/>
          <w:szCs w:val="20"/>
        </w:rPr>
        <w:t>质保期外服务</w:t>
      </w:r>
    </w:p>
    <w:p w14:paraId="10182B31">
      <w:pPr>
        <w:spacing w:line="360" w:lineRule="auto"/>
        <w:ind w:right="210" w:rightChars="100" w:firstLine="400" w:firstLineChars="200"/>
        <w:outlineLvl w:val="3"/>
        <w:rPr>
          <w:rFonts w:ascii="宋体" w:hAnsi="宋体" w:eastAsia="宋体" w:cs="宋体"/>
          <w:kern w:val="21"/>
          <w:sz w:val="20"/>
          <w:szCs w:val="20"/>
        </w:rPr>
      </w:pPr>
      <w:r>
        <w:rPr>
          <w:rFonts w:hint="eastAsia" w:ascii="宋体" w:hAnsi="宋体" w:eastAsia="宋体" w:cs="宋体"/>
          <w:kern w:val="21"/>
          <w:sz w:val="20"/>
          <w:szCs w:val="20"/>
        </w:rPr>
        <w:t>2.1.3故障响应时间</w:t>
      </w:r>
    </w:p>
    <w:p w14:paraId="426DD0A3">
      <w:pPr>
        <w:spacing w:line="360" w:lineRule="auto"/>
        <w:ind w:right="210" w:rightChars="100" w:firstLine="400" w:firstLineChars="200"/>
        <w:outlineLvl w:val="3"/>
        <w:rPr>
          <w:rFonts w:ascii="宋体" w:hAnsi="宋体" w:eastAsia="宋体" w:cs="宋体"/>
          <w:kern w:val="21"/>
          <w:sz w:val="20"/>
          <w:szCs w:val="20"/>
        </w:rPr>
      </w:pPr>
      <w:r>
        <w:rPr>
          <w:rFonts w:hint="eastAsia" w:ascii="宋体" w:hAnsi="宋体" w:eastAsia="宋体" w:cs="宋体"/>
          <w:kern w:val="21"/>
          <w:sz w:val="20"/>
          <w:szCs w:val="20"/>
        </w:rPr>
        <w:t>2.1.4应急维修措施</w:t>
      </w:r>
    </w:p>
    <w:p w14:paraId="6CB19BD8">
      <w:pPr>
        <w:spacing w:line="360" w:lineRule="auto"/>
        <w:ind w:right="210" w:rightChars="100" w:firstLine="400" w:firstLineChars="200"/>
        <w:outlineLvl w:val="3"/>
        <w:rPr>
          <w:rFonts w:ascii="宋体" w:hAnsi="宋体" w:eastAsia="宋体" w:cs="宋体"/>
          <w:kern w:val="21"/>
          <w:sz w:val="20"/>
          <w:szCs w:val="20"/>
        </w:rPr>
      </w:pPr>
      <w:r>
        <w:rPr>
          <w:rFonts w:hint="eastAsia" w:ascii="宋体" w:hAnsi="宋体" w:eastAsia="宋体" w:cs="宋体"/>
          <w:kern w:val="21"/>
          <w:sz w:val="20"/>
          <w:szCs w:val="20"/>
        </w:rPr>
        <w:t>2.1.5易损件、备件的供应</w:t>
      </w:r>
    </w:p>
    <w:p w14:paraId="03FB894D">
      <w:pPr>
        <w:spacing w:line="360" w:lineRule="auto"/>
        <w:ind w:right="210" w:rightChars="100" w:firstLine="400" w:firstLineChars="200"/>
        <w:outlineLvl w:val="3"/>
        <w:rPr>
          <w:rFonts w:ascii="宋体" w:hAnsi="宋体" w:eastAsia="宋体" w:cs="宋体"/>
          <w:kern w:val="21"/>
          <w:sz w:val="20"/>
          <w:szCs w:val="20"/>
        </w:rPr>
      </w:pPr>
      <w:r>
        <w:rPr>
          <w:rFonts w:hint="eastAsia" w:ascii="宋体" w:hAnsi="宋体" w:eastAsia="宋体" w:cs="宋体"/>
          <w:kern w:val="21"/>
          <w:sz w:val="20"/>
          <w:szCs w:val="20"/>
        </w:rPr>
        <w:t>2.1.6质保期以外技术支持或技术服务</w:t>
      </w:r>
    </w:p>
    <w:p w14:paraId="3FF7E274">
      <w:pPr>
        <w:spacing w:line="360" w:lineRule="auto"/>
        <w:ind w:right="210" w:rightChars="100" w:firstLine="400" w:firstLineChars="200"/>
        <w:outlineLvl w:val="3"/>
        <w:rPr>
          <w:rFonts w:ascii="宋体" w:hAnsi="宋体" w:eastAsia="宋体" w:cs="宋体"/>
          <w:kern w:val="21"/>
          <w:sz w:val="20"/>
          <w:szCs w:val="20"/>
        </w:rPr>
      </w:pPr>
      <w:r>
        <w:rPr>
          <w:rFonts w:hint="eastAsia" w:ascii="宋体" w:hAnsi="宋体" w:eastAsia="宋体" w:cs="宋体"/>
          <w:kern w:val="21"/>
          <w:sz w:val="20"/>
          <w:szCs w:val="20"/>
        </w:rPr>
        <w:t>2.1.7制定切实可行的操作规程和使用指南</w:t>
      </w:r>
    </w:p>
    <w:p w14:paraId="596D07C8">
      <w:pPr>
        <w:spacing w:line="360" w:lineRule="auto"/>
        <w:rPr>
          <w:rFonts w:ascii="宋体" w:hAnsi="宋体" w:eastAsia="宋体" w:cs="宋体"/>
          <w:b/>
          <w:kern w:val="21"/>
          <w:sz w:val="20"/>
          <w:szCs w:val="20"/>
        </w:rPr>
      </w:pPr>
    </w:p>
    <w:p w14:paraId="01C8C983">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3 培训服务内容</w:t>
      </w:r>
    </w:p>
    <w:bookmarkEnd w:id="2"/>
    <w:bookmarkEnd w:id="3"/>
    <w:bookmarkEnd w:id="4"/>
    <w:p w14:paraId="1E356BFC">
      <w:pPr>
        <w:spacing w:line="360" w:lineRule="auto"/>
        <w:ind w:right="210" w:rightChars="100"/>
        <w:outlineLvl w:val="3"/>
        <w:rPr>
          <w:rFonts w:ascii="宋体" w:hAnsi="宋体" w:eastAsia="宋体" w:cs="宋体"/>
          <w:b/>
          <w:kern w:val="21"/>
          <w:sz w:val="20"/>
          <w:szCs w:val="20"/>
        </w:rPr>
      </w:pPr>
      <w:r>
        <w:rPr>
          <w:rFonts w:hint="eastAsia" w:ascii="宋体" w:hAnsi="宋体" w:eastAsia="宋体" w:cs="宋体"/>
          <w:b/>
          <w:kern w:val="21"/>
          <w:sz w:val="20"/>
          <w:szCs w:val="20"/>
        </w:rPr>
        <w:t>3.1培训方案</w:t>
      </w:r>
    </w:p>
    <w:p w14:paraId="0055B2EB">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培训目标和要求</w:t>
      </w:r>
    </w:p>
    <w:p w14:paraId="57F2AF3A">
      <w:pPr>
        <w:spacing w:line="360" w:lineRule="auto"/>
        <w:jc w:val="left"/>
        <w:rPr>
          <w:rFonts w:ascii="宋体" w:hAnsi="宋体" w:eastAsia="宋体" w:cs="宋体"/>
          <w:b/>
          <w:kern w:val="21"/>
          <w:sz w:val="20"/>
          <w:szCs w:val="20"/>
        </w:rPr>
      </w:pPr>
      <w:r>
        <w:rPr>
          <w:rFonts w:hint="eastAsia" w:ascii="宋体" w:hAnsi="宋体" w:eastAsia="宋体" w:cs="宋体"/>
          <w:b/>
          <w:kern w:val="21"/>
          <w:sz w:val="20"/>
          <w:szCs w:val="20"/>
        </w:rPr>
        <w:t>3.2培训对象</w:t>
      </w:r>
    </w:p>
    <w:p w14:paraId="16880288">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3.3培训方式</w:t>
      </w:r>
    </w:p>
    <w:p w14:paraId="167F0282">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3.3.1系统使用培训：</w:t>
      </w:r>
    </w:p>
    <w:p w14:paraId="3E6BFF58">
      <w:pPr>
        <w:spacing w:line="360" w:lineRule="auto"/>
        <w:ind w:firstLine="400" w:firstLineChars="200"/>
        <w:rPr>
          <w:rFonts w:ascii="宋体" w:hAnsi="宋体" w:eastAsia="宋体" w:cs="宋体"/>
          <w:bCs/>
          <w:kern w:val="21"/>
          <w:sz w:val="20"/>
          <w:szCs w:val="20"/>
        </w:rPr>
      </w:pPr>
      <w:bookmarkStart w:id="8" w:name="_Toc313387932"/>
      <w:bookmarkStart w:id="9" w:name="_Toc304629018"/>
      <w:bookmarkStart w:id="10" w:name="_Toc316311443"/>
      <w:bookmarkStart w:id="11" w:name="_Toc301812591"/>
      <w:bookmarkStart w:id="12" w:name="_Toc301634428"/>
      <w:bookmarkStart w:id="13" w:name="_Toc333266004"/>
      <w:bookmarkStart w:id="14" w:name="_Toc317944561"/>
      <w:bookmarkStart w:id="15" w:name="_Toc301613871"/>
      <w:bookmarkStart w:id="16" w:name="_Toc302460939"/>
      <w:bookmarkStart w:id="17" w:name="_Toc343188540"/>
      <w:bookmarkStart w:id="18" w:name="_Toc312502614"/>
      <w:r>
        <w:rPr>
          <w:rFonts w:hint="eastAsia" w:ascii="宋体" w:hAnsi="宋体" w:eastAsia="宋体" w:cs="宋体"/>
          <w:bCs/>
          <w:kern w:val="21"/>
          <w:sz w:val="20"/>
          <w:szCs w:val="20"/>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eastAsia="宋体" w:cs="宋体"/>
          <w:bCs/>
          <w:kern w:val="21"/>
          <w:sz w:val="20"/>
          <w:szCs w:val="20"/>
        </w:rPr>
        <w:t>：</w:t>
      </w:r>
    </w:p>
    <w:p w14:paraId="4A5405E3">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3.3.3培训教师安排</w:t>
      </w:r>
    </w:p>
    <w:p w14:paraId="5A3F552E">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3.3.4培训时间安排</w:t>
      </w:r>
    </w:p>
    <w:p w14:paraId="61E6DC60">
      <w:pPr>
        <w:spacing w:line="360" w:lineRule="auto"/>
        <w:ind w:firstLine="400" w:firstLineChars="200"/>
        <w:outlineLvl w:val="1"/>
        <w:rPr>
          <w:rFonts w:ascii="宋体" w:hAnsi="宋体" w:eastAsia="宋体" w:cs="宋体"/>
          <w:kern w:val="21"/>
          <w:sz w:val="20"/>
          <w:szCs w:val="20"/>
        </w:rPr>
      </w:pPr>
      <w:r>
        <w:rPr>
          <w:rFonts w:hint="eastAsia" w:ascii="宋体" w:hAnsi="宋体" w:eastAsia="宋体" w:cs="宋体"/>
          <w:kern w:val="21"/>
          <w:sz w:val="20"/>
          <w:szCs w:val="20"/>
        </w:rPr>
        <w:t>3.3.5培训及安全保证</w:t>
      </w:r>
    </w:p>
    <w:p w14:paraId="661BEAF2">
      <w:pPr>
        <w:pStyle w:val="6"/>
        <w:spacing w:after="0" w:line="360" w:lineRule="auto"/>
        <w:ind w:left="0" w:leftChars="0" w:firstLine="400"/>
        <w:rPr>
          <w:rFonts w:ascii="宋体" w:hAnsi="宋体" w:eastAsia="宋体" w:cs="宋体"/>
          <w:snapToGrid w:val="0"/>
          <w:kern w:val="21"/>
          <w:sz w:val="20"/>
        </w:rPr>
      </w:pPr>
      <w:r>
        <w:rPr>
          <w:rFonts w:hint="eastAsia" w:ascii="宋体" w:hAnsi="宋体" w:eastAsia="宋体" w:cs="宋体"/>
          <w:snapToGrid w:val="0"/>
          <w:kern w:val="21"/>
          <w:sz w:val="20"/>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24A2A21">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② 设备本体对可能造成伤害的部位均应采用防护板或防护网隔离并有醒目警示。</w:t>
      </w:r>
    </w:p>
    <w:p w14:paraId="1F84FE52">
      <w:pPr>
        <w:spacing w:line="360" w:lineRule="auto"/>
        <w:ind w:firstLine="400" w:firstLineChars="200"/>
        <w:rPr>
          <w:rFonts w:ascii="宋体" w:hAnsi="宋体" w:eastAsia="宋体" w:cs="宋体"/>
          <w:kern w:val="21"/>
          <w:sz w:val="20"/>
          <w:szCs w:val="20"/>
        </w:rPr>
      </w:pPr>
      <w:r>
        <w:rPr>
          <w:rFonts w:hint="eastAsia" w:ascii="宋体" w:hAnsi="宋体" w:eastAsia="宋体" w:cs="宋体"/>
          <w:kern w:val="21"/>
          <w:sz w:val="20"/>
          <w:szCs w:val="20"/>
        </w:rPr>
        <w:t>③ 所用电气元件均按照国标选配，确保稳定安全，符合三防要求。</w:t>
      </w:r>
    </w:p>
    <w:p w14:paraId="4C3D6BD3">
      <w:pPr>
        <w:spacing w:line="360" w:lineRule="auto"/>
        <w:rPr>
          <w:rFonts w:ascii="宋体" w:hAnsi="宋体" w:eastAsia="宋体" w:cs="宋体"/>
          <w:b/>
          <w:kern w:val="21"/>
          <w:sz w:val="20"/>
          <w:szCs w:val="20"/>
        </w:rPr>
      </w:pPr>
      <w:bookmarkStart w:id="19" w:name="_Toc346025578"/>
      <w:bookmarkStart w:id="20" w:name="_Toc345966650"/>
      <w:bookmarkStart w:id="21" w:name="_Toc345966825"/>
    </w:p>
    <w:p w14:paraId="147D2E06">
      <w:pPr>
        <w:pStyle w:val="11"/>
        <w:numPr>
          <w:ilvl w:val="1"/>
          <w:numId w:val="1"/>
        </w:numPr>
        <w:spacing w:line="360" w:lineRule="auto"/>
        <w:ind w:left="0" w:firstLine="0" w:firstLineChars="0"/>
        <w:rPr>
          <w:rFonts w:ascii="宋体" w:hAnsi="宋体" w:eastAsia="宋体" w:cs="宋体"/>
          <w:b/>
          <w:vanish/>
          <w:kern w:val="21"/>
          <w:sz w:val="20"/>
        </w:rPr>
      </w:pPr>
    </w:p>
    <w:p w14:paraId="0EAF9347">
      <w:pPr>
        <w:pStyle w:val="11"/>
        <w:numPr>
          <w:ilvl w:val="1"/>
          <w:numId w:val="1"/>
        </w:numPr>
        <w:spacing w:line="360" w:lineRule="auto"/>
        <w:ind w:left="0" w:firstLine="0" w:firstLineChars="0"/>
        <w:rPr>
          <w:rFonts w:ascii="宋体" w:hAnsi="宋体" w:eastAsia="宋体" w:cs="宋体"/>
          <w:b/>
          <w:vanish/>
          <w:kern w:val="21"/>
          <w:sz w:val="20"/>
        </w:rPr>
      </w:pPr>
    </w:p>
    <w:p w14:paraId="7DC2563C">
      <w:pPr>
        <w:pStyle w:val="11"/>
        <w:numPr>
          <w:ilvl w:val="1"/>
          <w:numId w:val="1"/>
        </w:numPr>
        <w:spacing w:line="360" w:lineRule="auto"/>
        <w:ind w:left="0" w:firstLine="0" w:firstLineChars="0"/>
        <w:rPr>
          <w:rFonts w:ascii="宋体" w:hAnsi="宋体" w:eastAsia="宋体" w:cs="宋体"/>
          <w:b/>
          <w:vanish/>
          <w:kern w:val="21"/>
          <w:sz w:val="20"/>
        </w:rPr>
      </w:pPr>
    </w:p>
    <w:p w14:paraId="29E017A1">
      <w:pPr>
        <w:pStyle w:val="11"/>
        <w:numPr>
          <w:ilvl w:val="1"/>
          <w:numId w:val="1"/>
        </w:numPr>
        <w:spacing w:line="360" w:lineRule="auto"/>
        <w:ind w:left="0" w:firstLine="0" w:firstLineChars="0"/>
        <w:rPr>
          <w:rFonts w:ascii="宋体" w:hAnsi="宋体" w:eastAsia="宋体" w:cs="宋体"/>
          <w:b/>
          <w:vanish/>
          <w:kern w:val="21"/>
          <w:sz w:val="20"/>
        </w:rPr>
      </w:pPr>
    </w:p>
    <w:bookmarkEnd w:id="19"/>
    <w:bookmarkEnd w:id="20"/>
    <w:bookmarkEnd w:id="21"/>
    <w:p w14:paraId="2D81D0AF">
      <w:pPr>
        <w:spacing w:line="360" w:lineRule="auto"/>
        <w:rPr>
          <w:rFonts w:ascii="宋体" w:hAnsi="宋体" w:eastAsia="宋体" w:cs="宋体"/>
          <w:kern w:val="21"/>
          <w:sz w:val="20"/>
          <w:szCs w:val="20"/>
        </w:rPr>
      </w:pPr>
    </w:p>
    <w:p w14:paraId="3B715C35">
      <w:pPr>
        <w:spacing w:line="360" w:lineRule="auto"/>
        <w:ind w:firstLine="400" w:firstLineChars="200"/>
        <w:rPr>
          <w:rFonts w:ascii="宋体" w:hAnsi="宋体" w:eastAsia="宋体" w:cs="宋体"/>
          <w:kern w:val="21"/>
          <w:sz w:val="20"/>
          <w:szCs w:val="20"/>
        </w:rPr>
      </w:pPr>
    </w:p>
    <w:p w14:paraId="07EB415C">
      <w:pPr>
        <w:widowControl/>
        <w:spacing w:line="360" w:lineRule="auto"/>
        <w:rPr>
          <w:rFonts w:ascii="宋体" w:hAnsi="宋体" w:eastAsia="宋体" w:cs="宋体"/>
          <w:b/>
          <w:kern w:val="21"/>
          <w:sz w:val="20"/>
          <w:szCs w:val="20"/>
        </w:rPr>
      </w:pPr>
      <w:r>
        <w:rPr>
          <w:rFonts w:hint="eastAsia" w:ascii="宋体" w:hAnsi="宋体" w:eastAsia="宋体" w:cs="宋体"/>
          <w:b/>
          <w:kern w:val="21"/>
          <w:sz w:val="20"/>
          <w:szCs w:val="20"/>
        </w:rPr>
        <w:t>甲方使用单位：西安建筑科技大学XX学院</w:t>
      </w:r>
      <w:r>
        <w:rPr>
          <w:rFonts w:hint="eastAsia" w:ascii="宋体" w:hAnsi="宋体" w:eastAsia="宋体" w:cs="宋体"/>
          <w:b/>
          <w:kern w:val="21"/>
          <w:sz w:val="20"/>
          <w:szCs w:val="20"/>
        </w:rPr>
        <w:tab/>
      </w:r>
      <w:r>
        <w:rPr>
          <w:rFonts w:hint="eastAsia" w:ascii="宋体" w:hAnsi="宋体" w:eastAsia="宋体" w:cs="宋体"/>
          <w:b/>
          <w:kern w:val="21"/>
          <w:sz w:val="20"/>
          <w:szCs w:val="20"/>
        </w:rPr>
        <w:t xml:space="preserve">          乙方： </w:t>
      </w:r>
    </w:p>
    <w:p w14:paraId="12D9F9C3">
      <w:pPr>
        <w:spacing w:line="360" w:lineRule="auto"/>
        <w:rPr>
          <w:rFonts w:ascii="宋体" w:hAnsi="宋体" w:eastAsia="宋体" w:cs="宋体"/>
          <w:b/>
          <w:kern w:val="21"/>
          <w:sz w:val="20"/>
          <w:szCs w:val="20"/>
        </w:rPr>
      </w:pPr>
    </w:p>
    <w:p w14:paraId="1B276785">
      <w:pPr>
        <w:spacing w:line="360" w:lineRule="auto"/>
        <w:rPr>
          <w:rFonts w:ascii="宋体" w:hAnsi="宋体" w:eastAsia="宋体" w:cs="宋体"/>
          <w:b/>
          <w:kern w:val="21"/>
          <w:sz w:val="20"/>
          <w:szCs w:val="20"/>
        </w:rPr>
      </w:pPr>
      <w:r>
        <w:rPr>
          <w:rFonts w:hint="eastAsia" w:ascii="宋体" w:hAnsi="宋体" w:eastAsia="宋体" w:cs="宋体"/>
          <w:b/>
          <w:kern w:val="21"/>
          <w:sz w:val="20"/>
          <w:szCs w:val="20"/>
        </w:rPr>
        <w:t>负责人：                                        负责人：</w:t>
      </w:r>
    </w:p>
    <w:p w14:paraId="7135F37A">
      <w:pPr>
        <w:spacing w:line="360" w:lineRule="auto"/>
        <w:rPr>
          <w:rFonts w:ascii="宋体" w:hAnsi="宋体" w:eastAsia="宋体" w:cs="宋体"/>
          <w:b/>
          <w:kern w:val="21"/>
          <w:sz w:val="20"/>
          <w:szCs w:val="20"/>
        </w:rPr>
      </w:pPr>
    </w:p>
    <w:p w14:paraId="4881F63C">
      <w:pPr>
        <w:spacing w:line="360" w:lineRule="auto"/>
        <w:rPr>
          <w:rFonts w:ascii="宋体" w:hAnsi="宋体" w:eastAsia="宋体" w:cs="宋体"/>
          <w:b/>
          <w:kern w:val="21"/>
          <w:sz w:val="20"/>
          <w:szCs w:val="20"/>
        </w:rPr>
      </w:pPr>
    </w:p>
    <w:p w14:paraId="6B498934">
      <w:pPr>
        <w:spacing w:line="360" w:lineRule="auto"/>
        <w:rPr>
          <w:rFonts w:ascii="宋体" w:hAnsi="宋体" w:eastAsia="宋体" w:cs="宋体"/>
          <w:kern w:val="21"/>
          <w:sz w:val="20"/>
          <w:szCs w:val="20"/>
        </w:rPr>
      </w:pPr>
    </w:p>
    <w:p w14:paraId="6D6E0E10">
      <w:pPr>
        <w:widowControl/>
        <w:spacing w:line="360" w:lineRule="auto"/>
        <w:ind w:firstLine="400" w:firstLineChars="200"/>
        <w:jc w:val="left"/>
        <w:rPr>
          <w:rFonts w:ascii="宋体" w:hAnsi="宋体" w:eastAsia="宋体" w:cs="宋体"/>
          <w:kern w:val="21"/>
          <w:sz w:val="20"/>
          <w:szCs w:val="20"/>
        </w:rPr>
      </w:pPr>
    </w:p>
    <w:p w14:paraId="456C5549">
      <w:pPr>
        <w:spacing w:line="360" w:lineRule="auto"/>
        <w:rPr>
          <w:rFonts w:ascii="宋体" w:hAnsi="宋体" w:eastAsia="宋体" w:cs="宋体"/>
          <w:kern w:val="21"/>
          <w:sz w:val="20"/>
          <w:szCs w:val="20"/>
        </w:rPr>
      </w:pPr>
      <w:r>
        <w:rPr>
          <w:rFonts w:hint="eastAsia" w:ascii="宋体" w:hAnsi="宋体" w:eastAsia="宋体" w:cs="宋体"/>
          <w:kern w:val="21"/>
          <w:sz w:val="20"/>
          <w:szCs w:val="20"/>
        </w:rPr>
        <w:br w:type="page"/>
      </w:r>
    </w:p>
    <w:p w14:paraId="2BD84107">
      <w:pPr>
        <w:widowControl/>
        <w:spacing w:line="360" w:lineRule="auto"/>
        <w:jc w:val="left"/>
        <w:rPr>
          <w:rFonts w:ascii="宋体" w:hAnsi="宋体" w:eastAsia="宋体" w:cs="宋体"/>
          <w:kern w:val="21"/>
          <w:sz w:val="20"/>
          <w:szCs w:val="20"/>
        </w:rPr>
      </w:pPr>
      <w:r>
        <w:rPr>
          <w:rFonts w:hint="eastAsia" w:ascii="宋体" w:hAnsi="宋体" w:eastAsia="宋体" w:cs="宋体"/>
          <w:kern w:val="21"/>
          <w:sz w:val="20"/>
          <w:szCs w:val="20"/>
        </w:rPr>
        <w:t>附件2：验收方法及标准</w:t>
      </w:r>
    </w:p>
    <w:p w14:paraId="532807BD">
      <w:pPr>
        <w:widowControl/>
        <w:spacing w:line="360" w:lineRule="auto"/>
        <w:ind w:firstLine="402" w:firstLineChars="200"/>
        <w:jc w:val="center"/>
        <w:rPr>
          <w:rFonts w:ascii="宋体" w:hAnsi="宋体" w:eastAsia="宋体" w:cs="宋体"/>
          <w:b/>
          <w:kern w:val="21"/>
          <w:sz w:val="20"/>
          <w:szCs w:val="20"/>
        </w:rPr>
      </w:pPr>
      <w:r>
        <w:rPr>
          <w:rFonts w:hint="eastAsia" w:ascii="宋体" w:hAnsi="宋体" w:eastAsia="宋体" w:cs="宋体"/>
          <w:b/>
          <w:kern w:val="21"/>
          <w:sz w:val="20"/>
          <w:szCs w:val="20"/>
        </w:rPr>
        <w:t>验收方法及标准</w:t>
      </w:r>
    </w:p>
    <w:p w14:paraId="55140943">
      <w:pPr>
        <w:widowControl/>
        <w:spacing w:line="360" w:lineRule="auto"/>
        <w:ind w:firstLine="402" w:firstLineChars="200"/>
        <w:jc w:val="left"/>
        <w:rPr>
          <w:rFonts w:ascii="宋体" w:hAnsi="宋体" w:eastAsia="宋体" w:cs="宋体"/>
          <w:b/>
          <w:kern w:val="21"/>
          <w:sz w:val="20"/>
          <w:szCs w:val="20"/>
        </w:rPr>
      </w:pPr>
      <w:r>
        <w:rPr>
          <w:rFonts w:hint="eastAsia" w:ascii="宋体" w:hAnsi="宋体" w:eastAsia="宋体" w:cs="宋体"/>
          <w:b/>
          <w:kern w:val="21"/>
          <w:sz w:val="20"/>
          <w:szCs w:val="20"/>
        </w:rPr>
        <w:t>一、开箱验收</w:t>
      </w:r>
    </w:p>
    <w:p w14:paraId="7F2A7037">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1.产品运抵现场后，双方应及时开箱验收，并制作验收记录，以确认与本合同约定的数量、型号等是否一致。</w:t>
      </w:r>
    </w:p>
    <w:p w14:paraId="79D81F99">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2.乙方应在交货前对产品的质量、规格、数量等进行详细而全面的检验，并出具证明产品符合合同规定的文件。该文件将作为申请付款单据的一部分，但有关质量、规格、数量的检验不应视为最终检验。</w:t>
      </w:r>
    </w:p>
    <w:p w14:paraId="50D6A296">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5E871326">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4.开箱验收中如发现产品的数量、规格与合同约定不符，甲方有权拒收产品，乙方应及时按甲方要求免费对拒收产品采取更换或其他必要的补救措施，直至开箱验收合格，方视为乙方完成交货。</w:t>
      </w:r>
    </w:p>
    <w:p w14:paraId="58407C35">
      <w:pPr>
        <w:widowControl/>
        <w:spacing w:line="360" w:lineRule="auto"/>
        <w:ind w:firstLine="402" w:firstLineChars="200"/>
        <w:jc w:val="left"/>
        <w:rPr>
          <w:rFonts w:ascii="宋体" w:hAnsi="宋体" w:eastAsia="宋体" w:cs="宋体"/>
          <w:b/>
          <w:kern w:val="21"/>
          <w:sz w:val="20"/>
          <w:szCs w:val="20"/>
        </w:rPr>
      </w:pPr>
      <w:r>
        <w:rPr>
          <w:rFonts w:hint="eastAsia" w:ascii="宋体" w:hAnsi="宋体" w:eastAsia="宋体" w:cs="宋体"/>
          <w:b/>
          <w:kern w:val="21"/>
          <w:sz w:val="20"/>
          <w:szCs w:val="20"/>
        </w:rPr>
        <w:t>二、检验验收</w:t>
      </w:r>
    </w:p>
    <w:p w14:paraId="4176F58C">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1C7D3E60">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2.在具体实施合同规定的检验验收之前，乙方需提前提交相应的测试计划（包括测试程序、测试内容和检验标准、试验时间安排等）供甲方确认。</w:t>
      </w:r>
    </w:p>
    <w:p w14:paraId="6DC841CB">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3.除需甲方确认的试验验收外，乙方还应对所有检验验收测试的结果、步骤、原始数据等作妥善记录。如甲方要求，乙方应提供这些记录给甲方。</w:t>
      </w:r>
    </w:p>
    <w:p w14:paraId="40613B0F">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4.检验测试出现全部或部分未达到本合同所约定的技术指标，甲方有权选择下列任一处理方式：</w:t>
      </w:r>
    </w:p>
    <w:p w14:paraId="16883E90">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a.重新测试直至合格为止；</w:t>
      </w:r>
    </w:p>
    <w:p w14:paraId="6A014AFE">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b.要求乙方对货物进行免费更换，然后重新测试直至合格为止；</w:t>
      </w:r>
    </w:p>
    <w:p w14:paraId="58C83BA3">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无论选择何种方式，甲方因此而发生的因乙方原因引起的所有费用均由乙方负担。</w:t>
      </w:r>
    </w:p>
    <w:p w14:paraId="0BC71547">
      <w:pPr>
        <w:widowControl/>
        <w:spacing w:line="360" w:lineRule="auto"/>
        <w:ind w:firstLine="402" w:firstLineChars="200"/>
        <w:jc w:val="left"/>
        <w:rPr>
          <w:rFonts w:ascii="宋体" w:hAnsi="宋体" w:eastAsia="宋体" w:cs="宋体"/>
          <w:b/>
          <w:kern w:val="21"/>
          <w:sz w:val="20"/>
          <w:szCs w:val="20"/>
        </w:rPr>
      </w:pPr>
      <w:r>
        <w:rPr>
          <w:rFonts w:hint="eastAsia" w:ascii="宋体" w:hAnsi="宋体" w:eastAsia="宋体" w:cs="宋体"/>
          <w:b/>
          <w:kern w:val="21"/>
          <w:sz w:val="20"/>
          <w:szCs w:val="20"/>
        </w:rPr>
        <w:t>三、使用过程检验</w:t>
      </w:r>
    </w:p>
    <w:p w14:paraId="23F1475E">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8A42EFB">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2.如果合同双方对乙方提供的上述试验结果报告的解释有分歧，双方须于出现分歧后10天内给对方声明，以陈述己方的观点。声明须附有关证据。分歧应通过协商解决。</w:t>
      </w:r>
    </w:p>
    <w:p w14:paraId="0BC6FC61">
      <w:pPr>
        <w:widowControl/>
        <w:spacing w:line="360" w:lineRule="auto"/>
        <w:ind w:firstLine="402" w:firstLineChars="200"/>
        <w:jc w:val="left"/>
        <w:rPr>
          <w:rFonts w:ascii="宋体" w:hAnsi="宋体" w:eastAsia="宋体" w:cs="宋体"/>
          <w:b/>
          <w:kern w:val="21"/>
          <w:sz w:val="20"/>
          <w:szCs w:val="20"/>
        </w:rPr>
      </w:pPr>
      <w:r>
        <w:rPr>
          <w:rFonts w:hint="eastAsia" w:ascii="宋体" w:hAnsi="宋体" w:eastAsia="宋体" w:cs="宋体"/>
          <w:b/>
          <w:kern w:val="21"/>
          <w:sz w:val="20"/>
          <w:szCs w:val="20"/>
        </w:rPr>
        <w:t>四、安装验收</w:t>
      </w:r>
    </w:p>
    <w:p w14:paraId="6154CA98">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3C548370">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2.乙方安装完毕后应进行自检，自检合格后3个工作日内通知甲方进行验收。甲方按照学校验收要求，及时组织验收。若验收不合格，乙方应在甲方限定时间内进行修改并组织再次验收，直至验收合格。</w:t>
      </w:r>
    </w:p>
    <w:p w14:paraId="0AA760BE">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3.所有验收合格，但不能免除乙方应该承担的质保责任。</w:t>
      </w:r>
    </w:p>
    <w:p w14:paraId="1F0C56A4">
      <w:pPr>
        <w:widowControl/>
        <w:spacing w:line="360" w:lineRule="auto"/>
        <w:ind w:firstLine="402" w:firstLineChars="200"/>
        <w:jc w:val="left"/>
        <w:rPr>
          <w:rFonts w:ascii="宋体" w:hAnsi="宋体" w:eastAsia="宋体" w:cs="宋体"/>
          <w:b/>
          <w:kern w:val="21"/>
          <w:sz w:val="20"/>
          <w:szCs w:val="20"/>
        </w:rPr>
      </w:pPr>
      <w:r>
        <w:rPr>
          <w:rFonts w:hint="eastAsia" w:ascii="宋体" w:hAnsi="宋体" w:eastAsia="宋体" w:cs="宋体"/>
          <w:b/>
          <w:kern w:val="21"/>
          <w:sz w:val="20"/>
          <w:szCs w:val="20"/>
        </w:rPr>
        <w:t>五、安全管理</w:t>
      </w:r>
    </w:p>
    <w:p w14:paraId="594E141C">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1.货物安装现场安全、文明管理由乙方编制专项详细方案并严格执行。</w:t>
      </w:r>
    </w:p>
    <w:p w14:paraId="43A093A5">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6A6936D4">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3.在设备安装施工全过程中，乙方应服从甲方的各项管理，并对乙方施工人员进行安全管理。</w:t>
      </w:r>
    </w:p>
    <w:p w14:paraId="1C0A747F">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4.确保现场建筑物及相关设施设备完好无损，如施工过程中出现损坏，乙方负责修复赔偿。</w:t>
      </w:r>
    </w:p>
    <w:p w14:paraId="1191A600">
      <w:pPr>
        <w:widowControl/>
        <w:spacing w:line="360" w:lineRule="auto"/>
        <w:ind w:firstLine="400" w:firstLineChars="200"/>
        <w:jc w:val="left"/>
        <w:rPr>
          <w:rFonts w:ascii="宋体" w:hAnsi="宋体" w:eastAsia="宋体" w:cs="宋体"/>
          <w:kern w:val="21"/>
          <w:sz w:val="20"/>
          <w:szCs w:val="20"/>
        </w:rPr>
      </w:pPr>
      <w:r>
        <w:rPr>
          <w:rFonts w:hint="eastAsia" w:ascii="宋体" w:hAnsi="宋体" w:eastAsia="宋体" w:cs="宋体"/>
          <w:kern w:val="21"/>
          <w:sz w:val="20"/>
          <w:szCs w:val="20"/>
        </w:rPr>
        <w:t>5.乙方应对安装施工人员相关岗位上岗资格进行审查，并对相关后果负责。</w:t>
      </w:r>
    </w:p>
    <w:p w14:paraId="3F527A52">
      <w:pPr>
        <w:widowControl/>
        <w:spacing w:line="360" w:lineRule="auto"/>
        <w:jc w:val="left"/>
        <w:rPr>
          <w:rFonts w:ascii="宋体" w:hAnsi="宋体" w:eastAsia="宋体" w:cs="宋体"/>
          <w:kern w:val="21"/>
          <w:sz w:val="20"/>
          <w:szCs w:val="20"/>
        </w:rPr>
      </w:pPr>
    </w:p>
    <w:p w14:paraId="4CE8B8BA">
      <w:pPr>
        <w:spacing w:line="360" w:lineRule="auto"/>
        <w:rPr>
          <w:rFonts w:ascii="宋体" w:hAnsi="宋体" w:eastAsia="宋体" w:cs="宋体"/>
          <w:kern w:val="21"/>
          <w:sz w:val="20"/>
          <w:szCs w:val="20"/>
        </w:rPr>
      </w:pPr>
      <w:r>
        <w:rPr>
          <w:rFonts w:hint="eastAsia" w:ascii="宋体" w:hAnsi="宋体" w:eastAsia="宋体" w:cs="宋体"/>
          <w:kern w:val="21"/>
          <w:sz w:val="20"/>
          <w:szCs w:val="20"/>
        </w:rPr>
        <w:br w:type="page"/>
      </w:r>
    </w:p>
    <w:p w14:paraId="37884904">
      <w:pPr>
        <w:widowControl/>
        <w:spacing w:line="360" w:lineRule="auto"/>
        <w:jc w:val="left"/>
        <w:rPr>
          <w:rFonts w:ascii="宋体" w:hAnsi="宋体" w:eastAsia="宋体" w:cs="宋体"/>
          <w:kern w:val="21"/>
          <w:sz w:val="20"/>
          <w:szCs w:val="20"/>
        </w:rPr>
      </w:pPr>
      <w:r>
        <w:rPr>
          <w:rFonts w:hint="eastAsia" w:ascii="宋体" w:hAnsi="宋体" w:eastAsia="宋体" w:cs="宋体"/>
          <w:kern w:val="21"/>
          <w:sz w:val="20"/>
          <w:szCs w:val="20"/>
        </w:rPr>
        <w:t>附件3：索赔</w:t>
      </w:r>
    </w:p>
    <w:p w14:paraId="1885E1D6">
      <w:pPr>
        <w:widowControl/>
        <w:spacing w:line="360" w:lineRule="auto"/>
        <w:ind w:firstLine="402" w:firstLineChars="200"/>
        <w:jc w:val="center"/>
        <w:rPr>
          <w:rFonts w:ascii="宋体" w:hAnsi="宋体" w:eastAsia="宋体" w:cs="宋体"/>
          <w:kern w:val="21"/>
          <w:sz w:val="20"/>
          <w:szCs w:val="20"/>
        </w:rPr>
      </w:pPr>
      <w:r>
        <w:rPr>
          <w:rFonts w:hint="eastAsia" w:ascii="宋体" w:hAnsi="宋体" w:eastAsia="宋体" w:cs="宋体"/>
          <w:b/>
          <w:kern w:val="21"/>
          <w:sz w:val="20"/>
          <w:szCs w:val="20"/>
        </w:rPr>
        <w:t>索 赔</w:t>
      </w:r>
    </w:p>
    <w:p w14:paraId="00910FDE">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0FFBEEC9">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2.在验收合格前，乙方对甲方提出的索赔负有责任，乙方应按照甲方同意的下列一种或多种方式解决索赔事宜：</w:t>
      </w:r>
    </w:p>
    <w:p w14:paraId="7F1BD331">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4CE6FA5">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2.2根据货物低劣程度、损坏程度以及甲方所遭受损失的数额，经甲乙双方商定降低货物的价格，或由有资质的中介机构评估，以降低后的价格或评估价格为准。</w:t>
      </w:r>
    </w:p>
    <w:p w14:paraId="610C77BA">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7446810">
      <w:pPr>
        <w:widowControl/>
        <w:spacing w:line="360" w:lineRule="auto"/>
        <w:ind w:firstLine="482"/>
        <w:jc w:val="left"/>
        <w:rPr>
          <w:rFonts w:ascii="宋体" w:hAnsi="宋体" w:eastAsia="宋体" w:cs="宋体"/>
          <w:kern w:val="21"/>
          <w:sz w:val="20"/>
          <w:szCs w:val="20"/>
        </w:rPr>
      </w:pPr>
      <w:r>
        <w:rPr>
          <w:rFonts w:hint="eastAsia" w:ascii="宋体" w:hAnsi="宋体" w:eastAsia="宋体" w:cs="宋体"/>
          <w:kern w:val="21"/>
          <w:sz w:val="20"/>
          <w:szCs w:val="20"/>
        </w:rPr>
        <w:t>3.乙方收到甲方发出的索赔通知之日起5个工作日内未作答复的，甲方可从合同款或履约保证金中扣回索赔金额，如金额不足以补偿索赔金额，乙方应补足差额部分。</w:t>
      </w:r>
    </w:p>
    <w:p w14:paraId="0AC9AE04">
      <w:bookmarkStart w:id="22" w:name="_GoBack"/>
      <w:bookmarkEnd w:id="22"/>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7AB4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4851B7">
                          <w:pPr>
                            <w:pStyle w:val="5"/>
                          </w:pPr>
                          <w:r>
                            <w:fldChar w:fldCharType="begin"/>
                          </w:r>
                          <w:r>
                            <w:instrText xml:space="preserve"> PAGE  \* MERGEFORMAT </w:instrText>
                          </w:r>
                          <w:r>
                            <w:fldChar w:fldCharType="separate"/>
                          </w:r>
                          <w:r>
                            <w:t>- 22 -</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14:paraId="0A4851B7">
                    <w:pPr>
                      <w:pStyle w:val="5"/>
                    </w:pPr>
                    <w:r>
                      <w:fldChar w:fldCharType="begin"/>
                    </w:r>
                    <w:r>
                      <w:instrText xml:space="preserve"> PAGE  \* MERGEFORMAT </w:instrText>
                    </w:r>
                    <w:r>
                      <w:fldChar w:fldCharType="separate"/>
                    </w:r>
                    <w:r>
                      <w:t>- 22 -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DAE0F">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5DA0DF">
                          <w:pPr>
                            <w:pStyle w:val="5"/>
                          </w:pPr>
                          <w:r>
                            <w:fldChar w:fldCharType="begin"/>
                          </w:r>
                          <w:r>
                            <w:instrText xml:space="preserve"> PAGE  \* MERGEFORMAT </w:instrText>
                          </w:r>
                          <w:r>
                            <w:fldChar w:fldCharType="separate"/>
                          </w:r>
                          <w:r>
                            <w:t>- 30 -</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585DA0DF">
                    <w:pPr>
                      <w:pStyle w:val="5"/>
                    </w:pPr>
                    <w:r>
                      <w:fldChar w:fldCharType="begin"/>
                    </w:r>
                    <w:r>
                      <w:instrText xml:space="preserve"> PAGE  \* MERGEFORMAT </w:instrText>
                    </w:r>
                    <w:r>
                      <w:fldChar w:fldCharType="separate"/>
                    </w:r>
                    <w:r>
                      <w:t>- 30 -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B881BE1"/>
    <w:rsid w:val="0F2B5C9A"/>
    <w:rsid w:val="4BB93361"/>
    <w:rsid w:val="76274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semiHidden/>
    <w:unhideWhenUsed/>
    <w:qFormat/>
    <w:uiPriority w:val="99"/>
    <w:pPr>
      <w:spacing w:after="120"/>
      <w:ind w:left="420" w:leftChars="200"/>
    </w:pPr>
  </w:style>
  <w:style w:type="paragraph" w:styleId="4">
    <w:name w:val="Body Text Indent 2"/>
    <w:basedOn w:val="1"/>
    <w:qFormat/>
    <w:uiPriority w:val="0"/>
    <w:pPr>
      <w:ind w:left="555"/>
    </w:pPr>
    <w:rPr>
      <w:sz w:val="28"/>
      <w:szCs w:val="20"/>
    </w:rPr>
  </w:style>
  <w:style w:type="paragraph" w:styleId="5">
    <w:name w:val="footer"/>
    <w:basedOn w:val="1"/>
    <w:semiHidden/>
    <w:unhideWhenUsed/>
    <w:qFormat/>
    <w:uiPriority w:val="99"/>
    <w:pPr>
      <w:tabs>
        <w:tab w:val="center" w:pos="4153"/>
        <w:tab w:val="right" w:pos="8306"/>
      </w:tabs>
      <w:snapToGrid w:val="0"/>
      <w:jc w:val="left"/>
    </w:pPr>
    <w:rPr>
      <w:sz w:val="18"/>
      <w:szCs w:val="18"/>
    </w:rPr>
  </w:style>
  <w:style w:type="paragraph" w:styleId="6">
    <w:name w:val="Body Text First Indent 2"/>
    <w:basedOn w:val="3"/>
    <w:unhideWhenUsed/>
    <w:qFormat/>
    <w:uiPriority w:val="0"/>
    <w:pPr>
      <w:ind w:firstLine="420" w:firstLineChars="200"/>
    </w:pPr>
    <w:rPr>
      <w:rFonts w:ascii="Times New Roman" w:hAnsi="Times New Roman" w:cs="Times New Roman"/>
      <w:szCs w:val="20"/>
    </w:rPr>
  </w:style>
  <w:style w:type="character" w:styleId="9">
    <w:name w:val="Strong"/>
    <w:qFormat/>
    <w:uiPriority w:val="22"/>
    <w:rPr>
      <w:b/>
      <w:bCs/>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styleId="11">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5680</Words>
  <Characters>5961</Characters>
  <Lines>0</Lines>
  <Paragraphs>0</Paragraphs>
  <TotalTime>0</TotalTime>
  <ScaleCrop>false</ScaleCrop>
  <LinksUpToDate>false</LinksUpToDate>
  <CharactersWithSpaces>6228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2024-09-23T06:27:00Z</dcterms:created>
  <dc:creator>Admin</dc:creator>
  <cp:lastModifiedBy>zzh</cp:lastModifiedBy>
  <dcterms:modified xsi:type="dcterms:W3CDTF">2024-10-21T10:55:46Z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0D80F657F1344C0D89C4F4B9B48B0233_12</vt:lpwstr>
  </property>
</Properties>
</file>