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西安市第四次全国文物普查地理坐标勘测项目</w:t>
      </w:r>
    </w:p>
    <w:p>
      <w:pPr>
        <w:pStyle w:val="null3"/>
        <w:jc w:val="center"/>
        <w:outlineLvl w:val="2"/>
      </w:pPr>
      <w:r>
        <w:rPr>
          <w:sz w:val="28"/>
          <w:b/>
        </w:rPr>
        <w:t>采购项目编号：</w:t>
      </w:r>
      <w:r>
        <w:rPr>
          <w:sz w:val="28"/>
          <w:b/>
        </w:rPr>
        <w:t>SZT2024-SN-XC-ZC-FW-1144</w:t>
      </w:r>
      <w:r>
        <w:br/>
      </w:r>
      <w:r>
        <w:br/>
      </w:r>
      <w:r>
        <w:br/>
      </w:r>
    </w:p>
    <w:p>
      <w:pPr>
        <w:pStyle w:val="null3"/>
        <w:jc w:val="center"/>
        <w:outlineLvl w:val="2"/>
      </w:pPr>
      <w:r>
        <w:rPr>
          <w:sz w:val="28"/>
          <w:b/>
        </w:rPr>
        <w:t>西安市文物保护考古研究院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2024年11月05日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西安市文物保护考古研究院</w:t>
      </w:r>
      <w:r>
        <w:rPr/>
        <w:t>委托，拟对</w:t>
      </w:r>
      <w:r>
        <w:rPr/>
        <w:t>西安市第四次全国文物普查地理坐标勘测项目</w:t>
      </w:r>
      <w:r>
        <w:rPr/>
        <w:t>采用竞争性磋商采购方式进行采购，兹邀请供应商参加本项目的竞争性磋商。</w:t>
      </w:r>
    </w:p>
    <w:p>
      <w:pPr>
        <w:pStyle w:val="null3"/>
        <w:outlineLvl w:val="2"/>
      </w:pPr>
      <w:r>
        <w:rPr>
          <w:sz w:val="28"/>
          <w:b/>
        </w:rPr>
        <w:t>一、项目编号：</w:t>
      </w:r>
      <w:r>
        <w:rPr>
          <w:sz w:val="28"/>
          <w:b/>
        </w:rPr>
        <w:t>SZT2024-SN-XC-ZC-FW-1144</w:t>
      </w:r>
    </w:p>
    <w:p>
      <w:pPr>
        <w:pStyle w:val="null3"/>
        <w:outlineLvl w:val="2"/>
      </w:pPr>
      <w:r>
        <w:rPr>
          <w:sz w:val="28"/>
          <w:b/>
        </w:rPr>
        <w:t>二、项目名称：</w:t>
      </w:r>
      <w:r>
        <w:rPr>
          <w:sz w:val="28"/>
          <w:b/>
        </w:rPr>
        <w:t>西安市第四次全国文物普查地理坐标勘测项目</w:t>
      </w:r>
    </w:p>
    <w:p>
      <w:pPr>
        <w:pStyle w:val="null3"/>
        <w:outlineLvl w:val="2"/>
      </w:pPr>
      <w:r>
        <w:rPr>
          <w:sz w:val="28"/>
          <w:b/>
        </w:rPr>
        <w:t>三、磋商项目简介</w:t>
      </w:r>
    </w:p>
    <w:p>
      <w:pPr>
        <w:pStyle w:val="null3"/>
        <w:ind w:firstLine="480"/>
      </w:pPr>
      <w:r>
        <w:rPr/>
        <w:t>根据《国务院关于开展第四次全国文物普查的通知》《陕西省第四次全国文物普查实施方案》相关要求开展西安市文物四普地理坐标勘测工作，形成文物保护管理空间数据并纳入国土空间规划编制和实施。</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1、法定代表人授权：法定代表人授权代表参加投标的，须出具法定代表人授权书及授权代表身份证（法定代表人直接参加投标的，须出具法定代表人身份证）； 供应商需在项目电子化交易系统中按要求上传相应证明文件并进行电子签章。</w:t>
      </w:r>
    </w:p>
    <w:p>
      <w:pPr>
        <w:pStyle w:val="null3"/>
      </w:pPr>
      <w:r>
        <w:rPr/>
        <w:t>2、供应商资质：具有城乡规划编制甲级资质； 供应商需在项目电子化交易系统中按要求上传相应证明文件并进行电子签章。</w:t>
      </w:r>
    </w:p>
    <w:p>
      <w:pPr>
        <w:pStyle w:val="null3"/>
      </w:pPr>
      <w:r>
        <w:rPr/>
        <w:t>3、不接受联合体相关要求：本项目不接受联合体投标。 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西安市文物保护考古研究院</w:t>
      </w:r>
    </w:p>
    <w:p>
      <w:pPr>
        <w:pStyle w:val="null3"/>
      </w:pPr>
      <w:r>
        <w:rPr/>
        <w:t xml:space="preserve"> 地址： </w:t>
      </w:r>
      <w:r>
        <w:rPr/>
        <w:t>西安市碑林区友谊西路68号</w:t>
      </w:r>
    </w:p>
    <w:p>
      <w:pPr>
        <w:pStyle w:val="null3"/>
      </w:pPr>
      <w:r>
        <w:rPr/>
        <w:t xml:space="preserve"> 邮编： </w:t>
      </w:r>
      <w:r>
        <w:rPr/>
        <w:t>西安市碑林区友谊西路68号</w:t>
      </w:r>
    </w:p>
    <w:p>
      <w:pPr>
        <w:pStyle w:val="null3"/>
      </w:pPr>
      <w:r>
        <w:rPr/>
        <w:t xml:space="preserve"> 联系人： </w:t>
      </w:r>
      <w:r>
        <w:rPr/>
        <w:t>陶亮</w:t>
      </w:r>
    </w:p>
    <w:p>
      <w:pPr>
        <w:pStyle w:val="null3"/>
      </w:pPr>
      <w:r>
        <w:rPr/>
        <w:t xml:space="preserve"> 联系电话： </w:t>
      </w:r>
      <w:r>
        <w:rPr/>
        <w:t>13991149288</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w:t>
      </w:r>
    </w:p>
    <w:p>
      <w:pPr>
        <w:pStyle w:val="null3"/>
      </w:pPr>
      <w:r>
        <w:rPr/>
        <w:t xml:space="preserve"> 联系人： </w:t>
      </w:r>
      <w:r>
        <w:rPr/>
        <w:t>杨艳、沈肖楠、单博</w:t>
      </w:r>
    </w:p>
    <w:p>
      <w:pPr>
        <w:pStyle w:val="null3"/>
      </w:pPr>
      <w:r>
        <w:rPr/>
        <w:t xml:space="preserve"> 联系电话： </w:t>
      </w:r>
      <w:r>
        <w:rPr/>
        <w:t>029-88364979-821</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采购包1：1,920,300.00元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 开户名称：陕西中技招标有限公司 开户行名称：招商银行西安分行营业部 账 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西安市文物保护考古研究院</w:t>
      </w:r>
      <w:r>
        <w:rPr/>
        <w:t>和</w:t>
      </w:r>
      <w:r>
        <w:rPr/>
        <w:t>陕西中技招标有限公司</w:t>
      </w:r>
      <w:r>
        <w:rPr/>
        <w:t>享有。对磋商文件中供应商参加本次政府采购活动应当具备的条件，磋商项目技术、服务、商务及其他要求，评审细则及标准由</w:t>
      </w:r>
      <w:r>
        <w:rPr/>
        <w:t>西安市文物保护考古研究院</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西安市文物保护考古研究院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《中华人民共和国文物保护法》 《中华人民共和国文物保护法实施条例》 《不可移动文物认定导则（试行）》 《全国重点文物保护单位保护范围、标志说明、记录档案和保管机构工作规范（试行）》 《全国重点文物保护单位记录档案工作规范》 《文物保护单位记录档案档号编制规则》 《文物认定管理暂行办法》 《陕西省第四次全国文物普查操作手册》 《陕西省文物保护条例》 《西安历史文化名城保护条例》 《西安市不可移动文物保护条例》 《国土空间规划“一张图”实施监督信息系统技术规范》 《国土空间规划城市时空大数据应用基本规定》</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根据《国务院关于开展第四次全国文物普查的通知》《陕西省第四次全国文物普查实施方案》相关要求开展西安市文物四普地理坐标勘测工作，形成文物保护管理空间数据并纳入国土空间规划编制和实施。</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1,920,300.00</w:t>
      </w:r>
    </w:p>
    <w:p>
      <w:pPr>
        <w:pStyle w:val="null3"/>
      </w:pPr>
      <w:r>
        <w:rPr/>
        <w:t>采购包最高限价（元）: 1,920,300.00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坐标勘测</w:t>
            </w:r>
          </w:p>
        </w:tc>
        <w:tc>
          <w:tcPr>
            <w:tcW w:type="dxa" w:w="831"/>
          </w:tcPr>
          <w:p>
            <w:pPr>
              <w:pStyle w:val="null3"/>
              <w:jc w:val="right"/>
            </w:pPr>
            <w:r>
              <w:rPr/>
              <w:t>1.00</w:t>
            </w:r>
          </w:p>
        </w:tc>
        <w:tc>
          <w:tcPr>
            <w:tcW w:type="dxa" w:w="831"/>
          </w:tcPr>
          <w:p>
            <w:pPr>
              <w:pStyle w:val="null3"/>
              <w:jc w:val="right"/>
            </w:pPr>
            <w:r>
              <w:rPr/>
              <w:t>1,920,300.00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标的名称：坐标勘测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quot;times new roman&quot;" w:hAnsi="&quot;times new roman&quot;" w:cs="&quot;times new roman&quot;" w:eastAsia="&quot;times new roman&quot;"/>
                <w:sz w:val="24"/>
                <w:color w:val="000000"/>
              </w:rPr>
              <w:t>一、项目概况</w:t>
            </w:r>
          </w:p>
          <w:p>
            <w:pPr>
              <w:pStyle w:val="null3"/>
            </w:pPr>
            <w:r>
              <w:rPr>
                <w:rFonts w:ascii="&quot;times new roman&quot;" w:hAnsi="&quot;times new roman&quot;" w:cs="&quot;times new roman&quot;" w:eastAsia="&quot;times new roman&quot;"/>
                <w:sz w:val="24"/>
                <w:color w:val="000000"/>
              </w:rPr>
              <w:t>为深入贯彻落实关于“把文物保护管理纳入国土空间规划编制和实施”的重要指示精神，以及新时代文物保护工作“保护第一、加强管理、挖掘价值、有效利用、让文物活起来”的新要求。根据《国务院关于开展第四次全国文物普查的通知》《“十四五”文物保护和科技创新规划》《陕西省第四次全国文物普查实施方案》相关要求开展西安市文物四普地理坐标勘测工作，形成文物保护管理空间数据并纳入国土空间规划编制和实施。</w:t>
            </w:r>
          </w:p>
          <w:p>
            <w:pPr>
              <w:pStyle w:val="null3"/>
            </w:pPr>
            <w:r>
              <w:rPr>
                <w:rFonts w:ascii="&quot;times new roman&quot;" w:hAnsi="&quot;times new roman&quot;" w:cs="&quot;times new roman&quot;" w:eastAsia="&quot;times new roman&quot;"/>
                <w:sz w:val="24"/>
                <w:color w:val="000000"/>
              </w:rPr>
              <w:t>二、服务内容</w:t>
            </w:r>
          </w:p>
          <w:p>
            <w:pPr>
              <w:pStyle w:val="null3"/>
            </w:pPr>
            <w:r>
              <w:rPr>
                <w:rFonts w:ascii="&quot;times new roman&quot;" w:hAnsi="&quot;times new roman&quot;" w:cs="&quot;times new roman&quot;" w:eastAsia="&quot;times new roman&quot;"/>
                <w:sz w:val="24"/>
                <w:color w:val="000000"/>
              </w:rPr>
              <w:t>主要包括以下三方面内容：</w:t>
            </w:r>
          </w:p>
          <w:p>
            <w:pPr>
              <w:pStyle w:val="null3"/>
            </w:pPr>
            <w:r>
              <w:rPr>
                <w:rFonts w:ascii="&quot;times new roman&quot;" w:hAnsi="&quot;times new roman&quot;" w:cs="&quot;times new roman&quot;" w:eastAsia="&quot;times new roman&quot;"/>
                <w:sz w:val="24"/>
                <w:color w:val="000000"/>
              </w:rPr>
              <w:t>1、田野调查外业勘察设计服务</w:t>
            </w:r>
          </w:p>
          <w:p>
            <w:pPr>
              <w:pStyle w:val="null3"/>
            </w:pPr>
            <w:r>
              <w:rPr>
                <w:rFonts w:ascii="&quot;times new roman&quot;" w:hAnsi="&quot;times new roman&quot;" w:cs="&quot;times new roman&quot;" w:eastAsia="&quot;times new roman&quot;"/>
                <w:sz w:val="24"/>
                <w:color w:val="000000"/>
              </w:rPr>
              <w:t>对全市不可移动文物点空间分布和数据基础进行研判，结合第三次全国国土调查及年度国土变更调查成果，编制田野调查外业勘察设计工作方案；通过RTK设备实地勘测、高分辨率卫星影像采集、无人机近景摄影等方式支撑不可移动文物本体范围坐标获取。</w:t>
            </w:r>
          </w:p>
          <w:p>
            <w:pPr>
              <w:pStyle w:val="null3"/>
            </w:pPr>
            <w:r>
              <w:rPr>
                <w:rFonts w:ascii="&quot;times new roman&quot;" w:hAnsi="&quot;times new roman&quot;" w:cs="&quot;times new roman&quot;" w:eastAsia="&quot;times new roman&quot;"/>
                <w:sz w:val="24"/>
                <w:color w:val="000000"/>
              </w:rPr>
              <w:t>2、勘察设计内业技术支撑</w:t>
            </w:r>
          </w:p>
          <w:p>
            <w:pPr>
              <w:pStyle w:val="null3"/>
            </w:pPr>
            <w:r>
              <w:rPr>
                <w:rFonts w:ascii="&quot;times new roman&quot;" w:hAnsi="&quot;times new roman&quot;" w:cs="&quot;times new roman&quot;" w:eastAsia="&quot;times new roman&quot;"/>
                <w:sz w:val="24"/>
                <w:color w:val="000000"/>
              </w:rPr>
              <w:t>基于文物保护管理需求、国土空间规划基础信息平台要求，制定满足四普数据上传和“多规合一”编制实施的文物空间数据标准，建立文物数字化标准规范体系，健全数据管理和开放共享机制，加大文物数据保护力度；基于亚米级高清影像图，制作不可移动文物点空间基础信息底图。</w:t>
            </w:r>
          </w:p>
          <w:p>
            <w:pPr>
              <w:pStyle w:val="null3"/>
            </w:pPr>
            <w:r>
              <w:rPr>
                <w:rFonts w:ascii="&quot;times new roman&quot;" w:hAnsi="&quot;times new roman&quot;" w:cs="&quot;times new roman&quot;" w:eastAsia="&quot;times new roman&quot;"/>
                <w:sz w:val="24"/>
                <w:color w:val="000000"/>
              </w:rPr>
              <w:t>3.衔接国土空间规划规范要求</w:t>
            </w:r>
          </w:p>
          <w:p>
            <w:pPr>
              <w:pStyle w:val="null3"/>
            </w:pPr>
            <w:r>
              <w:rPr>
                <w:rFonts w:ascii="&quot;times new roman&quot;" w:hAnsi="&quot;times new roman&quot;" w:cs="&quot;times new roman&quot;" w:eastAsia="&quot;times new roman&quot;"/>
                <w:sz w:val="24"/>
                <w:color w:val="000000"/>
              </w:rPr>
              <w:t>统筹全市不可移动文物坐标数据，支撑文物本体范围空间坐标落位与西安市国土空间规划“一张图”信息系统共享，完善国土空间规划实施监测网络建设；按照西安市自然资源和规划“一张图”数据汇交标准和全国第四次普查总体方案要求，检验核查不可移动文物坐标数据、影像平面图、无人机全景照片成果，满足上传至四普数据系统、与国土空间规划“一张图”衔接要求，将文物保护管理纳入国土空间规划编制实施，为历史文化资源数据管理、保护传承利用、辅助决策和展示宣传等工作提供支撑。</w:t>
            </w:r>
          </w:p>
          <w:p>
            <w:pPr>
              <w:pStyle w:val="null3"/>
            </w:pPr>
            <w:r>
              <w:rPr>
                <w:rFonts w:ascii="&quot;times new roman&quot;" w:hAnsi="&quot;times new roman&quot;" w:cs="&quot;times new roman&quot;" w:eastAsia="&quot;times new roman&quot;"/>
                <w:sz w:val="24"/>
                <w:color w:val="000000"/>
              </w:rPr>
              <w:t>三、技术要求</w:t>
            </w:r>
          </w:p>
          <w:p>
            <w:pPr>
              <w:pStyle w:val="null3"/>
            </w:pPr>
            <w:r>
              <w:rPr>
                <w:rFonts w:ascii="&quot;times new roman&quot;" w:hAnsi="&quot;times new roman&quot;" w:cs="&quot;times new roman&quot;" w:eastAsia="&quot;times new roman&quot;"/>
                <w:sz w:val="24"/>
                <w:color w:val="000000"/>
              </w:rPr>
              <w:t>1、组织专家评审会，对《西安市第四次全国文物普查地理坐标勘测项目》成果进行技术审查，包括中期审查与终期评审。</w:t>
            </w:r>
          </w:p>
          <w:p>
            <w:pPr>
              <w:pStyle w:val="null3"/>
            </w:pPr>
            <w:r>
              <w:rPr>
                <w:rFonts w:ascii="&quot;times new roman&quot;" w:hAnsi="&quot;times new roman&quot;" w:cs="&quot;times new roman&quot;" w:eastAsia="&quot;times new roman&quot;"/>
                <w:sz w:val="24"/>
                <w:color w:val="000000"/>
              </w:rPr>
              <w:t>2、田野调查外业测绘工作坐标采集精度需采用度分秒格式、秒须精确至不低于四位。</w:t>
            </w:r>
          </w:p>
          <w:p>
            <w:pPr>
              <w:pStyle w:val="null3"/>
            </w:pPr>
            <w:r>
              <w:rPr>
                <w:rFonts w:ascii="&quot;times new roman&quot;" w:hAnsi="&quot;times new roman&quot;" w:cs="&quot;times new roman&quot;" w:eastAsia="&quot;times new roman&quot;"/>
                <w:sz w:val="24"/>
                <w:color w:val="000000"/>
              </w:rPr>
              <w:t>3、文物空间数据成果标准需涵盖数据格式、坐标系统、属性字段、数据精度等内容，以确保文物数据在不同平台之间的兼容性和可交换性。</w:t>
            </w:r>
          </w:p>
          <w:p>
            <w:pPr>
              <w:pStyle w:val="null3"/>
            </w:pPr>
            <w:r>
              <w:rPr>
                <w:rFonts w:ascii="&quot;times new roman&quot;" w:hAnsi="&quot;times new roman&quot;" w:cs="&quot;times new roman&quot;" w:eastAsia="&quot;times new roman&quot;"/>
                <w:sz w:val="24"/>
                <w:color w:val="000000"/>
              </w:rPr>
              <w:t>4、不可移动文物基础信息数据需与国土空间规划的基础信息平台要求相一致，以支持规划“一张图”数据的无缝衔接。</w:t>
            </w:r>
          </w:p>
          <w:p>
            <w:pPr>
              <w:pStyle w:val="null3"/>
            </w:pPr>
            <w:r>
              <w:rPr>
                <w:rFonts w:ascii="&quot;times new roman&quot;" w:hAnsi="&quot;times new roman&quot;" w:cs="&quot;times new roman&quot;" w:eastAsia="&quot;times new roman&quot;"/>
                <w:sz w:val="24"/>
                <w:color w:val="000000"/>
              </w:rPr>
              <w:t>四、服务要求</w:t>
            </w:r>
          </w:p>
          <w:p>
            <w:pPr>
              <w:pStyle w:val="null3"/>
            </w:pPr>
            <w:r>
              <w:rPr>
                <w:rFonts w:ascii="&quot;times new roman&quot;" w:hAnsi="&quot;times new roman&quot;" w:cs="&quot;times new roman&quot;" w:eastAsia="&quot;times new roman&quot;"/>
                <w:sz w:val="24"/>
                <w:color w:val="000000"/>
              </w:rPr>
              <w:t>项目成果内容应符合《中华人民共和国文物保护法》《中华人民共和国文物保护法实施条例》《不可移动文物认定导则（试行）》《文物认定管理暂行办法》《陕西省文物保护条例》《西安历史文化名城保护条例》《西安市不可移动文物保护条例》等法律法规及《全国重点文物保护单位保护范围、标志说明、记录档案和保管机构工作规范（试行）》《全国重点文物保护单位记录档案工作规范》《文物保护单位记录档案档号编制规则》《陕西省第四次全国文物普查操作手册》《国土空间规划“一张图”实施监督信息系统技术规范》《国土空间规划城市时空大数据应用基本规定》《关于在国土空间规划编制和实施中加强历史文化遗产保护管理的指导意见》等法律法规、规范标准、政策文件。</w:t>
            </w:r>
          </w:p>
          <w:p>
            <w:pPr>
              <w:pStyle w:val="null3"/>
            </w:pPr>
            <w:r>
              <w:rPr>
                <w:rFonts w:ascii="&quot;times new roman&quot;" w:hAnsi="&quot;times new roman&quot;" w:cs="&quot;times new roman&quot;" w:eastAsia="&quot;times new roman&quot;"/>
                <w:sz w:val="24"/>
                <w:color w:val="000000"/>
              </w:rPr>
              <w:t>五、商务要求</w:t>
            </w:r>
          </w:p>
          <w:p>
            <w:pPr>
              <w:pStyle w:val="null3"/>
            </w:pPr>
            <w:r>
              <w:rPr>
                <w:rFonts w:ascii="&quot;times new roman&quot;" w:hAnsi="&quot;times new roman&quot;" w:cs="&quot;times new roman&quot;" w:eastAsia="&quot;times new roman&quot;"/>
                <w:sz w:val="24"/>
                <w:color w:val="000000"/>
              </w:rPr>
              <w:t>（一）服务期限</w:t>
            </w:r>
          </w:p>
          <w:p>
            <w:pPr>
              <w:pStyle w:val="null3"/>
            </w:pPr>
            <w:r>
              <w:rPr>
                <w:rFonts w:ascii="&quot;times new roman&quot;" w:hAnsi="&quot;times new roman&quot;" w:cs="&quot;times new roman&quot;" w:eastAsia="&quot;times new roman&quot;"/>
                <w:sz w:val="24"/>
                <w:color w:val="000000"/>
              </w:rPr>
              <w:t>自合同签订之日起1年。</w:t>
            </w:r>
          </w:p>
          <w:p>
            <w:pPr>
              <w:pStyle w:val="null3"/>
            </w:pPr>
            <w:r>
              <w:rPr>
                <w:rFonts w:ascii="&quot;times new roman&quot;" w:hAnsi="&quot;times new roman&quot;" w:cs="&quot;times new roman&quot;" w:eastAsia="&quot;times new roman&quot;"/>
                <w:sz w:val="24"/>
                <w:color w:val="000000"/>
              </w:rPr>
              <w:t>（二）款项结算</w:t>
            </w:r>
          </w:p>
          <w:p>
            <w:pPr>
              <w:pStyle w:val="null3"/>
            </w:pPr>
            <w:r>
              <w:rPr>
                <w:rFonts w:ascii="&quot;times new roman&quot;" w:hAnsi="&quot;times new roman&quot;" w:cs="&quot;times new roman&quot;" w:eastAsia="&quot;times new roman&quot;"/>
                <w:sz w:val="24"/>
                <w:color w:val="000000"/>
              </w:rPr>
              <w:t>合同签订后，达到付款条件起30日内，支付合同总金额的40.00%；项目实施阶段完成，中期成果交付验收合格后，达到付款条件起30日内，支付合同总金额的40.00%。项目竣工，终期成果交付验收合格通过评审后，达到付款条件起30日内，支付合同总金额的20.00%。</w:t>
            </w:r>
          </w:p>
          <w:p>
            <w:pPr>
              <w:pStyle w:val="null3"/>
            </w:pPr>
            <w:r>
              <w:rPr>
                <w:rFonts w:ascii="&quot;times new roman&quot;" w:hAnsi="&quot;times new roman&quot;" w:cs="&quot;times new roman&quot;" w:eastAsia="&quot;times new roman&quot;"/>
                <w:sz w:val="24"/>
                <w:color w:val="000000"/>
              </w:rPr>
              <w:t>六、成果交付要求</w:t>
            </w:r>
          </w:p>
          <w:p>
            <w:pPr>
              <w:pStyle w:val="null3"/>
            </w:pPr>
            <w:r>
              <w:rPr>
                <w:rFonts w:ascii="&quot;times new roman&quot;" w:hAnsi="&quot;times new roman&quot;" w:cs="&quot;times new roman&quot;" w:eastAsia="&quot;times new roman&quot;"/>
                <w:sz w:val="24"/>
                <w:color w:val="000000"/>
              </w:rPr>
              <w:t>1、文字成果</w:t>
            </w:r>
          </w:p>
          <w:p>
            <w:pPr>
              <w:pStyle w:val="null3"/>
            </w:pPr>
            <w:r>
              <w:rPr>
                <w:rFonts w:ascii="&quot;times new roman&quot;" w:hAnsi="&quot;times new roman&quot;" w:cs="&quot;times new roman&quot;" w:eastAsia="&quot;times new roman&quot;"/>
                <w:sz w:val="24"/>
                <w:color w:val="000000"/>
              </w:rPr>
              <w:t>——田野调查外业测绘工作方案；</w:t>
            </w:r>
          </w:p>
          <w:p>
            <w:pPr>
              <w:pStyle w:val="null3"/>
            </w:pPr>
            <w:r>
              <w:rPr>
                <w:rFonts w:ascii="&quot;times new roman&quot;" w:hAnsi="&quot;times new roman&quot;" w:cs="&quot;times new roman&quot;" w:eastAsia="&quot;times new roman&quot;"/>
                <w:sz w:val="24"/>
                <w:color w:val="000000"/>
              </w:rPr>
              <w:t>——文物空间数据成果标准（建议稿）；</w:t>
            </w:r>
          </w:p>
          <w:p>
            <w:pPr>
              <w:pStyle w:val="null3"/>
            </w:pPr>
            <w:r>
              <w:rPr>
                <w:rFonts w:ascii="&quot;times new roman&quot;" w:hAnsi="&quot;times new roman&quot;" w:cs="&quot;times new roman&quot;" w:eastAsia="&quot;times new roman&quot;"/>
                <w:sz w:val="24"/>
                <w:color w:val="000000"/>
              </w:rPr>
              <w:t>——文物空间保护管理现状研究报告。</w:t>
            </w:r>
          </w:p>
          <w:p>
            <w:pPr>
              <w:pStyle w:val="null3"/>
            </w:pPr>
            <w:r>
              <w:rPr>
                <w:rFonts w:ascii="&quot;times new roman&quot;" w:hAnsi="&quot;times new roman&quot;" w:cs="&quot;times new roman&quot;" w:eastAsia="&quot;times new roman&quot;"/>
                <w:sz w:val="24"/>
                <w:color w:val="000000"/>
              </w:rPr>
              <w:t>2、数据成果</w:t>
            </w:r>
          </w:p>
          <w:p>
            <w:pPr>
              <w:pStyle w:val="null3"/>
            </w:pPr>
            <w:r>
              <w:rPr>
                <w:rFonts w:ascii="&quot;times new roman&quot;" w:hAnsi="&quot;times new roman&quot;" w:cs="&quot;times new roman&quot;" w:eastAsia="&quot;times new roman&quot;"/>
                <w:sz w:val="24"/>
                <w:color w:val="000000"/>
              </w:rPr>
              <w:t>——不可移动文物目录（分区县）；</w:t>
            </w:r>
          </w:p>
          <w:p>
            <w:pPr>
              <w:pStyle w:val="null3"/>
            </w:pPr>
            <w:r>
              <w:rPr>
                <w:rFonts w:ascii="&quot;times new roman&quot;" w:hAnsi="&quot;times new roman&quot;" w:cs="&quot;times new roman&quot;" w:eastAsia="&quot;times new roman&quot;"/>
                <w:sz w:val="24"/>
                <w:color w:val="000000"/>
              </w:rPr>
              <w:t>——不可移动文物基础信息数据（包含登记表、坐标数据、图像、照片及相关文件）；</w:t>
            </w:r>
          </w:p>
          <w:p>
            <w:pPr>
              <w:pStyle w:val="null3"/>
            </w:pPr>
            <w:r>
              <w:rPr>
                <w:rFonts w:ascii="&quot;times new roman&quot;" w:hAnsi="&quot;times new roman&quot;" w:cs="&quot;times new roman&quot;" w:eastAsia="&quot;times new roman&quot;"/>
                <w:sz w:val="24"/>
                <w:color w:val="000000"/>
              </w:rPr>
              <w:t>3、附件成果</w:t>
            </w:r>
          </w:p>
          <w:p>
            <w:pPr>
              <w:pStyle w:val="null3"/>
            </w:pPr>
            <w:r>
              <w:rPr>
                <w:rFonts w:ascii="&quot;times new roman&quot;" w:hAnsi="&quot;times new roman&quot;" w:cs="&quot;times new roman&quot;" w:eastAsia="&quot;times new roman&quot;"/>
                <w:sz w:val="24"/>
                <w:color w:val="000000"/>
              </w:rPr>
              <w:t>——基础资料汇编</w:t>
            </w:r>
          </w:p>
          <w:p>
            <w:pPr>
              <w:pStyle w:val="null3"/>
            </w:pPr>
            <w:r>
              <w:rPr>
                <w:rFonts w:ascii="&quot;times new roman&quot;" w:hAnsi="&quot;times new roman&quot;" w:cs="&quot;times new roman&quot;" w:eastAsia="&quot;times new roman&quot;"/>
                <w:sz w:val="24"/>
                <w:color w:val="000000"/>
              </w:rPr>
              <w:t>4、成果提交</w:t>
            </w:r>
          </w:p>
          <w:p>
            <w:pPr>
              <w:pStyle w:val="null3"/>
            </w:pPr>
            <w:r>
              <w:rPr>
                <w:rFonts w:ascii="&quot;times new roman&quot;" w:hAnsi="&quot;times new roman&quot;" w:cs="&quot;times new roman&quot;" w:eastAsia="&quot;times new roman&quot;"/>
                <w:sz w:val="24"/>
                <w:color w:val="000000"/>
              </w:rPr>
              <w:t>——纸质成果2套和电子版成果2套（U盘或硬盘）。</w:t>
            </w:r>
          </w:p>
          <w:p>
            <w:pPr>
              <w:pStyle w:val="null3"/>
            </w:pPr>
            <w:r>
              <w:rPr>
                <w:rFonts w:ascii="&quot;times new roman&quot;" w:hAnsi="&quot;times new roman&quot;" w:cs="&quot;times new roman&quot;" w:eastAsia="&quot;times new roman&quot;"/>
                <w:sz w:val="24"/>
                <w:color w:val="000000"/>
              </w:rPr>
              <w:t>（四）质量验收标准或规范</w:t>
            </w:r>
          </w:p>
          <w:p>
            <w:pPr>
              <w:pStyle w:val="null3"/>
            </w:pPr>
            <w:r>
              <w:rPr>
                <w:rFonts w:ascii="&quot;times new roman&quot;" w:hAnsi="&quot;times new roman&quot;" w:cs="&quot;times new roman&quot;" w:eastAsia="&quot;times new roman&quot;"/>
                <w:sz w:val="24"/>
                <w:color w:val="000000"/>
              </w:rPr>
              <w:t>《中华人民共和国文物保护法》</w:t>
            </w:r>
          </w:p>
          <w:p>
            <w:pPr>
              <w:pStyle w:val="null3"/>
            </w:pPr>
            <w:r>
              <w:rPr>
                <w:rFonts w:ascii="&quot;times new roman&quot;" w:hAnsi="&quot;times new roman&quot;" w:cs="&quot;times new roman&quot;" w:eastAsia="&quot;times new roman&quot;"/>
                <w:sz w:val="24"/>
                <w:color w:val="000000"/>
              </w:rPr>
              <w:t>《中华人民共和国文物保护法实施条例》</w:t>
            </w:r>
          </w:p>
          <w:p>
            <w:pPr>
              <w:pStyle w:val="null3"/>
            </w:pPr>
            <w:r>
              <w:rPr>
                <w:rFonts w:ascii="&quot;times new roman&quot;" w:hAnsi="&quot;times new roman&quot;" w:cs="&quot;times new roman&quot;" w:eastAsia="&quot;times new roman&quot;"/>
                <w:sz w:val="24"/>
                <w:color w:val="000000"/>
              </w:rPr>
              <w:t>《不可移动文物认定导则（试行）》</w:t>
            </w:r>
          </w:p>
          <w:p>
            <w:pPr>
              <w:pStyle w:val="null3"/>
            </w:pPr>
            <w:r>
              <w:rPr>
                <w:rFonts w:ascii="&quot;times new roman&quot;" w:hAnsi="&quot;times new roman&quot;" w:cs="&quot;times new roman&quot;" w:eastAsia="&quot;times new roman&quot;"/>
                <w:sz w:val="24"/>
                <w:color w:val="000000"/>
              </w:rPr>
              <w:t>《全国重点文物保护单位保护范围、标志说明、记录档案和保管机构工作规范（试行）》</w:t>
            </w:r>
          </w:p>
          <w:p>
            <w:pPr>
              <w:pStyle w:val="null3"/>
            </w:pPr>
            <w:r>
              <w:rPr>
                <w:rFonts w:ascii="&quot;times new roman&quot;" w:hAnsi="&quot;times new roman&quot;" w:cs="&quot;times new roman&quot;" w:eastAsia="&quot;times new roman&quot;"/>
                <w:sz w:val="24"/>
                <w:color w:val="000000"/>
              </w:rPr>
              <w:t>《全国重点文物保护单位记录档案工作规范》</w:t>
            </w:r>
          </w:p>
          <w:p>
            <w:pPr>
              <w:pStyle w:val="null3"/>
            </w:pPr>
            <w:r>
              <w:rPr>
                <w:rFonts w:ascii="&quot;times new roman&quot;" w:hAnsi="&quot;times new roman&quot;" w:cs="&quot;times new roman&quot;" w:eastAsia="&quot;times new roman&quot;"/>
                <w:sz w:val="24"/>
                <w:color w:val="000000"/>
              </w:rPr>
              <w:t>《文物保护单位记录档案档号编制规则》</w:t>
            </w:r>
          </w:p>
          <w:p>
            <w:pPr>
              <w:pStyle w:val="null3"/>
            </w:pPr>
            <w:r>
              <w:rPr>
                <w:rFonts w:ascii="&quot;times new roman&quot;" w:hAnsi="&quot;times new roman&quot;" w:cs="&quot;times new roman&quot;" w:eastAsia="&quot;times new roman&quot;"/>
                <w:sz w:val="24"/>
                <w:color w:val="000000"/>
              </w:rPr>
              <w:t>《文物认定管理暂行办法》</w:t>
            </w:r>
          </w:p>
          <w:p>
            <w:pPr>
              <w:pStyle w:val="null3"/>
            </w:pPr>
            <w:r>
              <w:rPr>
                <w:rFonts w:ascii="&quot;times new roman&quot;" w:hAnsi="&quot;times new roman&quot;" w:cs="&quot;times new roman&quot;" w:eastAsia="&quot;times new roman&quot;"/>
                <w:sz w:val="24"/>
                <w:color w:val="000000"/>
              </w:rPr>
              <w:t>《陕西省第四次全国文物普查操作手册》</w:t>
            </w:r>
          </w:p>
          <w:p>
            <w:pPr>
              <w:pStyle w:val="null3"/>
            </w:pPr>
            <w:r>
              <w:rPr>
                <w:rFonts w:ascii="&quot;times new roman&quot;" w:hAnsi="&quot;times new roman&quot;" w:cs="&quot;times new roman&quot;" w:eastAsia="&quot;times new roman&quot;"/>
                <w:sz w:val="24"/>
                <w:color w:val="000000"/>
              </w:rPr>
              <w:t>《陕西省文物保护条例》</w:t>
            </w:r>
          </w:p>
          <w:p>
            <w:pPr>
              <w:pStyle w:val="null3"/>
            </w:pPr>
            <w:r>
              <w:rPr>
                <w:rFonts w:ascii="&quot;times new roman&quot;" w:hAnsi="&quot;times new roman&quot;" w:cs="&quot;times new roman&quot;" w:eastAsia="&quot;times new roman&quot;"/>
                <w:sz w:val="24"/>
                <w:color w:val="000000"/>
              </w:rPr>
              <w:t>《西安历史文化名城保护条例》</w:t>
            </w:r>
          </w:p>
          <w:p>
            <w:pPr>
              <w:pStyle w:val="null3"/>
            </w:pPr>
            <w:r>
              <w:rPr>
                <w:rFonts w:ascii="&quot;times new roman&quot;" w:hAnsi="&quot;times new roman&quot;" w:cs="&quot;times new roman&quot;" w:eastAsia="&quot;times new roman&quot;"/>
                <w:sz w:val="24"/>
                <w:color w:val="000000"/>
              </w:rPr>
              <w:t>《西安市不可移动文物保护条例》</w:t>
            </w:r>
          </w:p>
          <w:p>
            <w:pPr>
              <w:pStyle w:val="null3"/>
            </w:pPr>
            <w:r>
              <w:rPr>
                <w:rFonts w:ascii="&quot;times new roman&quot;" w:hAnsi="&quot;times new roman&quot;" w:cs="&quot;times new roman&quot;" w:eastAsia="&quot;times new roman&quot;"/>
                <w:sz w:val="24"/>
                <w:color w:val="000000"/>
              </w:rPr>
              <w:t>《国土空间规划“一张图”实施监督信息系统技术规范》</w:t>
            </w:r>
          </w:p>
          <w:p>
            <w:pPr>
              <w:pStyle w:val="null3"/>
            </w:pPr>
            <w:r>
              <w:rPr>
                <w:rFonts w:ascii="&quot;times new roman&quot;" w:hAnsi="&quot;times new roman&quot;" w:cs="&quot;times new roman&quot;" w:eastAsia="&quot;times new roman&quot;"/>
                <w:sz w:val="24"/>
                <w:color w:val="000000"/>
              </w:rPr>
              <w:t>《国土空间规划城市时空大数据应用基本规定》</w:t>
            </w:r>
          </w:p>
        </w:tc>
      </w:tr>
    </w:tbl>
    <w:p>
      <w:pPr>
        <w:pStyle w:val="null3"/>
        <w:outlineLvl w:val="2"/>
      </w:pPr>
      <w:r>
        <w:rPr>
          <w:sz w:val="28"/>
          <w:b/>
        </w:rPr>
        <w:t>3.2.3人员配置要求</w:t>
      </w:r>
    </w:p>
    <w:p>
      <w:pPr>
        <w:pStyle w:val="null3"/>
      </w:pPr>
      <w:r>
        <w:rPr/>
        <w:t>采购包1：</w:t>
      </w:r>
    </w:p>
    <w:p>
      <w:pPr>
        <w:pStyle w:val="null3"/>
      </w:pPr>
      <w:r>
        <w:rPr/>
        <w:t>达到服务要求所必须的人员</w:t>
      </w:r>
    </w:p>
    <w:p>
      <w:pPr>
        <w:pStyle w:val="null3"/>
        <w:outlineLvl w:val="2"/>
      </w:pPr>
      <w:r>
        <w:rPr>
          <w:sz w:val="28"/>
          <w:b/>
        </w:rPr>
        <w:t>3.2.4设施设备要求</w:t>
      </w:r>
    </w:p>
    <w:p>
      <w:pPr>
        <w:pStyle w:val="null3"/>
      </w:pPr>
      <w:r>
        <w:rPr/>
        <w:t>采购包1：</w:t>
      </w:r>
    </w:p>
    <w:p>
      <w:pPr>
        <w:pStyle w:val="null3"/>
      </w:pPr>
      <w:r>
        <w:rPr/>
        <w:t>达到服务要求所必须的设备</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自合同签订之日起1年</w:t>
      </w:r>
    </w:p>
    <w:p>
      <w:pPr>
        <w:pStyle w:val="null3"/>
        <w:outlineLvl w:val="3"/>
      </w:pPr>
      <w:r>
        <w:rPr>
          <w:sz w:val="24"/>
          <w:b/>
        </w:rPr>
        <w:t>3.3.2服务地点</w:t>
      </w:r>
    </w:p>
    <w:p>
      <w:pPr>
        <w:pStyle w:val="null3"/>
      </w:pPr>
      <w:r>
        <w:rPr/>
        <w:t>采购包1：</w:t>
      </w:r>
    </w:p>
    <w:p>
      <w:pPr>
        <w:pStyle w:val="null3"/>
      </w:pPr>
      <w:r>
        <w:rPr/>
        <w:t>采购人指定的地点</w:t>
      </w:r>
    </w:p>
    <w:p>
      <w:pPr>
        <w:pStyle w:val="null3"/>
        <w:outlineLvl w:val="3"/>
      </w:pPr>
      <w:r>
        <w:rPr>
          <w:sz w:val="24"/>
          <w:b/>
        </w:rPr>
        <w:t>3.3.3考核（验收）标准和方法</w:t>
      </w:r>
    </w:p>
    <w:p>
      <w:pPr>
        <w:pStyle w:val="null3"/>
      </w:pPr>
      <w:r>
        <w:rPr/>
        <w:t>采购包1：</w:t>
      </w:r>
    </w:p>
    <w:p>
      <w:pPr>
        <w:pStyle w:val="null3"/>
      </w:pPr>
      <w:r>
        <w:rPr/>
        <w:t>《中华人民共和国文物保护法》 《中华人民共和国文物保护法实施条例》 《不可移动文物认定导则（试行）》 《全国重点文物保护单位保护范围、标志说明、记录档案和保管机构工作规范（试行）》 《全国重点文物保护单位记录档案工作规范》 《文物保护单位记录档案档号编制规则》 《文物认定管理暂行办法》 《陕西省第四次全国文物普查操作手册》 《陕西省文物保护条例》 《西安历史文化名城保护条例》 《西安市不可移动文物保护条例》 《国土空间规划“一张图”实施监督信息系统技术规范》 《国土空间规划城市时空大数据应用基本规定》</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项目实施阶段完成、中期成果交付验收合格后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项目竣工，终期成果交付验收合格通过评审后</w:t>
      </w:r>
      <w:r>
        <w:rPr/>
        <w:t xml:space="preserve"> ，达到付款条件起 </w:t>
      </w:r>
      <w:r>
        <w:rPr/>
        <w:t>30</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详见采购合同</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2、具有良好的商业信誉和健全的财务会计制度（提供2023年度财务审计报告或开标前近12个月内的银行资信证明或财政部门认可的政府采购专业担保机构出具的投标担保函）；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 供应商需在项目电子化交易系统中按要求上传相应证明文件并进行电子签章。</w:t>
            </w:r>
          </w:p>
        </w:tc>
        <w:tc>
          <w:tcPr>
            <w:tcW w:type="dxa" w:w="1661"/>
          </w:tcPr>
          <w:p>
            <w:pPr>
              <w:pStyle w:val="null3"/>
            </w:pPr>
            <w:r>
              <w:rPr/>
              <w:t>供应商参加政府采购活动承诺书 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具有良好的商业信誉和健全的财务会计制度（提供2023年度财务审计报告或开标前近12个月内的银行资信证明或财政部门认可的政府采购专业担保机构出具的投标担保函）；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w:t>
            </w:r>
          </w:p>
        </w:tc>
        <w:tc>
          <w:tcPr>
            <w:tcW w:type="dxa" w:w="3322"/>
          </w:tcPr>
          <w:p>
            <w:pPr>
              <w:pStyle w:val="null3"/>
            </w:pPr>
            <w:r>
              <w:rPr/>
              <w:t>法定代表人授权代表参加投标的，须出具法定代表人授权书及授权代表身份证（法定代表人直接参加投标的，须出具法定代表人身份证）；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供应商资质</w:t>
            </w:r>
          </w:p>
        </w:tc>
        <w:tc>
          <w:tcPr>
            <w:tcW w:type="dxa" w:w="3322"/>
          </w:tcPr>
          <w:p>
            <w:pPr>
              <w:pStyle w:val="null3"/>
            </w:pPr>
            <w:r>
              <w:rPr/>
              <w:t>具有城乡规划编制甲级资质；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不接受联合体相关要求</w:t>
            </w:r>
          </w:p>
        </w:tc>
        <w:tc>
          <w:tcPr>
            <w:tcW w:type="dxa" w:w="3322"/>
          </w:tcPr>
          <w:p>
            <w:pPr>
              <w:pStyle w:val="null3"/>
            </w:pPr>
            <w:r>
              <w:rPr/>
              <w:t>本项目不接受联合体投标。 供应商需在项目电子化交易系统中按要求上传相应证明文件并进行电子签章。</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服务期是否满足磋商文件要求</w:t>
            </w:r>
          </w:p>
        </w:tc>
        <w:tc>
          <w:tcPr>
            <w:tcW w:type="dxa" w:w="3322"/>
          </w:tcPr>
          <w:p>
            <w:pPr>
              <w:pStyle w:val="null3"/>
            </w:pPr>
            <w:r>
              <w:rPr/>
              <w:t>服务期是否满足磋商文件要求</w:t>
            </w:r>
          </w:p>
        </w:tc>
        <w:tc>
          <w:tcPr>
            <w:tcW w:type="dxa" w:w="1661"/>
          </w:tcPr>
          <w:p>
            <w:pPr>
              <w:pStyle w:val="null3"/>
            </w:pPr>
            <w:r>
              <w:rPr/>
              <w:t>商务要求偏离表 开标记录表</w:t>
            </w:r>
          </w:p>
        </w:tc>
      </w:tr>
      <w:tr>
        <w:tc>
          <w:tcPr>
            <w:tcW w:type="dxa" w:w="831"/>
          </w:tcPr>
          <w:p>
            <w:pPr>
              <w:pStyle w:val="null3"/>
            </w:pPr>
            <w:r>
              <w:rPr/>
              <w:t>3</w:t>
            </w:r>
          </w:p>
        </w:tc>
        <w:tc>
          <w:tcPr>
            <w:tcW w:type="dxa" w:w="2492"/>
          </w:tcPr>
          <w:p>
            <w:pPr>
              <w:pStyle w:val="null3"/>
            </w:pPr>
            <w:r>
              <w:rPr/>
              <w:t>付款方式是否响应磋商文件的要求</w:t>
            </w:r>
          </w:p>
        </w:tc>
        <w:tc>
          <w:tcPr>
            <w:tcW w:type="dxa" w:w="3322"/>
          </w:tcPr>
          <w:p>
            <w:pPr>
              <w:pStyle w:val="null3"/>
            </w:pPr>
            <w:r>
              <w:rPr/>
              <w:t>付款方式是否响应磋商文件的要求</w:t>
            </w:r>
          </w:p>
        </w:tc>
        <w:tc>
          <w:tcPr>
            <w:tcW w:type="dxa" w:w="1661"/>
          </w:tcPr>
          <w:p>
            <w:pPr>
              <w:pStyle w:val="null3"/>
            </w:pPr>
            <w:r>
              <w:rPr/>
              <w:t>商务要求偏离表 开标记录表</w:t>
            </w:r>
          </w:p>
        </w:tc>
      </w:tr>
      <w:tr>
        <w:tc>
          <w:tcPr>
            <w:tcW w:type="dxa" w:w="831"/>
          </w:tcPr>
          <w:p>
            <w:pPr>
              <w:pStyle w:val="null3"/>
            </w:pPr>
            <w:r>
              <w:rPr/>
              <w:t>4</w:t>
            </w:r>
          </w:p>
        </w:tc>
        <w:tc>
          <w:tcPr>
            <w:tcW w:type="dxa" w:w="2492"/>
          </w:tcPr>
          <w:p>
            <w:pPr>
              <w:pStyle w:val="null3"/>
            </w:pPr>
            <w:r>
              <w:rPr/>
              <w:t>报价未超出采购预算及最高限价</w:t>
            </w:r>
          </w:p>
        </w:tc>
        <w:tc>
          <w:tcPr>
            <w:tcW w:type="dxa" w:w="3322"/>
          </w:tcPr>
          <w:p>
            <w:pPr>
              <w:pStyle w:val="null3"/>
            </w:pPr>
            <w:r>
              <w:rPr/>
              <w:t>报价未超出采购预算及最高限价</w:t>
            </w:r>
          </w:p>
        </w:tc>
        <w:tc>
          <w:tcPr>
            <w:tcW w:type="dxa" w:w="1661"/>
          </w:tcPr>
          <w:p>
            <w:pPr>
              <w:pStyle w:val="null3"/>
            </w:pPr>
            <w:r>
              <w:rPr/>
              <w:t>商务要求偏离表 分项报价表 开标记录表 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根据供应商针对整体目标提出的工作流程方案进行赋分。 总体目标清晰，工作流程明确合理，完全符合国家及省市相关规定的得6分； 总体目标清晰，工作流程较为明确，符合国家及省市相关规定的得4分； 总体目标清晰，工作流程不够清晰明确，基本符合国家及省市相关规定的得2分； 未提供或不符合规定的得0分。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p>
            <w:pPr>
              <w:pStyle w:val="null3"/>
            </w:pPr>
            <w:r>
              <w:rPr/>
              <w:t>投标人认为有必要说明的其他资料</w:t>
            </w:r>
          </w:p>
        </w:tc>
      </w:tr>
      <w:tr>
        <w:tc>
          <w:tcPr>
            <w:tcW w:type="dxa" w:w="831"/>
            <w:vMerge/>
          </w:tcPr>
          <w:p/>
        </w:tc>
        <w:tc>
          <w:tcPr>
            <w:tcW w:type="dxa" w:w="1661"/>
          </w:tcPr>
          <w:p>
            <w:pPr>
              <w:pStyle w:val="null3"/>
            </w:pPr>
            <w:r>
              <w:rPr/>
              <w:t>文物外业勘察</w:t>
            </w:r>
          </w:p>
        </w:tc>
        <w:tc>
          <w:tcPr>
            <w:tcW w:type="dxa" w:w="2492"/>
          </w:tcPr>
          <w:p>
            <w:pPr>
              <w:pStyle w:val="null3"/>
            </w:pPr>
            <w:r>
              <w:rPr/>
              <w:t>根据供应商针对整体目标提出的外业勘察工作方案进行赋分。 文物外业勘察工作方案系统完整、技术方法清晰合理、成果内容深入、针对性和可操作性强，得8分； 文物外业勘察工作方案系统完整、技术方法清晰合理、成果内容基本满足要求、针对性和可操作性一般，得6分； 文物外业勘察工作方案完整、技术方法尚可、成果内容基本满足要求、针对性和可操作性一般，得4分； 文物外业勘察工作方案简单、技术方法不够清晰、成果内容单薄、针对性和可操作性不足，得2分； 未提供或不符合规定的得0分。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w:t>
            </w:r>
          </w:p>
          <w:p>
            <w:pPr>
              <w:pStyle w:val="null3"/>
            </w:pPr>
            <w:r>
              <w:rPr/>
              <w:t>投标人认为有必要说明的其他资料</w:t>
            </w:r>
          </w:p>
        </w:tc>
      </w:tr>
      <w:tr>
        <w:tc>
          <w:tcPr>
            <w:tcW w:type="dxa" w:w="831"/>
            <w:vMerge/>
          </w:tcPr>
          <w:p/>
        </w:tc>
        <w:tc>
          <w:tcPr>
            <w:tcW w:type="dxa" w:w="1661"/>
          </w:tcPr>
          <w:p>
            <w:pPr>
              <w:pStyle w:val="null3"/>
            </w:pPr>
            <w:r>
              <w:rPr/>
              <w:t>外业勘察成果内容</w:t>
            </w:r>
          </w:p>
        </w:tc>
        <w:tc>
          <w:tcPr>
            <w:tcW w:type="dxa" w:w="2492"/>
          </w:tcPr>
          <w:p>
            <w:pPr>
              <w:pStyle w:val="null3"/>
            </w:pPr>
            <w:r>
              <w:rPr/>
              <w:t>根据供应商提供的的文物外业勘察工作成果内容完整度及深度进行赋分。 文物外业调查工作成果内容完整，坐标精度完全满足文物四普实施方案工作要求，得6分； 文物外业调查工作成果内容单薄，坐标精度满足文物四普实施方案工作要求，得4分； 文物外业调查工作成果内容单薄，坐标精度基本满足文物四普实施方案工作要求，得2分； 未提供相关内容不得分。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p>
            <w:pPr>
              <w:pStyle w:val="null3"/>
            </w:pPr>
            <w:r>
              <w:rPr/>
              <w:t>投标人认为有必要说明的其他资料</w:t>
            </w:r>
          </w:p>
        </w:tc>
      </w:tr>
      <w:tr>
        <w:tc>
          <w:tcPr>
            <w:tcW w:type="dxa" w:w="831"/>
            <w:vMerge/>
          </w:tcPr>
          <w:p/>
        </w:tc>
        <w:tc>
          <w:tcPr>
            <w:tcW w:type="dxa" w:w="1661"/>
          </w:tcPr>
          <w:p>
            <w:pPr>
              <w:pStyle w:val="null3"/>
            </w:pPr>
            <w:r>
              <w:rPr/>
              <w:t>数据标准</w:t>
            </w:r>
          </w:p>
        </w:tc>
        <w:tc>
          <w:tcPr>
            <w:tcW w:type="dxa" w:w="2492"/>
          </w:tcPr>
          <w:p>
            <w:pPr>
              <w:pStyle w:val="null3"/>
            </w:pPr>
            <w:r>
              <w:rPr/>
              <w:t>根据供应商对本项目的文物空间数据标准、重点难点的解决方案综合评审： 数据标准制定重点分析科学全面、针对性强，与文物空间保护工作衔接紧密，完全符合国家及省市相关规定的，得8分； 数据标准制定重点分析科学较为全面，与文物空间保护工作衔接紧密，符合国家及省市相关规定的，得6分； 数据标准制定重点分析不全面，与文物空间保护工作部分衔接，符合国家及省市相关规定的，得4分； 数据标准制定重点分析简单，与文物空间保护工作衔接较少，基本符合国家及省市相关规定的，得2分； 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w:t>
            </w:r>
          </w:p>
          <w:p>
            <w:pPr>
              <w:pStyle w:val="null3"/>
            </w:pPr>
            <w:r>
              <w:rPr/>
              <w:t>投标人认为有必要说明的其他资料</w:t>
            </w:r>
          </w:p>
        </w:tc>
      </w:tr>
      <w:tr>
        <w:tc>
          <w:tcPr>
            <w:tcW w:type="dxa" w:w="831"/>
            <w:vMerge/>
          </w:tcPr>
          <w:p/>
        </w:tc>
        <w:tc>
          <w:tcPr>
            <w:tcW w:type="dxa" w:w="1661"/>
          </w:tcPr>
          <w:p>
            <w:pPr>
              <w:pStyle w:val="null3"/>
            </w:pPr>
            <w:r>
              <w:rPr/>
              <w:t>数据要素整合</w:t>
            </w:r>
          </w:p>
        </w:tc>
        <w:tc>
          <w:tcPr>
            <w:tcW w:type="dxa" w:w="2492"/>
          </w:tcPr>
          <w:p>
            <w:pPr>
              <w:pStyle w:val="null3"/>
            </w:pPr>
            <w:r>
              <w:rPr/>
              <w:t>根据供应商对本项目数据要素整合的客观清晰、准确完整、一致有效进行综合评审： 数据要素整合成果准确完整，全面客观的反映文物资源基础信息，完全满足对文物资源的有效管理和利用，得6分； 数据要素整合成果较为准确完整，客观反映文物资源基础信息，基本满足对文物资源的有效管理和利用，得4分； 数据要素整合成果不够准确完整，形成的基础信息不能满足对文物资源的有效管理和利用，得2分； 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投标方案</w:t>
            </w:r>
          </w:p>
        </w:tc>
      </w:tr>
      <w:tr>
        <w:tc>
          <w:tcPr>
            <w:tcW w:type="dxa" w:w="831"/>
            <w:vMerge/>
          </w:tcPr>
          <w:p/>
        </w:tc>
        <w:tc>
          <w:tcPr>
            <w:tcW w:type="dxa" w:w="1661"/>
          </w:tcPr>
          <w:p>
            <w:pPr>
              <w:pStyle w:val="null3"/>
            </w:pPr>
            <w:r>
              <w:rPr/>
              <w:t>数据安全共享</w:t>
            </w:r>
          </w:p>
        </w:tc>
        <w:tc>
          <w:tcPr>
            <w:tcW w:type="dxa" w:w="2492"/>
          </w:tcPr>
          <w:p>
            <w:pPr>
              <w:pStyle w:val="null3"/>
            </w:pPr>
            <w:r>
              <w:rPr/>
              <w:t>根据供应商对本项目数据的安全和共享措施进行比较赋分。 数据安全保密工作制度全面，数据共享措施科学合理，能够支撑文物空间数据与国土空间规划“一张图”系统有效衔接，得8分； 数据安全保密工作制度较为全面，数据共享措施科学可行性较强，但不够详细、明确，满足文物空间数据与国土空间规划“一张图”系统衔接，得6分； 数据安全保密工作制度不全面，数据共享措施不够详细，基本满足文物空间数据与国土空间规划“一张图”系统衔接要求，得4分； 数据安全、数据共享措施不全面，文物空间数据与国土空间规划“一张图”系统衔接描述不清的，得2分。 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投标方案</w:t>
            </w:r>
          </w:p>
        </w:tc>
      </w:tr>
      <w:tr>
        <w:tc>
          <w:tcPr>
            <w:tcW w:type="dxa" w:w="831"/>
            <w:vMerge/>
          </w:tcPr>
          <w:p/>
        </w:tc>
        <w:tc>
          <w:tcPr>
            <w:tcW w:type="dxa" w:w="1661"/>
          </w:tcPr>
          <w:p>
            <w:pPr>
              <w:pStyle w:val="null3"/>
            </w:pPr>
            <w:r>
              <w:rPr/>
              <w:t>后续服务方案</w:t>
            </w:r>
          </w:p>
        </w:tc>
        <w:tc>
          <w:tcPr>
            <w:tcW w:type="dxa" w:w="2492"/>
          </w:tcPr>
          <w:p>
            <w:pPr>
              <w:pStyle w:val="null3"/>
            </w:pPr>
            <w:r>
              <w:rPr/>
              <w:t>根据供应商向采购人提供的各项后续服务方案进行赋分。 后续服务方案内容详实全面、科学合理、有针对性，可确保工作优质、高效、如期完成，得6分； 后续服务方案内容较详实、合理、有针对性，基本可确保工作较好、如期完成，得4分； 后续服务方案内容一般，针对性不强，基本可确保工作如期完成，得2分； 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投标方案</w:t>
            </w:r>
          </w:p>
          <w:p>
            <w:pPr>
              <w:pStyle w:val="null3"/>
            </w:pPr>
            <w:r>
              <w:rPr/>
              <w:t>投标方案承诺书</w:t>
            </w:r>
          </w:p>
        </w:tc>
      </w:tr>
      <w:tr>
        <w:tc>
          <w:tcPr>
            <w:tcW w:type="dxa" w:w="831"/>
            <w:vMerge/>
          </w:tcPr>
          <w:p/>
        </w:tc>
        <w:tc>
          <w:tcPr>
            <w:tcW w:type="dxa" w:w="1661"/>
          </w:tcPr>
          <w:p>
            <w:pPr>
              <w:pStyle w:val="null3"/>
            </w:pPr>
            <w:r>
              <w:rPr/>
              <w:t>应急处理方案</w:t>
            </w:r>
          </w:p>
        </w:tc>
        <w:tc>
          <w:tcPr>
            <w:tcW w:type="dxa" w:w="2492"/>
          </w:tcPr>
          <w:p>
            <w:pPr>
              <w:pStyle w:val="null3"/>
            </w:pPr>
            <w:r>
              <w:rPr/>
              <w:t>供应商提供完备健全可靠的突发事件应急处理方案，根据其方案的全面性，完备性，可操作性进行赋分。 方案全面、完备健全，措施具有针对性、可操作性，得6分； 方案较全面，措施可操作性较好，得4分； 方案不够全面，措施操作性不强，得2分； 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投标方案</w:t>
            </w:r>
          </w:p>
        </w:tc>
      </w:tr>
      <w:tr>
        <w:tc>
          <w:tcPr>
            <w:tcW w:type="dxa" w:w="831"/>
            <w:vMerge/>
          </w:tcPr>
          <w:p/>
        </w:tc>
        <w:tc>
          <w:tcPr>
            <w:tcW w:type="dxa" w:w="1661"/>
          </w:tcPr>
          <w:p>
            <w:pPr>
              <w:pStyle w:val="null3"/>
            </w:pPr>
            <w:r>
              <w:rPr/>
              <w:t>服务质量承诺</w:t>
            </w:r>
          </w:p>
        </w:tc>
        <w:tc>
          <w:tcPr>
            <w:tcW w:type="dxa" w:w="2492"/>
          </w:tcPr>
          <w:p>
            <w:pPr>
              <w:pStyle w:val="null3"/>
            </w:pPr>
            <w:r>
              <w:rPr/>
              <w:t>对供应商提供的成果服务质量进行评审。 承诺全面、详实，服务质量配合承诺清晰明确，得6分； 承诺较为详实全面，服务质量配合承诺基本完善，得4分； 承诺不全面，服务质量配合承诺较为简略，得2分； 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p>
            <w:pPr>
              <w:pStyle w:val="null3"/>
            </w:pPr>
            <w:r>
              <w:rPr/>
              <w:t>投标人认为有必要说明的其他资料</w:t>
            </w:r>
          </w:p>
          <w:p>
            <w:pPr>
              <w:pStyle w:val="null3"/>
            </w:pPr>
            <w:r>
              <w:rPr/>
              <w:t>投标方案承诺书</w:t>
            </w:r>
          </w:p>
        </w:tc>
      </w:tr>
      <w:tr>
        <w:tc>
          <w:tcPr>
            <w:tcW w:type="dxa" w:w="831"/>
            <w:vMerge/>
          </w:tcPr>
          <w:p/>
        </w:tc>
        <w:tc>
          <w:tcPr>
            <w:tcW w:type="dxa" w:w="1661"/>
          </w:tcPr>
          <w:p>
            <w:pPr>
              <w:pStyle w:val="null3"/>
            </w:pPr>
            <w:r>
              <w:rPr/>
              <w:t>组织管理措施</w:t>
            </w:r>
          </w:p>
        </w:tc>
        <w:tc>
          <w:tcPr>
            <w:tcW w:type="dxa" w:w="2492"/>
          </w:tcPr>
          <w:p>
            <w:pPr>
              <w:pStyle w:val="null3"/>
            </w:pPr>
            <w:r>
              <w:rPr/>
              <w:t>根据供应商提供的项目实施进度和计划进行评审。 1.进度计划全面详细、时间点控制措施科学合理、可行性强，得5分； 2.进度计划全面但部分内容描述不够详细、时间点控制措施可行，得3分； 3.计划进度合理性欠缺、时间进度控制描述不清，得1分。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投标人认为有必要说明的其他资料</w:t>
            </w:r>
          </w:p>
          <w:p>
            <w:pPr>
              <w:pStyle w:val="null3"/>
            </w:pPr>
            <w:r>
              <w:rPr/>
              <w:t>投标方案承诺书</w:t>
            </w:r>
          </w:p>
        </w:tc>
      </w:tr>
      <w:tr>
        <w:tc>
          <w:tcPr>
            <w:tcW w:type="dxa" w:w="831"/>
            <w:vMerge/>
          </w:tcPr>
          <w:p/>
        </w:tc>
        <w:tc>
          <w:tcPr>
            <w:tcW w:type="dxa" w:w="1661"/>
          </w:tcPr>
          <w:p>
            <w:pPr>
              <w:pStyle w:val="null3"/>
            </w:pPr>
            <w:r>
              <w:rPr/>
              <w:t>服务能力保障</w:t>
            </w:r>
          </w:p>
        </w:tc>
        <w:tc>
          <w:tcPr>
            <w:tcW w:type="dxa" w:w="2492"/>
          </w:tcPr>
          <w:p>
            <w:pPr>
              <w:pStyle w:val="null3"/>
            </w:pPr>
            <w:r>
              <w:rPr/>
              <w:t>对供应商的服务能力保障措施进行赋分。 服务能力保障措施合理可靠，并且具备明确的可行性得5分； 服务能力保障措施基本合理，但可行性有所缺失得3分； 服务能力保障措施及可行性均欠妥，有执行的困难得1分；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投标方案</w:t>
            </w:r>
          </w:p>
        </w:tc>
      </w:tr>
      <w:tr>
        <w:tc>
          <w:tcPr>
            <w:tcW w:type="dxa" w:w="831"/>
            <w:vMerge/>
          </w:tcPr>
          <w:p/>
        </w:tc>
        <w:tc>
          <w:tcPr>
            <w:tcW w:type="dxa" w:w="1661"/>
          </w:tcPr>
          <w:p>
            <w:pPr>
              <w:pStyle w:val="null3"/>
            </w:pPr>
            <w:r>
              <w:rPr/>
              <w:t>项目团队组织架构</w:t>
            </w:r>
          </w:p>
        </w:tc>
        <w:tc>
          <w:tcPr>
            <w:tcW w:type="dxa" w:w="2492"/>
          </w:tcPr>
          <w:p>
            <w:pPr>
              <w:pStyle w:val="null3"/>
            </w:pPr>
            <w:r>
              <w:rPr/>
              <w:t>根据供应商拟派项目团队人员的构成情况进行赋分。 1.项目团队组织结构合理、人员分工明确、各专业配置齐全，完全满足项目实施需求得7分； 2.项目团队组织结构基本合理、专业配置基本齐全但人员分工不够明确得5分； 3.项目团队人员配备数量较少、专业配置基本齐全但人员分工不够明确得3分， 4.项目团队人员配备数量较少、专业较为单一，且人员分工不够明确得1分 未提供或项目团队人员过少得0分。 （提供项目团队人员在本单位缴纳的开标时间前近6个月内任意一个月的社保证明为评分依据，未提供不得分。）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拟投入的主要人员简历表</w:t>
            </w:r>
          </w:p>
          <w:p>
            <w:pPr>
              <w:pStyle w:val="null3"/>
            </w:pPr>
            <w:r>
              <w:rPr/>
              <w:t>拟投入本项目的人员一览表</w:t>
            </w:r>
          </w:p>
        </w:tc>
      </w:tr>
      <w:tr>
        <w:tc>
          <w:tcPr>
            <w:tcW w:type="dxa" w:w="831"/>
            <w:vMerge/>
          </w:tcPr>
          <w:p/>
        </w:tc>
        <w:tc>
          <w:tcPr>
            <w:tcW w:type="dxa" w:w="1661"/>
          </w:tcPr>
          <w:p>
            <w:pPr>
              <w:pStyle w:val="null3"/>
            </w:pPr>
            <w:r>
              <w:rPr/>
              <w:t>项目团队成员能力</w:t>
            </w:r>
          </w:p>
        </w:tc>
        <w:tc>
          <w:tcPr>
            <w:tcW w:type="dxa" w:w="2492"/>
          </w:tcPr>
          <w:p>
            <w:pPr>
              <w:pStyle w:val="null3"/>
            </w:pPr>
            <w:r>
              <w:rPr/>
              <w:t>每提供一位具备国家注册城乡规划师资格或城市规划高级职称的项目团队人员，得1分，最高得3分。 （同时提供项目人员职称证书复印件或国家注册城乡规划师证书复印件及在本单位缴纳的开标时间前近6个月内任意一个月的社保证明为评分依据，以上内容必须全部提供，未提供或缺项不得分。）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拟投入的主要人员简历表</w:t>
            </w:r>
          </w:p>
          <w:p>
            <w:pPr>
              <w:pStyle w:val="null3"/>
            </w:pPr>
            <w:r>
              <w:rPr/>
              <w:t>拟投入本项目的人员一览表</w:t>
            </w:r>
          </w:p>
        </w:tc>
      </w:tr>
      <w:tr>
        <w:tc>
          <w:tcPr>
            <w:tcW w:type="dxa" w:w="831"/>
            <w:vMerge/>
          </w:tcPr>
          <w:p/>
        </w:tc>
        <w:tc>
          <w:tcPr>
            <w:tcW w:type="dxa" w:w="1661"/>
          </w:tcPr>
          <w:p>
            <w:pPr>
              <w:pStyle w:val="null3"/>
            </w:pPr>
            <w:r>
              <w:rPr/>
              <w:t>业绩</w:t>
            </w:r>
          </w:p>
        </w:tc>
        <w:tc>
          <w:tcPr>
            <w:tcW w:type="dxa" w:w="2492"/>
          </w:tcPr>
          <w:p>
            <w:pPr>
              <w:pStyle w:val="null3"/>
            </w:pPr>
            <w:r>
              <w:rPr/>
              <w:t>供应商五年内具有历史文化遗产普查测绘项目业绩的每提供一个有效业绩得2分，满分6分； 供应商五年内具有历史文化保护空间类规划编制业绩的，每提供一份得2分，满分4分。 （以合同为准，合同复印件加盖投标人公章装订在投标文件中）。</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满足招标文件要求的最低投标总报价为评审基准价，其他投标人的价格分按照下列公式计算：投标报价得分=(评标基准价／投标总报价)×10 符合招标文件规定的小微企业、监狱企业等优惠条件的供应商，价格给予10%的扣除，用扣除后的价格参与评审。</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p>
            <w:pPr>
              <w:pStyle w:val="null3"/>
            </w:pPr>
            <w:r>
              <w:rPr/>
              <w:t>开标记录表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分项报价表 中小企业声明函 残疾人福利性单位声明函 开标记录表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详见附件：供应商参加政府采购活动承诺书</w:t>
      </w:r>
    </w:p>
    <w:p>
      <w:pPr>
        <w:pStyle w:val="null3"/>
        <w:ind w:firstLine="960"/>
      </w:pPr>
      <w:r>
        <w:rPr/>
        <w:t>详见附件：供应商资格证明文件</w:t>
      </w:r>
    </w:p>
    <w:p>
      <w:pPr>
        <w:pStyle w:val="null3"/>
        <w:ind w:firstLine="960"/>
      </w:pPr>
      <w:r>
        <w:rPr/>
        <w:t>详见附件：开标记录表</w:t>
      </w:r>
    </w:p>
    <w:p>
      <w:pPr>
        <w:pStyle w:val="null3"/>
        <w:ind w:firstLine="960"/>
      </w:pPr>
      <w:r>
        <w:rPr/>
        <w:t>详见附件：拟投入本项目的人员一览表</w:t>
      </w:r>
    </w:p>
    <w:p>
      <w:pPr>
        <w:pStyle w:val="null3"/>
        <w:ind w:firstLine="960"/>
      </w:pPr>
      <w:r>
        <w:rPr/>
        <w:t>详见附件：拟投入的主要人员简历表</w:t>
      </w:r>
    </w:p>
    <w:p>
      <w:pPr>
        <w:pStyle w:val="null3"/>
        <w:ind w:firstLine="960"/>
      </w:pPr>
      <w:r>
        <w:rPr/>
        <w:t>详见附件：商务要求偏离表</w:t>
      </w:r>
    </w:p>
    <w:p>
      <w:pPr>
        <w:pStyle w:val="null3"/>
        <w:ind w:firstLine="960"/>
      </w:pPr>
      <w:r>
        <w:rPr/>
        <w:t>详见附件：投标方案</w:t>
      </w:r>
    </w:p>
    <w:p>
      <w:pPr>
        <w:pStyle w:val="null3"/>
        <w:ind w:firstLine="960"/>
      </w:pPr>
      <w:r>
        <w:rPr/>
        <w:t>详见附件：投标方案承诺书</w:t>
      </w:r>
    </w:p>
    <w:p>
      <w:pPr>
        <w:pStyle w:val="null3"/>
        <w:ind w:firstLine="960"/>
      </w:pPr>
      <w:r>
        <w:rPr/>
        <w:t>详见附件：投标人认为有必要说明的其他资料</w:t>
      </w:r>
    </w:p>
    <w:p>
      <w:pPr>
        <w:pStyle w:val="null3"/>
        <w:ind w:firstLine="960"/>
      </w:pPr>
      <w:r>
        <w:rPr/>
        <w:t>详见附件：项目业绩一览表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详见附件：合同模版（项目使用）.docx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