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版本号：241101001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两校区14栋建筑物消防设备、消防系统修缮工程项目(三次)</w:t>
      </w:r>
    </w:p>
    <w:p>
      <w:pPr>
        <w:pStyle w:val="null3"/>
        <w:jc w:val="center"/>
        <w:outlineLvl w:val="2"/>
      </w:pPr>
      <w:r>
        <w:rPr>
          <w:sz w:val="28"/>
          <w:b/>
        </w:rPr>
        <w:t>采购项目编号：</w:t>
      </w:r>
      <w:r>
        <w:rPr>
          <w:sz w:val="28"/>
          <w:b/>
        </w:rPr>
        <w:t>SZT2024-SN-SC-ZC-GC-1043（3）</w:t>
      </w:r>
      <w:r>
        <w:br/>
      </w:r>
      <w:r>
        <w:br/>
      </w:r>
      <w:r>
        <w:br/>
      </w:r>
    </w:p>
    <w:p>
      <w:pPr>
        <w:pStyle w:val="null3"/>
        <w:jc w:val="center"/>
        <w:outlineLvl w:val="2"/>
      </w:pPr>
      <w:r>
        <w:rPr>
          <w:sz w:val="28"/>
          <w:b/>
        </w:rPr>
        <w:t>西安科技大学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2024年11月04日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陕西中技招标有限公司</w:t>
      </w:r>
      <w:r>
        <w:rPr/>
        <w:t>（以下简称“代理机构”）受</w:t>
      </w:r>
      <w:r>
        <w:rPr/>
        <w:t>西安科技大学</w:t>
      </w:r>
      <w:r>
        <w:rPr/>
        <w:t>委托，拟对</w:t>
      </w:r>
      <w:r>
        <w:rPr/>
        <w:t>两校区14栋建筑物消防设备、消防系统修缮工程项目(三次)</w:t>
      </w:r>
      <w:r>
        <w:rPr/>
        <w:t>采用竞争性谈判采购方式进行采购，兹邀请供应商参加本项目的竞争性谈判。</w:t>
      </w:r>
    </w:p>
    <w:p>
      <w:pPr>
        <w:pStyle w:val="null3"/>
        <w:outlineLvl w:val="2"/>
      </w:pPr>
      <w:r>
        <w:rPr>
          <w:sz w:val="28"/>
          <w:b/>
        </w:rPr>
        <w:t>一、采购项目编号：</w:t>
      </w:r>
      <w:r>
        <w:rPr>
          <w:sz w:val="28"/>
          <w:b/>
        </w:rPr>
        <w:t>SZT2024-SN-SC-ZC-GC-1043（3）</w:t>
      </w:r>
    </w:p>
    <w:p>
      <w:pPr>
        <w:pStyle w:val="null3"/>
        <w:outlineLvl w:val="2"/>
      </w:pPr>
      <w:r>
        <w:rPr>
          <w:sz w:val="28"/>
          <w:b/>
        </w:rPr>
        <w:t>二、采购项目名称：</w:t>
      </w:r>
      <w:r>
        <w:rPr>
          <w:sz w:val="28"/>
          <w:b/>
        </w:rPr>
        <w:t>两校区14栋建筑物消防设备、消防系统修缮工程项目(三次)</w:t>
      </w:r>
    </w:p>
    <w:p>
      <w:pPr>
        <w:pStyle w:val="null3"/>
        <w:outlineLvl w:val="2"/>
      </w:pPr>
      <w:r>
        <w:rPr>
          <w:sz w:val="28"/>
          <w:b/>
        </w:rPr>
        <w:t>三、谈判项目简介：</w:t>
      </w:r>
    </w:p>
    <w:p>
      <w:pPr>
        <w:pStyle w:val="null3"/>
        <w:ind w:firstLine="480"/>
      </w:pPr>
      <w:r>
        <w:rPr/>
        <w:t>为提高学校消防安全建设水平，切实有效维护广大师生的人身财产安全，本次对西安科技大学临潼校区、雁塔校区14栋建筑物消防设备、消防系统进行维修更换。 维修更换内容：临潼校区骊山校园9栋建筑，面积79432.5平方米，秦汉校园3栋建筑，面积16936平方米；雁塔校区北院2栋面积31217平方米。共计14栋建筑物楼内的消防设备设施、消防系统（消火栓头、消火栓启泵按钮、启泵线路铺设、消防水带、灭火器、火灾自动报警系统及设备、排烟系统及设施、防火门及设备的更换和维修等）。</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采购包1（临潼校区骊山校园4栋建筑）：属于专门面向中小企业采购。</w:t>
      </w:r>
    </w:p>
    <w:p>
      <w:pPr>
        <w:pStyle w:val="null3"/>
        <w:ind w:firstLine="480"/>
      </w:pPr>
      <w:r>
        <w:rPr/>
        <w:t>（三）本项目的特定资格要求：</w:t>
      </w:r>
    </w:p>
    <w:p>
      <w:pPr>
        <w:pStyle w:val="null3"/>
      </w:pPr>
      <w:r>
        <w:rPr/>
        <w:t>采购包1：</w:t>
      </w:r>
    </w:p>
    <w:p>
      <w:pPr>
        <w:pStyle w:val="null3"/>
      </w:pPr>
      <w:r>
        <w:rPr/>
        <w:t>1、拟派项目负责人资质和专业要求：提供拟派项目经理具备机电工程专业贰级以上（含贰级）建造师证书，具备有效的安全生产考核合格证及在所投单位的社会保障资金缴纳证明（近六个月内任意一个月），且无在建项目（以承诺书为准）。</w:t>
      </w:r>
    </w:p>
    <w:p>
      <w:pPr>
        <w:pStyle w:val="null3"/>
      </w:pPr>
      <w:r>
        <w:rPr/>
        <w:t>2、供应商要求：具备建筑行政主管部门颁发的有效的消防设施工程专业承包二级以上（含二级）资质证明，并具备合格有效的安全生产许可证，并在“陕西省住房和城乡建设厅”官方网站可查询（提供网页截图）。</w:t>
      </w:r>
    </w:p>
    <w:p>
      <w:pPr>
        <w:pStyle w:val="null3"/>
      </w:pPr>
      <w:r>
        <w:rPr/>
        <w:t>3、法定代表人授权委托书：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null3"/>
      </w:pPr>
      <w:r>
        <w:rPr/>
        <w:t>4、本项目专门面向中小企业采购：仅限符合《政府采购促进中小企业发展办法》（财库〔2020〕46 号）条件的中小企业参与，投标人应填写中小企业声明函并对真实性负责。</w:t>
      </w:r>
    </w:p>
    <w:p>
      <w:pPr>
        <w:pStyle w:val="null3"/>
      </w:pPr>
      <w:r>
        <w:rPr/>
        <w:t>5、业绩：供应商提供近3年承担过类似项目业绩不少于2个（提供合同复印件）。</w:t>
      </w:r>
    </w:p>
    <w:p>
      <w:pPr>
        <w:pStyle w:val="null3"/>
      </w:pPr>
      <w:r>
        <w:rPr/>
        <w:t>6、关于联合体投标：本项目不接受联合体谈判。</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15日的，采购人或代理机构顺延提交响应文件的截止时间。供应商未重新获取谈判文件或者未按照澄清或者修改后的谈判文件编制响应文件进行响应的，自行承担不利后果。</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 购 人： </w:t>
      </w:r>
      <w:r>
        <w:rPr>
          <w:sz w:val="24"/>
          <w:b/>
        </w:rPr>
        <w:t>西安科技大学</w:t>
      </w:r>
    </w:p>
    <w:p>
      <w:pPr>
        <w:pStyle w:val="null3"/>
      </w:pPr>
      <w:r>
        <w:rPr/>
        <w:t xml:space="preserve"> 地址： </w:t>
      </w:r>
      <w:r>
        <w:rPr/>
        <w:t>西安市雁塔路58号</w:t>
      </w:r>
    </w:p>
    <w:p>
      <w:pPr>
        <w:pStyle w:val="null3"/>
      </w:pPr>
      <w:r>
        <w:rPr/>
        <w:t xml:space="preserve"> 邮编： </w:t>
      </w:r>
      <w:r>
        <w:rPr/>
        <w:t>西安市雁塔路58号</w:t>
      </w:r>
    </w:p>
    <w:p>
      <w:pPr>
        <w:pStyle w:val="null3"/>
      </w:pPr>
      <w:r>
        <w:rPr/>
        <w:t xml:space="preserve"> 联系人： </w:t>
      </w:r>
      <w:r>
        <w:rPr/>
        <w:t>王老师</w:t>
      </w:r>
    </w:p>
    <w:p>
      <w:pPr>
        <w:pStyle w:val="null3"/>
      </w:pPr>
      <w:r>
        <w:rPr/>
        <w:t xml:space="preserve"> 联系电话： </w:t>
      </w:r>
      <w:r>
        <w:rPr/>
        <w:t>029-83858191</w:t>
      </w:r>
    </w:p>
    <w:p>
      <w:pPr>
        <w:pStyle w:val="null3"/>
        <w:outlineLvl w:val="2"/>
      </w:pPr>
      <w:r>
        <w:rPr>
          <w:sz w:val="28"/>
          <w:b/>
        </w:rPr>
        <w:t>代理机构：</w:t>
      </w:r>
      <w:r>
        <w:rPr>
          <w:sz w:val="28"/>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杨艳 、李毓菲、史肖霞</w:t>
      </w:r>
    </w:p>
    <w:p>
      <w:pPr>
        <w:pStyle w:val="null3"/>
      </w:pPr>
      <w:r>
        <w:rPr/>
        <w:t xml:space="preserve"> 联系电话： </w:t>
      </w:r>
      <w:r>
        <w:rPr/>
        <w:t>029-88364979-872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采购包1：258,000.00元</w:t>
            </w:r>
          </w:p>
          <w:p>
            <w:pPr>
              <w:pStyle w:val="null3"/>
            </w:pP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在符合性审查环节，有效报价环节提供核心产品品牌不足3个的，视为有效响应供应商不足3家。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本采购包履约保证金为合同金额的8.0%</w:t>
            </w:r>
          </w:p>
          <w:p>
            <w:pPr>
              <w:pStyle w:val="null3"/>
            </w:pPr>
            <w:r>
              <w:rPr/>
              <w:t>说明：供应商成交后凭成交通知书向采购人缴纳成交金额的8%作为履约保证金，待合同履约完毕后无息退还。</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各包成交人应向采购代理机构交纳招标代理服务费。招标代理服务费的收取参见国家计委颁布的《招标代理服务收费管理暂行办法》（计价格[2002]1980号）和（发改办价格[2003]857号）中工程类收费标准的0.775折收取。在领取成交通知书时向采购代理机构一次性交纳。开户银行：招商银行西安分行营业部 银行账号：1299 1681 2810 001</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成交通知书领取</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是否组织潜在供应商踏现场考察</w:t>
            </w:r>
          </w:p>
        </w:tc>
        <w:tc>
          <w:tcPr>
            <w:tcW w:type="dxa" w:w="5004"/>
          </w:tcPr>
          <w:p>
            <w:pPr>
              <w:pStyle w:val="null3"/>
            </w:pPr>
            <w:r>
              <w:rPr/>
              <w:t>采购包1：组织现场踏勘：是</w:t>
            </w:r>
          </w:p>
          <w:p>
            <w:pPr>
              <w:pStyle w:val="null3"/>
              <w:ind w:firstLine="975"/>
            </w:pPr>
            <w:r>
              <w:rPr/>
              <w:t>踏勘时间：2024-11-08 09:30:00</w:t>
            </w:r>
          </w:p>
          <w:p>
            <w:pPr>
              <w:pStyle w:val="null3"/>
              <w:ind w:firstLine="975"/>
            </w:pPr>
            <w:r>
              <w:rPr/>
              <w:t>踏勘地点：临潼校区骊山校园综合楼门前</w:t>
            </w:r>
          </w:p>
          <w:p>
            <w:pPr>
              <w:pStyle w:val="null3"/>
              <w:ind w:firstLine="975"/>
            </w:pPr>
            <w:r>
              <w:rPr/>
              <w:t>联系人：余老师</w:t>
            </w:r>
          </w:p>
          <w:p>
            <w:pPr>
              <w:pStyle w:val="null3"/>
              <w:ind w:firstLine="975"/>
            </w:pPr>
            <w:r>
              <w:rPr/>
              <w:t>联系电话号码：18209271976</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西安科技大学</w:t>
      </w:r>
      <w:r>
        <w:rPr/>
        <w:t>和</w:t>
      </w:r>
      <w:r>
        <w:rPr/>
        <w:t>陕西中技招标有限公司</w:t>
      </w:r>
      <w:r>
        <w:rPr/>
        <w:t>享有。竞争性谈判文件中供应商参加本次政府采购活动应当具备的条件、技术清单、参数、商务及其他要求由</w:t>
      </w:r>
      <w:r>
        <w:rPr/>
        <w:t>西安科技大学</w:t>
      </w:r>
      <w:r>
        <w:rPr/>
        <w:t>负责解释。除上述竞争性谈判文件内容，其他内容由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陕西中技招标有限公司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3"/>
      </w:pPr>
      <w:r>
        <w:rPr>
          <w:sz w:val="24"/>
          <w:b/>
        </w:rPr>
        <w:t>2.3.3答疑会和现场考察</w:t>
      </w:r>
    </w:p>
    <w:p>
      <w:pPr>
        <w:pStyle w:val="null3"/>
        <w:ind w:firstLine="480"/>
      </w:pPr>
      <w:r>
        <w:rPr/>
        <w:t xml:space="preserve"> 一、采购人、代理机构认为有必要，将在谈判文件提供期限截止时间后至响应文件提交截止时间前，组织已获取谈判文件的潜在供应商现场考察或者召开答疑会。</w:t>
      </w:r>
    </w:p>
    <w:p>
      <w:pPr>
        <w:pStyle w:val="null3"/>
        <w:ind w:firstLine="480"/>
      </w:pPr>
      <w:r>
        <w:rPr/>
        <w:t xml:space="preserve"> 二、采购人、代理机构组织现场考察或者召开答疑会的，将通过项目电子化交易系统以书面形式通知所有按照规定获取了谈判文件的潜在供应商。供应商接到通知后，不按照要求参加现场考察或者答疑会的，视同放弃参加现场考察或者答疑的权利，采购人、代理机构不再对该供应商重新组织，但也不会以此限制供应商提交响应文件或者以此将供应商响应文件直接作为无效处理。</w:t>
      </w:r>
    </w:p>
    <w:p>
      <w:pPr>
        <w:pStyle w:val="null3"/>
        <w:ind w:firstLine="480"/>
      </w:pPr>
      <w:r>
        <w:rPr/>
        <w:t>三、供应商考察现场或者参加答疑会所发生的一切费用由供应商自己承担。</w:t>
      </w:r>
    </w:p>
    <w:p>
      <w:pPr>
        <w:pStyle w:val="null3"/>
        <w:outlineLvl w:val="2"/>
      </w:pPr>
      <w:r>
        <w:rPr>
          <w:sz w:val="28"/>
          <w:b/>
        </w:rPr>
        <w:t>2.4响应文件</w:t>
      </w:r>
    </w:p>
    <w:p>
      <w:pPr>
        <w:pStyle w:val="null3"/>
        <w:outlineLvl w:val="3"/>
      </w:pPr>
      <w:r>
        <w:rPr>
          <w:sz w:val="24"/>
          <w:b/>
        </w:rPr>
        <w:t>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2.4.8响应文件有效期</w:t>
      </w:r>
    </w:p>
    <w:p>
      <w:pPr>
        <w:pStyle w:val="null3"/>
        <w:ind w:firstLine="480"/>
        <w:jc w:val="left"/>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2.4.9响应文件的制作、签章和加密（实质性要求）</w:t>
      </w:r>
    </w:p>
    <w:p>
      <w:pPr>
        <w:pStyle w:val="null3"/>
        <w:ind w:firstLine="480"/>
      </w:pPr>
      <w:r>
        <w:rPr/>
        <w:t xml:space="preserve"> 一、响应文件应当根据谈判文件进行编制。供应商应通过陕西省政府采购网-办事指南-CA及签章服务下载投标（响应）客户端，使用客户端编制响应文件。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二、供应商应按照客户端操作要求，对应谈判文件的每项实质性要求，逐一进行响应；未逐一进行响应或者响应内容不符合谈判文件对应项的要求的，其响应文件作无效处理。</w:t>
      </w:r>
    </w:p>
    <w:p>
      <w:pPr>
        <w:pStyle w:val="null3"/>
        <w:ind w:firstLine="480"/>
      </w:pPr>
      <w:r>
        <w:rPr/>
        <w:t xml:space="preserve"> 三、供应商完成响应文件编制后，应按照谈判文件第一章明确的签章要求，使用互认的证书及签章对响应文件进行电子签章和加密。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二、成交供应商转包的，将依法追究法律责任。</w:t>
      </w:r>
    </w:p>
    <w:p>
      <w:pPr>
        <w:pStyle w:val="null3"/>
        <w:outlineLvl w:val="3"/>
      </w:pPr>
      <w:r>
        <w:rPr>
          <w:sz w:val="24"/>
          <w:b/>
        </w:rPr>
        <w:t>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2.6.4合同备案</w:t>
      </w:r>
    </w:p>
    <w:p>
      <w:pPr>
        <w:pStyle w:val="null3"/>
        <w:ind w:firstLine="480"/>
      </w:pPr>
      <w:r>
        <w:rPr/>
        <w:t xml:space="preserve"> 采购人自政府采购合同签订（双方当事人均已完成盖章）之日起7个工作日内，将本项目采购合同通过政府采购平台进行备案。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ind w:firstLine="480"/>
      </w:pPr>
      <w:r>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t>采购包1：</w:t>
      </w:r>
    </w:p>
    <w:p>
      <w:pPr>
        <w:pStyle w:val="null3"/>
      </w:pPr>
      <w:r>
        <w:rPr/>
        <w:t>详见采购合同</w:t>
      </w:r>
    </w:p>
    <w:p>
      <w:pPr>
        <w:pStyle w:val="null3"/>
        <w:ind w:firstLine="480"/>
        <w:jc w:val="left"/>
      </w:pPr>
      <w:r>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t xml:space="preserve"> 工程竣工经验收合格后，方可交付使用；未经验收或者验收不合格的，不得交付使用。</w:t>
      </w:r>
    </w:p>
    <w:p>
      <w:pPr>
        <w:pStyle w:val="null3"/>
        <w:ind w:firstLine="480"/>
        <w:jc w:val="left"/>
      </w:pPr>
      <w:r>
        <w:rPr/>
        <w:t xml:space="preserve"> 三、验收结果合格的，采购人应向成交供应商出具履约验收报告，成交供应商凭验收报告办理相关手续</w:t>
      </w:r>
    </w:p>
    <w:p>
      <w:pPr>
        <w:pStyle w:val="null3"/>
        <w:ind w:firstLine="480"/>
        <w:jc w:val="left"/>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outlineLvl w:val="1"/>
      </w:pPr>
      <w:r>
        <w:rPr>
          <w:sz w:val="36"/>
          <w:b/>
        </w:rPr>
        <w:t>第三章 谈判项目技术、服务、商务及其他要求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标的名称：临潼校区骊山校园4栋建筑消防修缮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4"/>
                <w:b/>
              </w:rPr>
              <w:t>1.项目概况</w:t>
            </w:r>
          </w:p>
          <w:p>
            <w:pPr>
              <w:pStyle w:val="null3"/>
              <w:ind w:firstLine="480"/>
              <w:jc w:val="both"/>
            </w:pPr>
            <w:r>
              <w:rPr>
                <w:rFonts w:ascii="仿宋" w:hAnsi="仿宋" w:cs="仿宋" w:eastAsia="仿宋"/>
                <w:sz w:val="24"/>
              </w:rPr>
              <w:t xml:space="preserve"> 为提高学校消防安全建设水平，切实有效维护广大师生的人身财产安全，本次对西安科技大学临潼校区、雁塔校区14栋建筑物消防设备、消防系统进行维修更换。</w:t>
            </w:r>
          </w:p>
          <w:p>
            <w:pPr>
              <w:pStyle w:val="null3"/>
              <w:ind w:firstLine="480"/>
              <w:jc w:val="both"/>
            </w:pPr>
            <w:r>
              <w:rPr>
                <w:rFonts w:ascii="仿宋" w:hAnsi="仿宋" w:cs="仿宋" w:eastAsia="仿宋"/>
                <w:sz w:val="24"/>
              </w:rPr>
              <w:t>维修更换内容：</w:t>
            </w:r>
            <w:r>
              <w:rPr>
                <w:rFonts w:ascii="仿宋" w:hAnsi="仿宋" w:cs="仿宋" w:eastAsia="仿宋"/>
                <w:sz w:val="24"/>
              </w:rPr>
              <w:t>临潼校区骊山校园</w:t>
            </w:r>
            <w:r>
              <w:rPr>
                <w:rFonts w:ascii="仿宋" w:hAnsi="仿宋" w:cs="仿宋" w:eastAsia="仿宋"/>
                <w:sz w:val="24"/>
              </w:rPr>
              <w:t>4栋建筑</w:t>
            </w:r>
            <w:r>
              <w:rPr>
                <w:rFonts w:ascii="仿宋" w:hAnsi="仿宋" w:cs="仿宋" w:eastAsia="仿宋"/>
                <w:sz w:val="24"/>
              </w:rPr>
              <w:t>物</w:t>
            </w:r>
            <w:r>
              <w:rPr>
                <w:rFonts w:ascii="仿宋" w:hAnsi="仿宋" w:cs="仿宋" w:eastAsia="仿宋"/>
                <w:sz w:val="24"/>
              </w:rPr>
              <w:t>楼内的消防设备设施、消防系统（消火栓头、消火栓启泵按钮、启泵线路铺设、消防水带、灭火器、火灾自动报警系统及设备、排烟系统及设施、防火门及设备的更换和维修等）。</w:t>
            </w:r>
          </w:p>
          <w:p>
            <w:pPr>
              <w:pStyle w:val="null3"/>
              <w:jc w:val="left"/>
            </w:pPr>
            <w:r>
              <w:rPr>
                <w:rFonts w:ascii="仿宋" w:hAnsi="仿宋" w:cs="仿宋" w:eastAsia="仿宋"/>
                <w:sz w:val="24"/>
                <w:b/>
              </w:rPr>
              <w:t>2.工程验收的主要依据、标准及要求：</w:t>
            </w:r>
          </w:p>
          <w:tbl>
            <w:tblPr>
              <w:tblInd w:type="dxa" w:w="60"/>
              <w:tblBorders>
                <w:top w:val="none" w:color="000000" w:sz="4"/>
                <w:left w:val="none" w:color="000000" w:sz="4"/>
                <w:bottom w:val="none" w:color="000000" w:sz="4"/>
                <w:right w:val="none" w:color="000000" w:sz="4"/>
                <w:insideH w:val="none"/>
                <w:insideV w:val="none"/>
              </w:tblBorders>
            </w:tblPr>
            <w:tblGrid>
              <w:gridCol w:w="429"/>
              <w:gridCol w:w="2123"/>
            </w:tblGrid>
            <w:tr>
              <w:tc>
                <w:tcPr>
                  <w:tcW w:type="dxa" w:w="42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序号</w:t>
                  </w:r>
                </w:p>
              </w:tc>
              <w:tc>
                <w:tcPr>
                  <w:tcW w:type="dxa" w:w="212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规范、规程、标准名称</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 w:hAnsi="仿宋" w:cs="仿宋" w:eastAsia="仿宋"/>
                      <w:sz w:val="24"/>
                    </w:rPr>
                    <w:t>《建筑工程施工及验收规范》和相关技术规程</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2</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XF503-2004   建筑消防设施检测技术规程</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3</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GB25202010   建筑消防设施的维护管理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4</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GBJ16-1987(2001版)   建筑设计防火规范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5</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GB50016-2006   建筑设计防火规范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6</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GB50166-2019   火灾自动报警系统施工及验收标准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7</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GB50261-2017   自动喷水灭火系统施工及验收规范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8</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GB50974-2014   消防给水及消火栓系统技术规范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9</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GB50877-2014  防火卷帘、防火门、防火窗施工及验收规范</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10</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117"/>
                    <w:jc w:val="both"/>
                  </w:pPr>
                  <w:r>
                    <w:rPr>
                      <w:rFonts w:ascii="仿宋" w:hAnsi="仿宋" w:cs="仿宋" w:eastAsia="仿宋"/>
                      <w:sz w:val="24"/>
                    </w:rPr>
                    <w:t>GB51251-2017  建筑防烟、排烟系统技术标准</w:t>
                  </w:r>
                </w:p>
              </w:tc>
            </w:tr>
            <w:tr>
              <w:tc>
                <w:tcPr>
                  <w:tcW w:type="dxa" w:w="4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11</w:t>
                  </w:r>
                </w:p>
              </w:tc>
              <w:tc>
                <w:tcPr>
                  <w:tcW w:type="dxa" w:w="212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所投主要货物需提供检测报告、合格证、中国国家强制性产品认证证书</w:t>
                  </w:r>
                </w:p>
              </w:tc>
            </w:tr>
          </w:tbl>
          <w:p>
            <w:pPr>
              <w:pStyle w:val="null3"/>
              <w:jc w:val="both"/>
            </w:pPr>
            <w:r>
              <w:rPr>
                <w:rFonts w:ascii="仿宋" w:hAnsi="仿宋" w:cs="仿宋" w:eastAsia="仿宋"/>
                <w:sz w:val="24"/>
                <w:b/>
              </w:rPr>
              <w:t>3.工期需求</w:t>
            </w:r>
          </w:p>
          <w:p>
            <w:pPr>
              <w:pStyle w:val="null3"/>
              <w:jc w:val="both"/>
            </w:pPr>
            <w:r>
              <w:rPr>
                <w:rFonts w:ascii="仿宋" w:hAnsi="仿宋" w:cs="仿宋" w:eastAsia="仿宋"/>
                <w:sz w:val="24"/>
              </w:rPr>
              <w:t>工期：</w:t>
            </w:r>
            <w:r>
              <w:rPr>
                <w:rFonts w:ascii="仿宋" w:hAnsi="仿宋" w:cs="仿宋" w:eastAsia="仿宋"/>
                <w:sz w:val="24"/>
              </w:rPr>
              <w:t>15天，自甲方发出开工令当天为准。</w:t>
            </w:r>
          </w:p>
          <w:p>
            <w:pPr>
              <w:pStyle w:val="null3"/>
              <w:jc w:val="both"/>
            </w:pPr>
            <w:r>
              <w:rPr>
                <w:rFonts w:ascii="仿宋" w:hAnsi="仿宋" w:cs="仿宋" w:eastAsia="仿宋"/>
                <w:sz w:val="24"/>
                <w:b/>
              </w:rPr>
              <w:t>4.付款方式要求及履约保证金</w:t>
            </w:r>
          </w:p>
          <w:p>
            <w:pPr>
              <w:pStyle w:val="null3"/>
              <w:jc w:val="both"/>
            </w:pPr>
            <w:r>
              <w:rPr>
                <w:rFonts w:ascii="仿宋" w:hAnsi="仿宋" w:cs="仿宋" w:eastAsia="仿宋"/>
                <w:sz w:val="24"/>
              </w:rPr>
              <w:t>（</w:t>
            </w:r>
            <w:r>
              <w:rPr>
                <w:rFonts w:ascii="仿宋" w:hAnsi="仿宋" w:cs="仿宋" w:eastAsia="仿宋"/>
                <w:sz w:val="24"/>
              </w:rPr>
              <w:t>1）付款方式要求</w:t>
            </w:r>
          </w:p>
          <w:p>
            <w:pPr>
              <w:pStyle w:val="null3"/>
              <w:jc w:val="both"/>
            </w:pPr>
            <w:r>
              <w:rPr>
                <w:rFonts w:ascii="仿宋" w:hAnsi="仿宋" w:cs="仿宋" w:eastAsia="仿宋"/>
                <w:sz w:val="24"/>
              </w:rPr>
              <w:t>签订合同前向学校缴纳</w:t>
            </w:r>
            <w:r>
              <w:rPr>
                <w:rFonts w:ascii="仿宋" w:hAnsi="仿宋" w:cs="仿宋" w:eastAsia="仿宋"/>
                <w:sz w:val="24"/>
              </w:rPr>
              <w:t>8%的履约保证金，合同签订后采购人支付40%合同金额的预付款。工程完工经学校验收合格后支付20%工程款，经工程审计，支付至审定价的100%。</w:t>
            </w:r>
          </w:p>
          <w:p>
            <w:pPr>
              <w:pStyle w:val="null3"/>
              <w:jc w:val="both"/>
            </w:pPr>
            <w:r>
              <w:rPr>
                <w:rFonts w:ascii="仿宋" w:hAnsi="仿宋" w:cs="仿宋" w:eastAsia="仿宋"/>
                <w:sz w:val="24"/>
              </w:rPr>
              <w:t>（</w:t>
            </w:r>
            <w:r>
              <w:rPr>
                <w:rFonts w:ascii="仿宋" w:hAnsi="仿宋" w:cs="仿宋" w:eastAsia="仿宋"/>
                <w:sz w:val="24"/>
              </w:rPr>
              <w:t>2）履约保证金要求</w:t>
            </w:r>
          </w:p>
          <w:p>
            <w:pPr>
              <w:pStyle w:val="null3"/>
              <w:jc w:val="both"/>
            </w:pPr>
            <w:r>
              <w:rPr>
                <w:rFonts w:ascii="仿宋" w:hAnsi="仿宋" w:cs="仿宋" w:eastAsia="仿宋"/>
                <w:sz w:val="24"/>
              </w:rPr>
              <w:t>履约保证金基本要求：供应商成交后凭成交通知书向采购人缴纳成交金额的</w:t>
            </w:r>
            <w:r>
              <w:rPr>
                <w:rFonts w:ascii="仿宋" w:hAnsi="仿宋" w:cs="仿宋" w:eastAsia="仿宋"/>
                <w:sz w:val="24"/>
              </w:rPr>
              <w:t>8%作为履约保证金。</w:t>
            </w:r>
          </w:p>
          <w:p>
            <w:pPr>
              <w:pStyle w:val="null3"/>
              <w:jc w:val="both"/>
            </w:pPr>
            <w:r>
              <w:rPr>
                <w:rFonts w:ascii="仿宋" w:hAnsi="仿宋" w:cs="仿宋" w:eastAsia="仿宋"/>
                <w:sz w:val="24"/>
                <w:b/>
              </w:rPr>
              <w:t>5.缺陷保证期及质保保修要求</w:t>
            </w:r>
          </w:p>
          <w:p>
            <w:pPr>
              <w:pStyle w:val="null3"/>
              <w:jc w:val="both"/>
            </w:pPr>
            <w:r>
              <w:rPr>
                <w:rFonts w:ascii="仿宋" w:hAnsi="仿宋" w:cs="仿宋" w:eastAsia="仿宋"/>
                <w:sz w:val="24"/>
              </w:rPr>
              <w:t>（</w:t>
            </w:r>
            <w:r>
              <w:rPr>
                <w:rFonts w:ascii="仿宋" w:hAnsi="仿宋" w:cs="仿宋" w:eastAsia="仿宋"/>
                <w:sz w:val="24"/>
              </w:rPr>
              <w:t>1）缺陷保证期：2年；</w:t>
            </w:r>
          </w:p>
          <w:p>
            <w:pPr>
              <w:pStyle w:val="null3"/>
              <w:jc w:val="both"/>
            </w:pPr>
            <w:r>
              <w:rPr>
                <w:rFonts w:ascii="仿宋" w:hAnsi="仿宋" w:cs="仿宋" w:eastAsia="仿宋"/>
                <w:sz w:val="24"/>
              </w:rPr>
              <w:t>（</w:t>
            </w:r>
            <w:r>
              <w:rPr>
                <w:rFonts w:ascii="仿宋" w:hAnsi="仿宋" w:cs="仿宋" w:eastAsia="仿宋"/>
                <w:sz w:val="24"/>
              </w:rPr>
              <w:t>2）质保期保修要求</w:t>
            </w:r>
          </w:p>
          <w:p>
            <w:pPr>
              <w:pStyle w:val="null3"/>
              <w:jc w:val="both"/>
            </w:pPr>
            <w:r>
              <w:rPr>
                <w:rFonts w:ascii="仿宋" w:hAnsi="仿宋" w:cs="仿宋" w:eastAsia="仿宋"/>
                <w:sz w:val="24"/>
              </w:rPr>
              <w:t>①属于保修范围和内容的项目，承包人应在接到维修通知后， 2 小时内派人维修。发生紧急抢修事故，承包人应在接到通知后 1 小时内到达事故现场并于 24 小时内完成应急维修。</w:t>
            </w:r>
          </w:p>
          <w:p>
            <w:pPr>
              <w:pStyle w:val="null3"/>
              <w:jc w:val="both"/>
            </w:pPr>
            <w:r>
              <w:rPr>
                <w:rFonts w:ascii="仿宋" w:hAnsi="仿宋" w:cs="仿宋" w:eastAsia="仿宋"/>
                <w:sz w:val="24"/>
              </w:rPr>
              <w:t>② 其他要求：</w:t>
            </w:r>
          </w:p>
          <w:p>
            <w:pPr>
              <w:pStyle w:val="null3"/>
              <w:jc w:val="both"/>
            </w:pPr>
            <w:r>
              <w:rPr>
                <w:rFonts w:ascii="仿宋" w:hAnsi="仿宋" w:cs="仿宋" w:eastAsia="仿宋"/>
                <w:sz w:val="24"/>
              </w:rPr>
              <w:t>承包人在维修及抢修期间，必须采取必要措施保证施工安全，同时提供应急措施，保证消防设施设备应急运行。承包人在维修及抢修期间，如发生安全事故，与甲方无关，供应商应承担全部责任。。</w:t>
            </w:r>
          </w:p>
          <w:p>
            <w:pPr>
              <w:pStyle w:val="null3"/>
              <w:jc w:val="both"/>
            </w:pPr>
            <w:r>
              <w:rPr>
                <w:rFonts w:ascii="仿宋" w:hAnsi="仿宋" w:cs="仿宋" w:eastAsia="仿宋"/>
                <w:sz w:val="24"/>
                <w:b/>
              </w:rPr>
              <w:t>6.后附工程量清单及示意图（附件）</w:t>
            </w:r>
          </w:p>
          <w:tbl>
            <w:tblPr>
              <w:tblInd w:type="dxa" w:w="60"/>
              <w:tblBorders>
                <w:top w:val="none" w:color="000000" w:sz="4"/>
                <w:left w:val="none" w:color="000000" w:sz="4"/>
                <w:bottom w:val="none" w:color="000000" w:sz="4"/>
                <w:right w:val="none" w:color="000000" w:sz="4"/>
                <w:insideH w:val="none"/>
                <w:insideV w:val="none"/>
              </w:tblBorders>
            </w:tblPr>
            <w:tblGrid>
              <w:gridCol w:w="290"/>
              <w:gridCol w:w="2262"/>
            </w:tblGrid>
            <w:tr>
              <w:tc>
                <w:tcPr>
                  <w:tcW w:type="dxa" w:w="29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序号</w:t>
                  </w:r>
                </w:p>
              </w:tc>
              <w:tc>
                <w:tcPr>
                  <w:tcW w:type="dxa" w:w="226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投标主要产品</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1</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新更换或维修的</w:t>
                  </w:r>
                  <w:r>
                    <w:rPr>
                      <w:rFonts w:ascii="仿宋" w:hAnsi="仿宋" w:cs="仿宋" w:eastAsia="仿宋"/>
                      <w:sz w:val="24"/>
                    </w:rPr>
                    <w:t>消火栓按钮、楼层显示器</w:t>
                  </w:r>
                  <w:r>
                    <w:rPr>
                      <w:rFonts w:ascii="仿宋" w:hAnsi="仿宋" w:cs="仿宋" w:eastAsia="仿宋"/>
                      <w:sz w:val="24"/>
                    </w:rPr>
                    <w:t>等设备需</w:t>
                  </w:r>
                  <w:r>
                    <w:rPr>
                      <w:rFonts w:ascii="仿宋" w:hAnsi="仿宋" w:cs="仿宋" w:eastAsia="仿宋"/>
                      <w:sz w:val="24"/>
                    </w:rPr>
                    <w:t>与</w:t>
                  </w:r>
                  <w:r>
                    <w:rPr>
                      <w:rFonts w:ascii="仿宋" w:hAnsi="仿宋" w:cs="仿宋" w:eastAsia="仿宋"/>
                      <w:sz w:val="24"/>
                    </w:rPr>
                    <w:t>现用消防设施</w:t>
                  </w:r>
                  <w:r>
                    <w:rPr>
                      <w:rFonts w:ascii="仿宋" w:hAnsi="仿宋" w:cs="仿宋" w:eastAsia="仿宋"/>
                      <w:sz w:val="24"/>
                    </w:rPr>
                    <w:t>相匹配。</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2</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消火栓启泵连接线</w:t>
                  </w:r>
                  <w:r>
                    <w:rPr>
                      <w:rFonts w:ascii="仿宋" w:hAnsi="仿宋" w:cs="仿宋" w:eastAsia="仿宋"/>
                      <w:sz w:val="24"/>
                    </w:rPr>
                    <w:t>，</w:t>
                  </w:r>
                  <w:r>
                    <w:rPr>
                      <w:rFonts w:ascii="仿宋" w:hAnsi="仿宋" w:cs="仿宋" w:eastAsia="仿宋"/>
                      <w:sz w:val="24"/>
                    </w:rPr>
                    <w:t>ZR-RVS 2:*1.5²。</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3</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灭火器，手提式，</w:t>
                  </w:r>
                  <w:r>
                    <w:rPr>
                      <w:rFonts w:ascii="仿宋" w:hAnsi="仿宋" w:cs="仿宋" w:eastAsia="仿宋"/>
                      <w:sz w:val="24"/>
                    </w:rPr>
                    <w:t>MFABC5kg。</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4</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喷头标准型</w:t>
                  </w:r>
                  <w:r>
                    <w:rPr>
                      <w:rFonts w:ascii="仿宋" w:hAnsi="仿宋" w:cs="仿宋" w:eastAsia="仿宋"/>
                      <w:sz w:val="24"/>
                    </w:rPr>
                    <w:t>68℃。</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5</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疏散指示灯、安全出口指示灯、应急照明灯规格及属性</w:t>
                  </w:r>
                  <w:r>
                    <w:rPr>
                      <w:rFonts w:ascii="仿宋" w:hAnsi="仿宋" w:cs="仿宋" w:eastAsia="仿宋"/>
                      <w:sz w:val="24"/>
                    </w:rPr>
                    <w:t>:电压24-220v灯具,功率3W,产品认证符合国家标准，3C、合格证及检验报告、灯具应急时间不少于90min等。</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6</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消防水带</w:t>
                  </w:r>
                  <w:r>
                    <w:rPr>
                      <w:rFonts w:ascii="仿宋" w:hAnsi="仿宋" w:cs="仿宋" w:eastAsia="仿宋"/>
                      <w:sz w:val="24"/>
                    </w:rPr>
                    <w:t>8-65-25。</w:t>
                  </w:r>
                </w:p>
              </w:tc>
            </w:tr>
            <w:tr>
              <w:tc>
                <w:tcPr>
                  <w:tcW w:type="dxa" w:w="29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 w:hAnsi="仿宋" w:cs="仿宋" w:eastAsia="仿宋"/>
                      <w:sz w:val="24"/>
                    </w:rPr>
                    <w:t>7</w:t>
                  </w:r>
                </w:p>
              </w:tc>
              <w:tc>
                <w:tcPr>
                  <w:tcW w:type="dxa" w:w="226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 w:hAnsi="仿宋" w:cs="仿宋" w:eastAsia="仿宋"/>
                      <w:sz w:val="24"/>
                    </w:rPr>
                    <w:t>消火栓栓头</w:t>
                  </w:r>
                  <w:r>
                    <w:rPr>
                      <w:rFonts w:ascii="仿宋" w:hAnsi="仿宋" w:cs="仿宋" w:eastAsia="仿宋"/>
                      <w:sz w:val="24"/>
                    </w:rPr>
                    <w:t>SN65型。</w:t>
                  </w:r>
                </w:p>
              </w:tc>
            </w:tr>
          </w:tbl>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详见合同文本</w:t>
      </w:r>
    </w:p>
    <w:p>
      <w:pPr>
        <w:pStyle w:val="null3"/>
        <w:ind w:firstLine="480"/>
      </w:pPr>
      <w:r>
        <w:rPr/>
        <w:t>三、针对本项目的其他技术服务要求：</w:t>
      </w:r>
    </w:p>
    <w:p>
      <w:pPr>
        <w:pStyle w:val="null3"/>
      </w:pPr>
      <w:r>
        <w:rPr/>
        <w:t>如整改事项需要施工图纸，供应商根据现场情况及建筑建成年代建筑消防相关规范自行编制。 其他要求详见合同文本</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1.对于不允许偏离的实质性要求和条件，采购人或者代理机构应当在谈判文件中规定，并以醒目的方式标明。</w:t>
      </w:r>
    </w:p>
    <w:p>
      <w:pPr>
        <w:pStyle w:val="null3"/>
        <w:ind w:firstLine="480"/>
      </w:pPr>
      <w:r>
        <w:rPr/>
        <w:t xml:space="preserve"> 2.除相关法律或行政法规或规章要求供应商在响应或谈判阶段提供检测报告的，不得要求供应商在响应、谈判阶段提供检测报告，如确实需要检测报告，可要求供应商承诺在签订合同阶段或项目实施阶段提供。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sz w:val="28"/>
          <w:b/>
        </w:rPr>
        <w:t>3.3其他要求</w:t>
      </w:r>
    </w:p>
    <w:p>
      <w:pPr>
        <w:pStyle w:val="null3"/>
      </w:pPr>
      <w:r>
        <w:rPr/>
        <w:t>1.合同综合单价以谈判最终报价与一次报价的下浮比例，对所有单价进行同比例下浮，以下浮后的价格作为合同执行单价。 2.成交供应商在领取成交通知书时提供3套纸质投标文件（1正2副），纸质版投标文件应与线上电子投标文件保持一致并加盖公章。3.兼投不兼中：本项目“兼投不兼中”，供应商可以投多个包，但最多只能中两个包（且由不同的项目经理担任）。</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税种须包含增值税或企业所得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拟派项目负责人资质和专业要求</w:t>
            </w:r>
          </w:p>
        </w:tc>
        <w:tc>
          <w:tcPr>
            <w:tcW w:type="dxa" w:w="3322"/>
          </w:tcPr>
          <w:p>
            <w:pPr>
              <w:pStyle w:val="null3"/>
            </w:pPr>
            <w:r>
              <w:rPr/>
              <w:t>提供拟派项目经理具备机电工程专业贰级以上（含贰级）建造师证书，具备有效的安全生产考核合格证及在所投单位的社会保障资金缴纳证明（近六个月内任意一个月），且无在建项目（以承诺书为准）。</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具备建筑行政主管部门颁发的有效的消防设施工程专业承包二级以上（含二级）资质证明，并具备合格有效的安全生产许可证，并在“陕西省住房和城乡建设厅”官方网站可查询（提供网页截图）。</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法定代表人授权委托书</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业绩</w:t>
            </w:r>
          </w:p>
        </w:tc>
        <w:tc>
          <w:tcPr>
            <w:tcW w:type="dxa" w:w="3322"/>
          </w:tcPr>
          <w:p>
            <w:pPr>
              <w:pStyle w:val="null3"/>
            </w:pPr>
            <w:r>
              <w:rPr/>
              <w:t>供应商提供近3年承担过类似项目业绩不少于2个（提供合同复印件）。</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关于联合体投标</w:t>
            </w:r>
          </w:p>
        </w:tc>
        <w:tc>
          <w:tcPr>
            <w:tcW w:type="dxa" w:w="3322"/>
          </w:tcPr>
          <w:p>
            <w:pPr>
              <w:pStyle w:val="null3"/>
            </w:pPr>
            <w:r>
              <w:rPr/>
              <w:t>本项目不接受联合体谈判。</w:t>
            </w:r>
          </w:p>
        </w:tc>
        <w:tc>
          <w:tcPr>
            <w:tcW w:type="dxa" w:w="1661"/>
          </w:tcPr>
          <w:p>
            <w:pPr>
              <w:pStyle w:val="null3"/>
            </w:pPr>
            <w:r>
              <w:rPr/>
              <w:t>资格证明文件</w:t>
            </w:r>
          </w:p>
        </w:tc>
      </w:tr>
    </w:tbl>
    <w:p>
      <w:pPr>
        <w:pStyle w:val="null3"/>
      </w:pPr>
      <w:r>
        <w:rPr/>
        <w:t xml:space="preserve"> </w:t>
        <w:br/>
        <w:br w:type="page"/>
      </w:r>
    </w:p>
    <w:p>
      <w:pPr>
        <w:pStyle w:val="null3"/>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ind w:firstLine="480"/>
        <w:jc w:val="left"/>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ind w:firstLine="480"/>
      </w:pPr>
      <w:r>
        <w:rPr/>
        <w:t>注：工程量清单不属于谈判过程中可以实质性变动的内容。</w:t>
      </w:r>
    </w:p>
    <w:p>
      <w:pPr>
        <w:pStyle w:val="null3"/>
      </w:pPr>
      <w:r>
        <w:rPr/>
        <w:t xml:space="preserve"> </w:t>
        <w:br/>
        <w:br w:type="page"/>
      </w:r>
    </w:p>
    <w:p>
      <w:pPr>
        <w:pStyle w:val="null3"/>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四、谈判小组按照谈判文件规定的谈判程序、评审方法和标准进行评审，并独立履行下列职责：</w:t>
      </w:r>
    </w:p>
    <w:p>
      <w:pPr>
        <w:pStyle w:val="null3"/>
        <w:ind w:firstLine="480"/>
      </w:pPr>
      <w:r>
        <w:rPr/>
        <w:t>（一）熟悉和理解谈判文件，确定谈判文件内容是否违反国家有关强制性规定或者谈判文件存在歧义、重大缺陷；</w:t>
      </w:r>
    </w:p>
    <w:p>
      <w:pPr>
        <w:pStyle w:val="null3"/>
        <w:ind w:firstLine="480"/>
      </w:pPr>
      <w:r>
        <w:rPr/>
        <w:t>（二）审查供应商响应文件是否满足谈判文件要求，并作出公正评价；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（五）起草谈判报告并进行签署；</w:t>
      </w:r>
    </w:p>
    <w:p>
      <w:pPr>
        <w:pStyle w:val="null3"/>
        <w:ind w:firstLine="480"/>
      </w:pPr>
      <w:r>
        <w:rPr/>
        <w:t>（六）向采购人、代理机构、财政部门或者其他监督部门报告非法干预评审工作的行为；</w:t>
      </w:r>
    </w:p>
    <w:p>
      <w:pPr>
        <w:pStyle w:val="null3"/>
        <w:ind w:firstLine="480"/>
        <w:jc w:val="left"/>
      </w:pPr>
      <w:r>
        <w:rPr/>
        <w:t>（七）法律、法规和规章规定的其他职责。</w:t>
      </w:r>
    </w:p>
    <w:p>
      <w:pPr>
        <w:pStyle w:val="null3"/>
        <w:outlineLvl w:val="2"/>
      </w:pPr>
      <w:r>
        <w:rPr>
          <w:sz w:val="28"/>
          <w:b/>
        </w:rPr>
        <w:t>6.3评审程序</w:t>
      </w:r>
    </w:p>
    <w:p>
      <w:pPr>
        <w:pStyle w:val="null3"/>
        <w:outlineLvl w:val="3"/>
      </w:pPr>
      <w:r>
        <w:rPr>
          <w:sz w:val="24"/>
          <w:b/>
        </w:rPr>
        <w:t>6.3.1熟悉和理解谈判文件和停止评审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一、谈判开始前，谈判小组对供应商首次提交的响应文件（包括报价）进行审查，审查内容为谈判文件不允许实质性变动的实质性要求，不符合实质性要求或应当作无效响应处理的，应当作无效响应处理。</w:t>
      </w:r>
    </w:p>
    <w:p>
      <w:pPr>
        <w:pStyle w:val="null3"/>
        <w:ind w:firstLine="480"/>
      </w:pPr>
      <w:r>
        <w:rPr/>
        <w:t>二、谈判小组对供应商已标价工程量清单进行算术性复核，如果出现下列不一致的，按以下原则进行修正：</w:t>
      </w:r>
    </w:p>
    <w:p>
      <w:pPr>
        <w:pStyle w:val="null3"/>
        <w:ind w:firstLine="480"/>
      </w:pPr>
      <w:r>
        <w:rPr/>
        <w:t xml:space="preserve"> （1）报价大写金额和小写金额不一致的，以大写金额为准。但大写金额文字存在错误的，应当先对大写金额的文字错误进行澄清、说明或者更正，再行修正。</w:t>
      </w:r>
    </w:p>
    <w:p>
      <w:pPr>
        <w:pStyle w:val="null3"/>
        <w:ind w:firstLine="480"/>
      </w:pPr>
      <w:r>
        <w:rPr/>
        <w:t xml:space="preserve"> （2）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谈判小组不得未经书面形式要求供应商确认，直接将供应商响应文件作为无效处理。</w:t>
      </w:r>
    </w:p>
    <w:p>
      <w:pPr>
        <w:pStyle w:val="null3"/>
        <w:ind w:firstLine="480"/>
      </w:pPr>
      <w:r>
        <w:rPr/>
        <w:t xml:space="preserve"> 三、在符合性审查过程中，如果出现谈判小组成员意见不一致的情况，按照少数服从多数的原则确定，但不得违背政府采购基本原则和谈判文件规定。</w:t>
      </w:r>
    </w:p>
    <w:p>
      <w:pPr>
        <w:pStyle w:val="null3"/>
        <w:ind w:firstLine="480"/>
      </w:pPr>
      <w:r>
        <w:rPr/>
        <w:t>四、谈判小组对所有响应文件进行审查后，确定参加谈判的供应商名单。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谈判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2.供应商通过项目电子化交易系统在谈判小组要求的合理时间内提交说明，否则无效。</w:t>
            </w:r>
          </w:p>
        </w:tc>
        <w:tc>
          <w:tcPr>
            <w:tcW w:type="dxa" w:w="1661"/>
          </w:tcPr>
          <w:p>
            <w:pPr>
              <w:pStyle w:val="null3"/>
            </w:pPr>
            <w:r>
              <w:rPr/>
              <w:t>已标价工程量清单 供应商参加政府采购活动承诺书 拒绝商业贿赂承诺书 报价函 标的清单 强制优先采购产品承诺函</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工期符合谈判文件要求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付款方式及项目质保期</w:t>
            </w:r>
          </w:p>
        </w:tc>
        <w:tc>
          <w:tcPr>
            <w:tcW w:type="dxa" w:w="3322"/>
          </w:tcPr>
          <w:p>
            <w:pPr>
              <w:pStyle w:val="null3"/>
            </w:pPr>
            <w:r>
              <w:rPr/>
              <w:t>付款方式及项目质保期符合谈判文件要求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响应文件的签字盖章符合谈判文件要求</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有效期</w:t>
            </w:r>
          </w:p>
        </w:tc>
        <w:tc>
          <w:tcPr>
            <w:tcW w:type="dxa" w:w="3322"/>
          </w:tcPr>
          <w:p>
            <w:pPr>
              <w:pStyle w:val="null3"/>
            </w:pPr>
            <w:r>
              <w:rPr/>
              <w:t>响应文件有效期符合谈判文件要求</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已标价工程量清单</w:t>
            </w:r>
          </w:p>
        </w:tc>
      </w:tr>
      <w:tr>
        <w:tc>
          <w:tcPr>
            <w:tcW w:type="dxa" w:w="831"/>
          </w:tcPr>
          <w:p>
            <w:pPr>
              <w:pStyle w:val="null3"/>
            </w:pPr>
            <w:r>
              <w:rPr/>
              <w:t>7</w:t>
            </w:r>
          </w:p>
        </w:tc>
        <w:tc>
          <w:tcPr>
            <w:tcW w:type="dxa" w:w="2492"/>
          </w:tcPr>
          <w:p>
            <w:pPr>
              <w:pStyle w:val="null3"/>
            </w:pPr>
            <w:r>
              <w:rPr/>
              <w:t>工程量清单</w:t>
            </w:r>
          </w:p>
        </w:tc>
        <w:tc>
          <w:tcPr>
            <w:tcW w:type="dxa" w:w="3322"/>
          </w:tcPr>
          <w:p>
            <w:pPr>
              <w:pStyle w:val="null3"/>
            </w:pPr>
            <w:r>
              <w:rPr/>
              <w:t>谈判响应文件的工程量清单满足采购要求</w:t>
            </w:r>
          </w:p>
        </w:tc>
        <w:tc>
          <w:tcPr>
            <w:tcW w:type="dxa" w:w="1661"/>
          </w:tcPr>
          <w:p>
            <w:pPr>
              <w:pStyle w:val="null3"/>
            </w:pPr>
            <w:r>
              <w:rPr/>
              <w:t>已标价工程量清单</w:t>
            </w:r>
          </w:p>
        </w:tc>
      </w:tr>
      <w:tr>
        <w:tc>
          <w:tcPr>
            <w:tcW w:type="dxa" w:w="831"/>
          </w:tcPr>
          <w:p>
            <w:pPr>
              <w:pStyle w:val="null3"/>
            </w:pPr>
            <w:r>
              <w:rPr/>
              <w:t>8</w:t>
            </w:r>
          </w:p>
        </w:tc>
        <w:tc>
          <w:tcPr>
            <w:tcW w:type="dxa" w:w="2492"/>
          </w:tcPr>
          <w:p>
            <w:pPr>
              <w:pStyle w:val="null3"/>
            </w:pPr>
            <w:r>
              <w:rPr/>
              <w:t>主要产品</w:t>
            </w:r>
          </w:p>
        </w:tc>
        <w:tc>
          <w:tcPr>
            <w:tcW w:type="dxa" w:w="3322"/>
          </w:tcPr>
          <w:p>
            <w:pPr>
              <w:pStyle w:val="null3"/>
            </w:pPr>
            <w:r>
              <w:rPr/>
              <w:t>谈判响应文件的主要产品满足采购要求</w:t>
            </w:r>
          </w:p>
        </w:tc>
        <w:tc>
          <w:tcPr>
            <w:tcW w:type="dxa" w:w="1661"/>
          </w:tcPr>
          <w:p>
            <w:pPr>
              <w:pStyle w:val="null3"/>
            </w:pPr>
            <w:r>
              <w:rPr/>
              <w:t>施工组织设计 产品及主要材料表 服务承诺</w:t>
            </w:r>
          </w:p>
        </w:tc>
      </w:tr>
      <w:tr>
        <w:tc>
          <w:tcPr>
            <w:tcW w:type="dxa" w:w="831"/>
          </w:tcPr>
          <w:p>
            <w:pPr>
              <w:pStyle w:val="null3"/>
            </w:pPr>
            <w:r>
              <w:rPr/>
              <w:t>9</w:t>
            </w:r>
          </w:p>
        </w:tc>
        <w:tc>
          <w:tcPr>
            <w:tcW w:type="dxa" w:w="2492"/>
          </w:tcPr>
          <w:p>
            <w:pPr>
              <w:pStyle w:val="null3"/>
            </w:pPr>
            <w:r>
              <w:rPr/>
              <w:t>其他要求</w:t>
            </w:r>
          </w:p>
        </w:tc>
        <w:tc>
          <w:tcPr>
            <w:tcW w:type="dxa" w:w="3322"/>
          </w:tcPr>
          <w:p>
            <w:pPr>
              <w:pStyle w:val="null3"/>
            </w:pPr>
            <w:r>
              <w:rPr/>
              <w:t>技术、服务标准和要求是否符合要求</w:t>
            </w:r>
          </w:p>
        </w:tc>
        <w:tc>
          <w:tcPr>
            <w:tcW w:type="dxa" w:w="1661"/>
          </w:tcPr>
          <w:p>
            <w:pPr>
              <w:pStyle w:val="null3"/>
            </w:pPr>
            <w:r>
              <w:rPr/>
              <w:t>响应文件封面 施工组织设计 服务承诺</w:t>
            </w:r>
          </w:p>
        </w:tc>
      </w:tr>
    </w:tbl>
    <w:p>
      <w:pPr>
        <w:pStyle w:val="null3"/>
        <w:outlineLvl w:val="3"/>
      </w:pPr>
      <w:r>
        <w:rPr>
          <w:sz w:val="24"/>
          <w:b/>
        </w:rPr>
        <w:t>6.3.3谈判</w:t>
      </w:r>
    </w:p>
    <w:p>
      <w:pPr>
        <w:pStyle w:val="null3"/>
        <w:ind w:firstLine="480"/>
      </w:pPr>
      <w:r>
        <w:rPr/>
        <w:t xml:space="preserve"> 一、谈判小组所有成员集中与单一供应商分别进行一轮或多轮谈判，并给予所有参加谈判的供应商平等的谈判机会。谈判顺序由谈判小组组长以在线抽签的方式确定。谈判过程中，谈判小组可以根据谈判情况调整谈判轮次。</w:t>
      </w:r>
    </w:p>
    <w:p>
      <w:pPr>
        <w:pStyle w:val="null3"/>
        <w:ind w:firstLine="480"/>
      </w:pPr>
      <w:r>
        <w:rPr/>
        <w:t>二、每轮谈判开始前，谈判小组应根据谈判文件的规定，并结合各供应商的响应文件拟定谈判内容。</w:t>
      </w:r>
    </w:p>
    <w:p>
      <w:pPr>
        <w:pStyle w:val="null3"/>
        <w:ind w:firstLine="480"/>
      </w:pPr>
      <w:r>
        <w:rPr/>
        <w:t xml:space="preserve"> 三、在谈判过程中，谈判小组在获得采购人代表确认的前提下，可以根据谈判文件第三章、第五章规定的可实质性变动内容和谈判情况实质性变动谈判文件的技术、服务要求以及合同草案条款，但不得变动谈判文件中的其他内容。</w:t>
      </w:r>
    </w:p>
    <w:p>
      <w:pPr>
        <w:pStyle w:val="null3"/>
        <w:ind w:firstLine="480"/>
      </w:pPr>
      <w:r>
        <w:rPr/>
        <w:t xml:space="preserve"> 四、对谈判文件作出的实质性变动是谈判文件的有效组成部分，谈判小组应当及时以书面形式同时通知所有参加谈判的供应商。</w:t>
      </w:r>
    </w:p>
    <w:p>
      <w:pPr>
        <w:pStyle w:val="null3"/>
        <w:ind w:firstLine="480"/>
      </w:pPr>
      <w:r>
        <w:rPr/>
        <w:t xml:space="preserve"> 五、谈判过程中，谈判文件变动的，供应商应当按照谈判文件的变动情况和谈判小组的要求就谈判文件变动部分提交书面响应材料，并作为响应文件的组成部分。</w:t>
      </w:r>
    </w:p>
    <w:p>
      <w:pPr>
        <w:pStyle w:val="null3"/>
        <w:ind w:firstLine="480"/>
      </w:pPr>
      <w:r>
        <w:rPr/>
        <w:t>六、经最终谈判后，响应文件仍有下列情况之一的，应按照无效响应文件处理：</w:t>
      </w:r>
    </w:p>
    <w:p>
      <w:pPr>
        <w:pStyle w:val="null3"/>
        <w:ind w:firstLine="480"/>
      </w:pPr>
      <w:r>
        <w:rPr/>
        <w:t>（1）响应文件仍不能实质响应谈判文件的实质性要求的；</w:t>
      </w:r>
    </w:p>
    <w:p>
      <w:pPr>
        <w:pStyle w:val="null3"/>
        <w:ind w:firstLine="480"/>
      </w:pPr>
      <w:r>
        <w:rPr/>
        <w:t>（2）响应文件中仍有谈判文件规定的其他无效响应情形的。</w:t>
      </w:r>
    </w:p>
    <w:p>
      <w:pPr>
        <w:pStyle w:val="null3"/>
        <w:ind w:firstLine="480"/>
      </w:pPr>
      <w:r>
        <w:rPr/>
        <w:t>七、谈判小组对供应商在谈判、评审过程中的书面交换材料，未按要求加盖电子印章或签字的，视同未提交书面交换材料。</w:t>
      </w:r>
    </w:p>
    <w:p>
      <w:pPr>
        <w:pStyle w:val="null3"/>
        <w:ind w:firstLine="480"/>
      </w:pPr>
      <w:r>
        <w:rPr/>
        <w:t>八、谈判小组在最终谈判后，对所有响应文件的有效性、完整性和响应程度进行审查后，确定最后报价的供应商名单。</w:t>
      </w:r>
    </w:p>
    <w:p>
      <w:pPr>
        <w:pStyle w:val="null3"/>
        <w:ind w:firstLine="480"/>
      </w:pPr>
      <w:r>
        <w:rPr/>
        <w:t>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十、谈判过程中，谈判小组发现或者知晓供应商存在违法行为的，应当在谈判情况记录表中予以注明，并向本级财政部门报告，依法应将该供应商响应文件作无效处理的，应当作无效处理。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三、供应商在未提高响应文件中承诺的标准情况下，其最后报价不得高于对该项目之前的报价，否则，谈判小组应当对其响应文件作无效处理，并通过项目电子化交易系统告知供应商，说明理由。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（三）供应商的最后报价符合谈判文件的要求。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九、最后报价出现下列情况的，不需要供应商澄清，按以下原则处理：</w:t>
      </w:r>
    </w:p>
    <w:p>
      <w:pPr>
        <w:pStyle w:val="null3"/>
        <w:ind w:firstLine="480"/>
      </w:pPr>
      <w:r>
        <w:rPr/>
        <w:t>（一）报价中的大写金额和小写金额不一致的，以大写金额为准，但大写金额出现文字错误，导致金额无法判断的除外；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注：</w:t>
      </w:r>
    </w:p>
    <w:p>
      <w:pPr>
        <w:pStyle w:val="null3"/>
        <w:ind w:firstLine="480"/>
      </w:pPr>
      <w:r>
        <w:rPr/>
        <w:t xml:space="preserve"> 1.参加政府采购活动的中小企业应当提供《中小企业声明函》。监狱企业应当提供监狱企业证明复印件。残疾人福利性单位应当提供《残疾人福利性单位声明函》。（格式详见第七章）未提供的，视为放弃享受小微企业价格扣除优惠政策。</w:t>
      </w:r>
    </w:p>
    <w:p>
      <w:pPr>
        <w:pStyle w:val="null3"/>
        <w:ind w:firstLine="480"/>
      </w:pPr>
      <w:r>
        <w:rPr/>
        <w:t xml:space="preserve"> 2.组成联合体或者接受分包的小微企业与联合体内其他企业、分包企业之间存在直接控股、管理关系的，不享受价格扣除优惠政策。</w:t>
      </w:r>
    </w:p>
    <w:p>
      <w:pPr>
        <w:pStyle w:val="null3"/>
        <w:ind w:firstLine="480"/>
      </w:pPr>
      <w:r>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sz w:val="24"/>
          <w:b/>
        </w:rPr>
        <w:t>6.3.6解释、澄清有关问题</w:t>
      </w:r>
    </w:p>
    <w:p>
      <w:pPr>
        <w:pStyle w:val="null3"/>
        <w:ind w:firstLine="480"/>
      </w:pPr>
      <w:r>
        <w:rPr/>
        <w:t xml:space="preserve"> 一、评审过程中，谈判小组认为谈判文件有关事项表述不明确或需要说明的，可以提请代理机构书面解释。代理机构的解释不得改变谈判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谈判小组应当要求供应商作出必要的澄清、说明或者更正，并给予供应商必要的反馈时间。供应商应当按谈判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谈判文件变为响应谈判文件的条件。下列内容不得澄清：</w:t>
      </w:r>
    </w:p>
    <w:p>
      <w:pPr>
        <w:pStyle w:val="null3"/>
        <w:ind w:firstLine="480"/>
      </w:pPr>
      <w:r>
        <w:rPr/>
        <w:t>（一）供应商响应文件中不响应谈判文件规定的技术参数指标和商务应答；</w:t>
      </w:r>
    </w:p>
    <w:p>
      <w:pPr>
        <w:pStyle w:val="null3"/>
        <w:ind w:firstLine="480"/>
      </w:pPr>
      <w:r>
        <w:rPr/>
        <w:t>（二）供应商响应文件中未提供的证明其是否符合谈判文件资格、符合性规定要求的相关材料。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五、代理机构宣布评审结束前，供应商应通过项目电子化交易系统随时关注评审消息提示，及时响应谈判小组发出的澄清、说明或者更正要求。供应商未能及时响应的，自行承担不利后果。</w:t>
      </w:r>
    </w:p>
    <w:p>
      <w:pPr>
        <w:pStyle w:val="null3"/>
        <w:ind w:firstLine="480"/>
      </w:pPr>
      <w:r>
        <w:rPr/>
        <w:t>六、谈判小组应当积极履行澄清、说明或者更正的职责，不得滥用权力。</w:t>
      </w:r>
    </w:p>
    <w:p>
      <w:pPr>
        <w:pStyle w:val="null3"/>
        <w:outlineLvl w:val="3"/>
      </w:pPr>
      <w:r>
        <w:rPr>
          <w:sz w:val="24"/>
          <w:b/>
        </w:rPr>
        <w:t>6.3.7谈判小组复核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jc w:val="left"/>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jc w:val="left"/>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谈判小组复核后，应当从质量和服务均能满足采购文件实质性响应要求的供应商中，按照最后报价由低到高顺序推荐如下家数成交候选供应商，并编写谈判报告。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6.3.9采购组织单位现场复核评审结果</w:t>
      </w:r>
    </w:p>
    <w:p>
      <w:pPr>
        <w:pStyle w:val="null3"/>
        <w:ind w:firstLine="480"/>
      </w:pPr>
      <w:r>
        <w:rPr/>
        <w:t xml:space="preserve"> 一、推荐成交候选供应商后，谈判小组拟出具谈判报告前，代理机构应当组织2名以上的本单位工作人员，在采购现场监督人员的监督之下，依据有关的法律制度和谈判文件对评审结果进行复核，出具复核报告，存在价格计算错误的，代理机构应当根据情况通过项目电子化交易系统建议谈判小组现场修改评审结果。由谈判小组自主决定是否采纳代理机构的建议并通过项目电子化交易系统确认，并承担独立评审责任。</w:t>
      </w:r>
    </w:p>
    <w:p>
      <w:pPr>
        <w:pStyle w:val="null3"/>
        <w:ind w:firstLine="480"/>
      </w:pPr>
      <w:r>
        <w:rPr/>
        <w:t xml:space="preserve"> 二、谈判小组采纳代理机构建议的，应当按照规定现场通过项目电子化交易系统修改评审结果或者重新评审，并在谈判报告中详细记载有关事宜；不采纳代理 构建议的，应当说明理由。代理机构建议未被谈判小组采纳的，应当接照规定程序要求继续组织实施采购活动，不得擅自中止采购活动。代理机构认为谈判小组评审结果不合法的，应当书面报告采购项目同级财政部门。</w:t>
      </w:r>
    </w:p>
    <w:p>
      <w:pPr>
        <w:pStyle w:val="null3"/>
        <w:ind w:firstLine="480"/>
      </w:pPr>
      <w:r>
        <w:rPr/>
        <w:t>三、代理机构复核过程中，谈判小组成员不得离开评审现场。</w:t>
      </w:r>
    </w:p>
    <w:p>
      <w:pPr>
        <w:pStyle w:val="null3"/>
        <w:outlineLvl w:val="3"/>
      </w:pPr>
      <w:r>
        <w:rPr>
          <w:sz w:val="24"/>
          <w:b/>
        </w:rPr>
        <w:t>6.3.10编写谈判报告</w:t>
      </w:r>
    </w:p>
    <w:p>
      <w:pPr>
        <w:pStyle w:val="null3"/>
        <w:ind w:firstLine="480"/>
      </w:pPr>
      <w:r>
        <w:rPr/>
        <w:t>谈判小组推荐成交候选供应商后，应向代理机构出具谈判报告。谈判报告应当包括以下主要内容：</w:t>
      </w:r>
    </w:p>
    <w:p>
      <w:pPr>
        <w:pStyle w:val="null3"/>
        <w:ind w:firstLine="480"/>
      </w:pPr>
      <w:r>
        <w:rPr/>
        <w:t>（1）邀请供应商参加采购活动的具体方式和相关情况，以及参加采购活动的供应商名单；</w:t>
      </w:r>
    </w:p>
    <w:p>
      <w:pPr>
        <w:pStyle w:val="null3"/>
        <w:ind w:firstLine="480"/>
      </w:pPr>
      <w:r>
        <w:rPr/>
        <w:t>（2）评审日期和地点，谈判小组成员名单；</w:t>
      </w:r>
    </w:p>
    <w:p>
      <w:pPr>
        <w:pStyle w:val="null3"/>
        <w:ind w:firstLine="480"/>
      </w:pPr>
      <w:r>
        <w:rPr/>
        <w:t>（3）评审情况记录和说明，包括供应商响应文件审查情况、谈判情况、报价情况等；</w:t>
      </w:r>
    </w:p>
    <w:p>
      <w:pPr>
        <w:pStyle w:val="null3"/>
        <w:ind w:firstLine="480"/>
      </w:pPr>
      <w:r>
        <w:rPr/>
        <w:t>（4）推荐的成交候选人的名单及理由。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书面说明其不同意见和理由的，视为同意谈判报告。</w:t>
      </w:r>
    </w:p>
    <w:p>
      <w:pPr>
        <w:pStyle w:val="null3"/>
        <w:outlineLvl w:val="3"/>
      </w:pPr>
      <w:r>
        <w:rPr>
          <w:sz w:val="24"/>
          <w:b/>
        </w:rPr>
        <w:t>6.3.11谈判异议处理规则</w:t>
      </w:r>
    </w:p>
    <w:p>
      <w:pPr>
        <w:pStyle w:val="null3"/>
        <w:ind w:firstLine="480"/>
      </w:pPr>
      <w:r>
        <w:rPr/>
        <w:t xml:space="preserve"> 在谈判过程中，谈判小组成员对响应文件是否符合谈判文件规定存在争议的，应当以少数服从多数的原则处理，但不得违背谈判文件规定。有不同意见的谈判小组成员认为认定过程和结果不符合法律法规或者谈判文件规定的，应当在谈判报告中予以反映。</w:t>
      </w:r>
    </w:p>
    <w:p>
      <w:pPr>
        <w:pStyle w:val="null3"/>
        <w:outlineLvl w:val="3"/>
      </w:pPr>
      <w:r>
        <w:rPr>
          <w:sz w:val="24"/>
          <w:b/>
        </w:rPr>
        <w:t>6.4终止谈判活动情形</w:t>
      </w:r>
    </w:p>
    <w:p>
      <w:pPr>
        <w:pStyle w:val="null3"/>
        <w:ind w:firstLine="480"/>
      </w:pPr>
      <w:r>
        <w:rPr/>
        <w:t xml:space="preserve"> 出现下列情形之一的，采购人或者代理机构应当终止竞争性谈判采购活动，发布项目终止公告并说明原因，重新开展采购活动：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6.7谈判小组在政府采购活动中应当遵守以下工作纪律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outlineLvl w:val="1"/>
      </w:pPr>
      <w:r>
        <w:rPr>
          <w:sz w:val="36"/>
          <w:b/>
        </w:rPr>
        <w:t>第七章 响应文件格式</w:t>
      </w:r>
    </w:p>
    <w:p>
      <w:pPr>
        <w:pStyle w:val="null3"/>
        <w:jc w:val="left"/>
      </w:pPr>
      <w:r>
        <w:rPr/>
        <w:t>一、本章所制响应文件格式，除格式中明确将该格式作为实质性要求的，不具有强制性。</w:t>
      </w:r>
    </w:p>
    <w:p>
      <w:pPr>
        <w:pStyle w:val="null3"/>
        <w:jc w:val="left"/>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详见附件：商务偏离表</w:t>
      </w:r>
    </w:p>
    <w:p>
      <w:pPr>
        <w:pStyle w:val="null3"/>
        <w:ind w:firstLine="960"/>
      </w:pPr>
      <w:r>
        <w:rPr/>
        <w:t>详见附件：施工组织设计</w:t>
      </w:r>
    </w:p>
    <w:p>
      <w:pPr>
        <w:pStyle w:val="null3"/>
        <w:ind w:firstLine="960"/>
      </w:pPr>
      <w:r>
        <w:rPr/>
        <w:t>详见附件：产品及主要材料表</w:t>
      </w:r>
    </w:p>
    <w:p>
      <w:pPr>
        <w:pStyle w:val="null3"/>
        <w:ind w:firstLine="960"/>
      </w:pPr>
      <w:r>
        <w:rPr/>
        <w:t>详见附件：服务承诺</w:t>
      </w:r>
    </w:p>
    <w:p>
      <w:pPr>
        <w:pStyle w:val="null3"/>
        <w:ind w:firstLine="960"/>
      </w:pPr>
      <w:r>
        <w:rPr/>
        <w:t>详见附件：供应商参加政府采购活动承诺书</w:t>
      </w:r>
    </w:p>
    <w:p>
      <w:pPr>
        <w:pStyle w:val="null3"/>
        <w:ind w:firstLine="960"/>
      </w:pPr>
      <w:r>
        <w:rPr/>
        <w:t>详见附件：拒绝商业贿赂承诺书</w:t>
      </w:r>
    </w:p>
    <w:p>
      <w:pPr>
        <w:pStyle w:val="null3"/>
        <w:ind w:firstLine="960"/>
      </w:pPr>
      <w:r>
        <w:rPr/>
        <w:t>详见附件：资格证明文件</w:t>
      </w:r>
    </w:p>
    <w:p>
      <w:pPr>
        <w:pStyle w:val="null3"/>
      </w:pPr>
      <w:r>
        <w:rPr/>
        <w:t xml:space="preserve"> </w:t>
        <w:br/>
        <w:br w:type="page"/>
      </w:r>
    </w:p>
    <w:p>
      <w:pPr>
        <w:pStyle w:val="null3"/>
        <w:outlineLvl w:val="1"/>
      </w:pPr>
      <w:r>
        <w:rPr>
          <w:sz w:val="36"/>
          <w:b/>
        </w:rPr>
        <w:t>第八章 拟签订采购合同文本</w:t>
      </w:r>
    </w:p>
    <w:p>
      <w:pPr>
        <w:pStyle w:val="null3"/>
      </w:pPr>
      <w:r>
        <w:rPr/>
        <w:t>详见附件：合同模板.docx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