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8B902E">
      <w:pPr>
        <w:jc w:val="center"/>
        <w:rPr>
          <w:rFonts w:ascii="宋体" w:hAnsi="宋体" w:eastAsia="宋体" w:cs="宋体"/>
          <w:b/>
          <w:bCs/>
          <w:sz w:val="20"/>
          <w:szCs w:val="20"/>
          <w:highlight w:val="none"/>
        </w:rPr>
      </w:pPr>
      <w:bookmarkStart w:id="0" w:name="_Toc20285"/>
      <w:r>
        <w:rPr>
          <w:rFonts w:hint="eastAsia" w:ascii="宋体" w:hAnsi="宋体" w:eastAsia="宋体" w:cs="宋体"/>
          <w:b/>
          <w:bCs/>
          <w:sz w:val="20"/>
          <w:szCs w:val="20"/>
          <w:highlight w:val="none"/>
        </w:rPr>
        <w:t>采购内容及技术要求</w:t>
      </w:r>
      <w:bookmarkEnd w:id="0"/>
    </w:p>
    <w:p w14:paraId="5A2715AB">
      <w:pPr>
        <w:pStyle w:val="3"/>
        <w:numPr>
          <w:ilvl w:val="0"/>
          <w:numId w:val="1"/>
        </w:numPr>
        <w:spacing w:before="0" w:after="0" w:line="360" w:lineRule="auto"/>
        <w:ind w:left="426" w:hanging="426"/>
        <w:rPr>
          <w:rFonts w:ascii="宋体" w:hAnsi="宋体" w:eastAsia="宋体" w:cs="宋体"/>
          <w:sz w:val="20"/>
          <w:szCs w:val="20"/>
          <w:highlight w:val="none"/>
        </w:rPr>
      </w:pPr>
      <w:r>
        <w:rPr>
          <w:rFonts w:hint="eastAsia" w:ascii="宋体" w:hAnsi="宋体" w:eastAsia="宋体" w:cs="宋体"/>
          <w:sz w:val="20"/>
          <w:szCs w:val="20"/>
          <w:highlight w:val="none"/>
        </w:rPr>
        <w:t>项目背景与现状</w:t>
      </w:r>
    </w:p>
    <w:p w14:paraId="5359BBF5">
      <w:pPr>
        <w:pStyle w:val="8"/>
        <w:ind w:firstLine="400"/>
        <w:jc w:val="left"/>
        <w:rPr>
          <w:rFonts w:hAnsi="宋体" w:eastAsia="宋体" w:cs="宋体"/>
          <w:sz w:val="20"/>
          <w:szCs w:val="20"/>
          <w:highlight w:val="none"/>
        </w:rPr>
      </w:pPr>
      <w:r>
        <w:rPr>
          <w:rFonts w:hint="eastAsia" w:hAnsi="宋体" w:eastAsia="宋体" w:cs="宋体"/>
          <w:sz w:val="20"/>
          <w:szCs w:val="20"/>
          <w:highlight w:val="none"/>
        </w:rPr>
        <w:t>公安站前分局以市局党委“三五五五三”总体思路和政治建警“三个三”工程为引领，以“双优五品一提升”为工作目标，结合辖区实际，积极践行主动警务、预防警务在站前地区落实落地，坚持科技兴警，向科技要警力、要战斗力，着力构建“专业+机制+大数据”新型警务模式，以“打击最精准、防范最严密、管控最精细、服务最便捷、队伍最活力”实战应用需求为导向，创新打造了赋能一线实战的“警务哨兵系统”。该系统以图数融合、智能化应用为突破口，针对西安火车站地区特定行为、特定场景、突发案事件等应用实际，聚合联动刑侦、治安、交警、巡特警快处快反，突出可视化、扁平化指挥特点，全面提升主动预防能力，打造“一图管全域、一键通全警”的警务哨兵系统，全力创建具有站前特色的“警务哨兵”新品牌，不断提升新时代站前公安新质战斗力。</w:t>
      </w:r>
    </w:p>
    <w:p w14:paraId="47B75BE9">
      <w:pPr>
        <w:pStyle w:val="8"/>
        <w:ind w:firstLine="400"/>
        <w:jc w:val="left"/>
        <w:rPr>
          <w:rFonts w:hAnsi="宋体" w:eastAsia="宋体" w:cs="宋体"/>
          <w:sz w:val="20"/>
          <w:szCs w:val="20"/>
          <w:highlight w:val="none"/>
        </w:rPr>
      </w:pPr>
      <w:bookmarkStart w:id="1" w:name="_Hlk182756388"/>
      <w:r>
        <w:rPr>
          <w:rFonts w:hint="eastAsia" w:hAnsi="宋体" w:eastAsia="宋体" w:cs="宋体"/>
          <w:sz w:val="20"/>
          <w:szCs w:val="20"/>
          <w:highlight w:val="none"/>
        </w:rPr>
        <w:t>站前分局</w:t>
      </w:r>
      <w:bookmarkEnd w:id="1"/>
      <w:r>
        <w:rPr>
          <w:rFonts w:hint="eastAsia" w:hAnsi="宋体" w:eastAsia="宋体" w:cs="宋体"/>
          <w:sz w:val="20"/>
          <w:szCs w:val="20"/>
          <w:highlight w:val="none"/>
        </w:rPr>
        <w:t>警务哨兵系统拟基于站前场景化实战需求，拟对原系统中视频场景化智能应用进行提档升级，建设本地场景微调模型软件平台，借助本地场景微调模型“可对话、会思考、能进化”的能力优势，通过算法生产训练、算力算法管理、视频语义化搜索、场景算法推理布控以满足场景覆盖全、算法迭代快、复杂场景识别准，实现视频图像资源服务各警种业务实战场景。</w:t>
      </w:r>
    </w:p>
    <w:p w14:paraId="5864D0F7">
      <w:pPr>
        <w:pStyle w:val="8"/>
        <w:ind w:firstLine="400"/>
        <w:jc w:val="left"/>
        <w:rPr>
          <w:rFonts w:hAnsi="宋体" w:eastAsia="宋体" w:cs="宋体"/>
          <w:sz w:val="20"/>
          <w:szCs w:val="20"/>
          <w:highlight w:val="none"/>
        </w:rPr>
      </w:pPr>
      <w:r>
        <w:rPr>
          <w:rFonts w:hint="eastAsia" w:hAnsi="宋体" w:eastAsia="宋体" w:cs="宋体"/>
          <w:sz w:val="20"/>
          <w:szCs w:val="20"/>
          <w:highlight w:val="none"/>
        </w:rPr>
        <w:t>警务哨兵系统采用双网双平台架构建设，公安视频专网实现视频解析和以图搜图、智能检索等部分视频应用，公安信息网侧进行视频图像技战法功能应用及存储。本项目是在原有系统的基础上结合实战需求，在公安视频网侧，扩展视频解析能力、优化模型能力、扩展模型识别能力、扩展本地模型场景理解与行为识别能力，助力实战应用。</w:t>
      </w:r>
    </w:p>
    <w:p w14:paraId="7032528D">
      <w:pPr>
        <w:pStyle w:val="8"/>
        <w:ind w:firstLine="400"/>
        <w:jc w:val="center"/>
        <w:rPr>
          <w:rFonts w:hAnsi="宋体" w:eastAsia="宋体" w:cs="宋体"/>
          <w:sz w:val="20"/>
          <w:szCs w:val="20"/>
          <w:highlight w:val="none"/>
        </w:rPr>
      </w:pPr>
      <w:r>
        <w:rPr>
          <w:rFonts w:hint="eastAsia" w:hAnsi="宋体" w:eastAsia="宋体" w:cs="宋体"/>
          <w:sz w:val="20"/>
          <w:szCs w:val="20"/>
          <w:highlight w:val="none"/>
        </w:rPr>
        <w:drawing>
          <wp:inline distT="0" distB="0" distL="0" distR="0">
            <wp:extent cx="4308475" cy="2425065"/>
            <wp:effectExtent l="0" t="0" r="444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4308475" cy="2425065"/>
                    </a:xfrm>
                    <a:prstGeom prst="rect">
                      <a:avLst/>
                    </a:prstGeom>
                    <a:noFill/>
                    <a:ln>
                      <a:noFill/>
                    </a:ln>
                  </pic:spPr>
                </pic:pic>
              </a:graphicData>
            </a:graphic>
          </wp:inline>
        </w:drawing>
      </w:r>
    </w:p>
    <w:p w14:paraId="7C915E31">
      <w:pPr>
        <w:pStyle w:val="3"/>
        <w:numPr>
          <w:ilvl w:val="0"/>
          <w:numId w:val="1"/>
        </w:numPr>
        <w:spacing w:before="0" w:after="0" w:line="360" w:lineRule="auto"/>
        <w:ind w:left="426" w:hanging="426"/>
        <w:rPr>
          <w:rFonts w:ascii="宋体" w:hAnsi="宋体" w:eastAsia="宋体" w:cs="宋体"/>
          <w:sz w:val="20"/>
          <w:szCs w:val="20"/>
          <w:highlight w:val="none"/>
        </w:rPr>
      </w:pPr>
      <w:r>
        <w:rPr>
          <w:rFonts w:hint="eastAsia" w:ascii="宋体" w:hAnsi="宋体" w:eastAsia="宋体" w:cs="宋体"/>
          <w:sz w:val="20"/>
          <w:szCs w:val="20"/>
          <w:highlight w:val="none"/>
        </w:rPr>
        <w:t>主要采购内容及技术指标要求</w:t>
      </w:r>
    </w:p>
    <w:p w14:paraId="47C098F4">
      <w:pPr>
        <w:pStyle w:val="8"/>
        <w:numPr>
          <w:ilvl w:val="0"/>
          <w:numId w:val="2"/>
        </w:numPr>
        <w:ind w:left="567" w:firstLineChars="0"/>
        <w:jc w:val="left"/>
        <w:rPr>
          <w:rFonts w:hAnsi="宋体" w:eastAsia="宋体" w:cs="宋体"/>
          <w:sz w:val="20"/>
          <w:szCs w:val="20"/>
          <w:highlight w:val="none"/>
        </w:rPr>
      </w:pPr>
      <w:r>
        <w:rPr>
          <w:rFonts w:hint="eastAsia" w:hAnsi="宋体" w:eastAsia="宋体" w:cs="宋体"/>
          <w:sz w:val="20"/>
          <w:szCs w:val="20"/>
          <w:highlight w:val="none"/>
        </w:rPr>
        <w:t>技术总体要求</w:t>
      </w:r>
    </w:p>
    <w:p w14:paraId="1119D300">
      <w:pPr>
        <w:pStyle w:val="8"/>
        <w:numPr>
          <w:ilvl w:val="0"/>
          <w:numId w:val="3"/>
        </w:numPr>
        <w:ind w:firstLineChars="0"/>
        <w:jc w:val="left"/>
        <w:rPr>
          <w:rFonts w:hAnsi="宋体" w:eastAsia="宋体" w:cs="宋体"/>
          <w:sz w:val="20"/>
          <w:szCs w:val="20"/>
          <w:highlight w:val="none"/>
        </w:rPr>
      </w:pPr>
      <w:r>
        <w:rPr>
          <w:rFonts w:hint="eastAsia" w:hAnsi="宋体" w:eastAsia="宋体" w:cs="宋体"/>
          <w:sz w:val="20"/>
          <w:szCs w:val="20"/>
          <w:highlight w:val="none"/>
        </w:rPr>
        <w:t>兼容性要求：在站前分局协调已建系统数据和接口可用的情况下，</w:t>
      </w:r>
      <w:r>
        <w:rPr>
          <w:rFonts w:hint="eastAsia" w:hAnsi="宋体" w:eastAsia="宋体" w:cs="宋体"/>
          <w:sz w:val="20"/>
          <w:szCs w:val="20"/>
          <w:highlight w:val="none"/>
          <w:lang w:eastAsia="zh-CN"/>
        </w:rPr>
        <w:t>供应商</w:t>
      </w:r>
      <w:r>
        <w:rPr>
          <w:rFonts w:hint="eastAsia" w:hAnsi="宋体" w:eastAsia="宋体" w:cs="宋体"/>
          <w:sz w:val="20"/>
          <w:szCs w:val="20"/>
          <w:highlight w:val="none"/>
        </w:rPr>
        <w:t>应承诺本次新建系统、升级功能必须与已建系统实现兼容。</w:t>
      </w:r>
    </w:p>
    <w:p w14:paraId="0E787C8B">
      <w:pPr>
        <w:pStyle w:val="8"/>
        <w:numPr>
          <w:ilvl w:val="0"/>
          <w:numId w:val="3"/>
        </w:numPr>
        <w:ind w:firstLineChars="0"/>
        <w:jc w:val="left"/>
        <w:rPr>
          <w:rFonts w:hAnsi="宋体" w:eastAsia="宋体" w:cs="宋体"/>
          <w:sz w:val="20"/>
          <w:szCs w:val="20"/>
          <w:highlight w:val="none"/>
        </w:rPr>
      </w:pPr>
      <w:r>
        <w:rPr>
          <w:highlight w:val="none"/>
        </w:rPr>
        <w:t>★</w:t>
      </w:r>
      <w:r>
        <w:rPr>
          <w:rFonts w:hint="eastAsia" w:hAnsi="宋体" w:eastAsia="宋体" w:cs="宋体"/>
          <w:sz w:val="20"/>
          <w:szCs w:val="20"/>
          <w:highlight w:val="none"/>
        </w:rPr>
        <w:t>国产化要求：项目所采购软硬件产品应满足自主可控国产化要求，</w:t>
      </w:r>
      <w:r>
        <w:rPr>
          <w:rFonts w:hint="eastAsia" w:hAnsi="宋体" w:eastAsia="宋体" w:cs="宋体"/>
          <w:sz w:val="20"/>
          <w:szCs w:val="20"/>
          <w:highlight w:val="none"/>
          <w:lang w:eastAsia="zh-CN"/>
        </w:rPr>
        <w:t>供应商</w:t>
      </w:r>
      <w:r>
        <w:rPr>
          <w:rFonts w:hint="eastAsia" w:hAnsi="宋体" w:eastAsia="宋体" w:cs="宋体"/>
          <w:sz w:val="20"/>
          <w:szCs w:val="20"/>
          <w:highlight w:val="none"/>
        </w:rPr>
        <w:t>需针对此项出具承诺函，格式自拟。</w:t>
      </w:r>
    </w:p>
    <w:p w14:paraId="18E08439">
      <w:pPr>
        <w:pStyle w:val="8"/>
        <w:numPr>
          <w:ilvl w:val="0"/>
          <w:numId w:val="2"/>
        </w:numPr>
        <w:ind w:left="567" w:firstLineChars="0"/>
        <w:jc w:val="left"/>
        <w:rPr>
          <w:rFonts w:hAnsi="宋体" w:eastAsia="宋体" w:cs="宋体"/>
          <w:sz w:val="20"/>
          <w:szCs w:val="20"/>
          <w:highlight w:val="none"/>
        </w:rPr>
      </w:pPr>
      <w:r>
        <w:rPr>
          <w:rFonts w:hint="eastAsia" w:hAnsi="宋体" w:eastAsia="宋体" w:cs="宋体"/>
          <w:sz w:val="20"/>
          <w:szCs w:val="20"/>
          <w:highlight w:val="none"/>
        </w:rPr>
        <w:t>采购内容</w:t>
      </w:r>
    </w:p>
    <w:p w14:paraId="66BF8F52">
      <w:pPr>
        <w:pStyle w:val="8"/>
        <w:numPr>
          <w:ilvl w:val="0"/>
          <w:numId w:val="4"/>
        </w:numPr>
        <w:ind w:firstLineChars="0"/>
        <w:jc w:val="left"/>
        <w:rPr>
          <w:rFonts w:hAnsi="宋体" w:eastAsia="宋体" w:cs="宋体"/>
          <w:sz w:val="20"/>
          <w:szCs w:val="20"/>
          <w:highlight w:val="none"/>
        </w:rPr>
      </w:pPr>
      <w:r>
        <w:rPr>
          <w:rFonts w:hint="eastAsia" w:hAnsi="宋体" w:eastAsia="宋体" w:cs="宋体"/>
          <w:sz w:val="20"/>
          <w:szCs w:val="20"/>
          <w:highlight w:val="none"/>
        </w:rPr>
        <w:t>扩展视频解析功能。</w:t>
      </w:r>
    </w:p>
    <w:p w14:paraId="5DEA3738">
      <w:pPr>
        <w:pStyle w:val="8"/>
        <w:ind w:firstLine="400"/>
        <w:jc w:val="left"/>
        <w:rPr>
          <w:rFonts w:hAnsi="宋体" w:eastAsia="宋体" w:cs="宋体"/>
          <w:sz w:val="20"/>
          <w:szCs w:val="20"/>
          <w:highlight w:val="none"/>
        </w:rPr>
      </w:pPr>
      <w:r>
        <w:rPr>
          <w:rFonts w:hint="eastAsia" w:hAnsi="宋体" w:eastAsia="宋体" w:cs="宋体"/>
          <w:sz w:val="20"/>
          <w:szCs w:val="20"/>
          <w:highlight w:val="none"/>
        </w:rPr>
        <w:t>在现有系统基础上，扩展视频解析能力。将接入摄像头从原有20路扩展至150路全量视频解析。</w:t>
      </w:r>
    </w:p>
    <w:p w14:paraId="7D5557E6">
      <w:pPr>
        <w:pStyle w:val="8"/>
        <w:numPr>
          <w:ilvl w:val="0"/>
          <w:numId w:val="4"/>
        </w:numPr>
        <w:ind w:firstLineChars="0"/>
        <w:jc w:val="left"/>
        <w:rPr>
          <w:rFonts w:hAnsi="宋体" w:eastAsia="宋体" w:cs="宋体"/>
          <w:sz w:val="20"/>
          <w:szCs w:val="20"/>
          <w:highlight w:val="none"/>
        </w:rPr>
      </w:pPr>
      <w:bookmarkStart w:id="2" w:name="_Hlk180748589"/>
      <w:r>
        <w:rPr>
          <w:rFonts w:hint="eastAsia" w:hAnsi="宋体" w:eastAsia="宋体" w:cs="宋体"/>
          <w:sz w:val="20"/>
          <w:szCs w:val="20"/>
          <w:highlight w:val="none"/>
        </w:rPr>
        <w:t>优化模型能力</w:t>
      </w:r>
    </w:p>
    <w:p w14:paraId="4E1A1CB9">
      <w:pPr>
        <w:pStyle w:val="8"/>
        <w:ind w:firstLine="400"/>
        <w:jc w:val="left"/>
        <w:rPr>
          <w:rFonts w:hAnsi="宋体" w:eastAsia="宋体" w:cs="宋体"/>
          <w:sz w:val="20"/>
          <w:szCs w:val="20"/>
          <w:highlight w:val="none"/>
        </w:rPr>
      </w:pPr>
      <w:r>
        <w:rPr>
          <w:rFonts w:hint="eastAsia" w:hAnsi="宋体" w:eastAsia="宋体" w:cs="宋体"/>
          <w:sz w:val="20"/>
          <w:szCs w:val="20"/>
          <w:highlight w:val="none"/>
        </w:rPr>
        <w:t>在现有系统基础上，优化模型结构与性能。对原有系统的人群聚集、人员逆流、拉横幅、人员徘徊四个行为算法进行微调或重新设计。以提高模型的性能和效率，且识别率率不低于80%。</w:t>
      </w:r>
    </w:p>
    <w:p w14:paraId="5ACCBCF2">
      <w:pPr>
        <w:pStyle w:val="8"/>
        <w:numPr>
          <w:ilvl w:val="0"/>
          <w:numId w:val="4"/>
        </w:numPr>
        <w:ind w:firstLineChars="0"/>
        <w:jc w:val="left"/>
        <w:rPr>
          <w:rFonts w:hAnsi="宋体" w:eastAsia="宋体" w:cs="宋体"/>
          <w:sz w:val="20"/>
          <w:szCs w:val="20"/>
          <w:highlight w:val="none"/>
        </w:rPr>
      </w:pPr>
      <w:r>
        <w:rPr>
          <w:rFonts w:hint="eastAsia" w:hAnsi="宋体" w:eastAsia="宋体" w:cs="宋体"/>
          <w:sz w:val="20"/>
          <w:szCs w:val="20"/>
          <w:highlight w:val="none"/>
        </w:rPr>
        <w:t>扩展模型识别能力</w:t>
      </w:r>
    </w:p>
    <w:bookmarkEnd w:id="2"/>
    <w:p w14:paraId="3BF9913C">
      <w:pPr>
        <w:pStyle w:val="8"/>
        <w:ind w:firstLine="400"/>
        <w:jc w:val="left"/>
        <w:rPr>
          <w:rFonts w:hAnsi="宋体" w:eastAsia="宋体" w:cs="宋体"/>
          <w:sz w:val="20"/>
          <w:szCs w:val="20"/>
          <w:highlight w:val="none"/>
        </w:rPr>
      </w:pPr>
      <w:r>
        <w:rPr>
          <w:rFonts w:hint="eastAsia" w:hAnsi="宋体" w:eastAsia="宋体" w:cs="宋体"/>
          <w:sz w:val="20"/>
          <w:szCs w:val="20"/>
          <w:highlight w:val="none"/>
        </w:rPr>
        <w:t>拓展模型识别能力，扩展电瓶车不带头盔、车辆违停滞留（停在网格线内）、打架、区域人数统计、举标语识别、墙壁倒塌、着火冒烟、路面积水共8个场景识别模型，且识别率率不低于80%。</w:t>
      </w:r>
    </w:p>
    <w:p w14:paraId="53389CD2">
      <w:pPr>
        <w:pStyle w:val="8"/>
        <w:numPr>
          <w:ilvl w:val="0"/>
          <w:numId w:val="4"/>
        </w:numPr>
        <w:ind w:firstLineChars="0"/>
        <w:jc w:val="left"/>
        <w:rPr>
          <w:rFonts w:hAnsi="宋体" w:eastAsia="宋体" w:cs="宋体"/>
          <w:sz w:val="20"/>
          <w:szCs w:val="20"/>
          <w:highlight w:val="none"/>
        </w:rPr>
      </w:pPr>
      <w:r>
        <w:rPr>
          <w:rFonts w:hint="eastAsia" w:hAnsi="宋体" w:eastAsia="宋体" w:cs="宋体"/>
          <w:sz w:val="20"/>
          <w:szCs w:val="20"/>
          <w:highlight w:val="none"/>
        </w:rPr>
        <w:t>扩展本地模型场景理解与行为识别能力（新增本地场景微调模型软件平台）</w:t>
      </w:r>
    </w:p>
    <w:p w14:paraId="3DE5028D">
      <w:pPr>
        <w:pStyle w:val="8"/>
        <w:ind w:firstLine="400"/>
        <w:jc w:val="left"/>
        <w:rPr>
          <w:rFonts w:hAnsi="宋体" w:eastAsia="宋体" w:cs="宋体"/>
          <w:sz w:val="20"/>
          <w:szCs w:val="20"/>
          <w:highlight w:val="none"/>
        </w:rPr>
      </w:pPr>
      <w:r>
        <w:rPr>
          <w:rFonts w:hint="eastAsia" w:hAnsi="宋体" w:eastAsia="宋体" w:cs="宋体"/>
          <w:sz w:val="20"/>
          <w:szCs w:val="20"/>
          <w:highlight w:val="none"/>
        </w:rPr>
        <w:t>本地场景微调模型平台涵盖了数据平台、训练平台、推理平台和向量库模块，可以为不同业务场景提供定制化的算法服务，满足零样本算法冷启动、少样本训练等需求，提升模型的泛化能力和适应性，增强对异常行为的监测能力和事件预警功能。同时，视频语义搜索功能使用户能够通过自然语言输入快速定位视频中的目标对象，实现对大规模视频数据的高效检索。此外，平台还具备智能化的算力管理功能，利用容器化技术实现算力的弹性分配与管理，保证资源的高效利用。通过智能算力的精细化管理，平台能够在多任务并行时降低资源开销，并支持分时复用，显著提升系统的总体性能。</w:t>
      </w:r>
    </w:p>
    <w:p w14:paraId="679A2735">
      <w:pPr>
        <w:pStyle w:val="8"/>
        <w:numPr>
          <w:ilvl w:val="0"/>
          <w:numId w:val="4"/>
        </w:numPr>
        <w:ind w:firstLineChars="0"/>
        <w:jc w:val="left"/>
        <w:rPr>
          <w:rFonts w:hAnsi="宋体" w:eastAsia="宋体" w:cs="宋体"/>
          <w:sz w:val="20"/>
          <w:szCs w:val="20"/>
          <w:highlight w:val="none"/>
        </w:rPr>
      </w:pPr>
      <w:r>
        <w:rPr>
          <w:rFonts w:hint="eastAsia" w:hAnsi="宋体" w:eastAsia="宋体" w:cs="宋体"/>
          <w:sz w:val="20"/>
          <w:szCs w:val="20"/>
          <w:highlight w:val="none"/>
        </w:rPr>
        <w:t>硬件资源扩容</w:t>
      </w:r>
    </w:p>
    <w:p w14:paraId="1DA44378">
      <w:pPr>
        <w:pStyle w:val="8"/>
        <w:ind w:firstLine="400"/>
        <w:jc w:val="left"/>
      </w:pPr>
      <w:r>
        <w:rPr>
          <w:rFonts w:hint="eastAsia" w:hAnsi="宋体" w:eastAsia="宋体" w:cs="宋体"/>
          <w:sz w:val="20"/>
          <w:szCs w:val="20"/>
          <w:highlight w:val="none"/>
        </w:rPr>
        <w:t>针对前端摄象头从原有20路扩展至150路，需增加一台AI服务器用于视频解析能力的扩容，同时增加一台训推搜一体机用于本地场景微调模型软件平台部署。</w:t>
      </w: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550FD"/>
    <w:multiLevelType w:val="multilevel"/>
    <w:tmpl w:val="028550FD"/>
    <w:lvl w:ilvl="0" w:tentative="0">
      <w:start w:val="1"/>
      <w:numFmt w:val="chineseCountingThousand"/>
      <w:lvlText w:val="(%1)"/>
      <w:lvlJc w:val="left"/>
      <w:pPr>
        <w:ind w:left="1041" w:hanging="440"/>
      </w:pPr>
    </w:lvl>
    <w:lvl w:ilvl="1" w:tentative="0">
      <w:start w:val="1"/>
      <w:numFmt w:val="lowerLetter"/>
      <w:lvlText w:val="%2)"/>
      <w:lvlJc w:val="left"/>
      <w:pPr>
        <w:ind w:left="1481" w:hanging="440"/>
      </w:pPr>
    </w:lvl>
    <w:lvl w:ilvl="2" w:tentative="0">
      <w:start w:val="1"/>
      <w:numFmt w:val="lowerRoman"/>
      <w:lvlText w:val="%3."/>
      <w:lvlJc w:val="right"/>
      <w:pPr>
        <w:ind w:left="1921" w:hanging="440"/>
      </w:pPr>
    </w:lvl>
    <w:lvl w:ilvl="3" w:tentative="0">
      <w:start w:val="1"/>
      <w:numFmt w:val="decimal"/>
      <w:lvlText w:val="%4."/>
      <w:lvlJc w:val="left"/>
      <w:pPr>
        <w:ind w:left="2361" w:hanging="440"/>
      </w:pPr>
    </w:lvl>
    <w:lvl w:ilvl="4" w:tentative="0">
      <w:start w:val="1"/>
      <w:numFmt w:val="lowerLetter"/>
      <w:lvlText w:val="%5)"/>
      <w:lvlJc w:val="left"/>
      <w:pPr>
        <w:ind w:left="2801" w:hanging="440"/>
      </w:pPr>
    </w:lvl>
    <w:lvl w:ilvl="5" w:tentative="0">
      <w:start w:val="1"/>
      <w:numFmt w:val="lowerRoman"/>
      <w:lvlText w:val="%6."/>
      <w:lvlJc w:val="right"/>
      <w:pPr>
        <w:ind w:left="3241" w:hanging="440"/>
      </w:pPr>
    </w:lvl>
    <w:lvl w:ilvl="6" w:tentative="0">
      <w:start w:val="1"/>
      <w:numFmt w:val="decimal"/>
      <w:lvlText w:val="%7."/>
      <w:lvlJc w:val="left"/>
      <w:pPr>
        <w:ind w:left="3681" w:hanging="440"/>
      </w:pPr>
    </w:lvl>
    <w:lvl w:ilvl="7" w:tentative="0">
      <w:start w:val="1"/>
      <w:numFmt w:val="lowerLetter"/>
      <w:lvlText w:val="%8)"/>
      <w:lvlJc w:val="left"/>
      <w:pPr>
        <w:ind w:left="4121" w:hanging="440"/>
      </w:pPr>
    </w:lvl>
    <w:lvl w:ilvl="8" w:tentative="0">
      <w:start w:val="1"/>
      <w:numFmt w:val="lowerRoman"/>
      <w:lvlText w:val="%9."/>
      <w:lvlJc w:val="right"/>
      <w:pPr>
        <w:ind w:left="4561" w:hanging="440"/>
      </w:pPr>
    </w:lvl>
  </w:abstractNum>
  <w:abstractNum w:abstractNumId="1">
    <w:nsid w:val="1BF417AD"/>
    <w:multiLevelType w:val="multilevel"/>
    <w:tmpl w:val="1BF417AD"/>
    <w:lvl w:ilvl="0" w:tentative="0">
      <w:start w:val="1"/>
      <w:numFmt w:val="chineseCountingThousand"/>
      <w:lvlText w:val="%1、"/>
      <w:lvlJc w:val="left"/>
      <w:pPr>
        <w:ind w:left="1041" w:hanging="440"/>
      </w:pPr>
    </w:lvl>
    <w:lvl w:ilvl="1" w:tentative="0">
      <w:start w:val="1"/>
      <w:numFmt w:val="lowerLetter"/>
      <w:lvlText w:val="%2)"/>
      <w:lvlJc w:val="left"/>
      <w:pPr>
        <w:ind w:left="1481" w:hanging="440"/>
      </w:pPr>
    </w:lvl>
    <w:lvl w:ilvl="2" w:tentative="0">
      <w:start w:val="1"/>
      <w:numFmt w:val="lowerRoman"/>
      <w:lvlText w:val="%3."/>
      <w:lvlJc w:val="right"/>
      <w:pPr>
        <w:ind w:left="1921" w:hanging="440"/>
      </w:pPr>
    </w:lvl>
    <w:lvl w:ilvl="3" w:tentative="0">
      <w:start w:val="1"/>
      <w:numFmt w:val="decimal"/>
      <w:lvlText w:val="%4."/>
      <w:lvlJc w:val="left"/>
      <w:pPr>
        <w:ind w:left="2361" w:hanging="440"/>
      </w:pPr>
    </w:lvl>
    <w:lvl w:ilvl="4" w:tentative="0">
      <w:start w:val="1"/>
      <w:numFmt w:val="lowerLetter"/>
      <w:lvlText w:val="%5)"/>
      <w:lvlJc w:val="left"/>
      <w:pPr>
        <w:ind w:left="2801" w:hanging="440"/>
      </w:pPr>
    </w:lvl>
    <w:lvl w:ilvl="5" w:tentative="0">
      <w:start w:val="1"/>
      <w:numFmt w:val="lowerRoman"/>
      <w:lvlText w:val="%6."/>
      <w:lvlJc w:val="right"/>
      <w:pPr>
        <w:ind w:left="3241" w:hanging="440"/>
      </w:pPr>
    </w:lvl>
    <w:lvl w:ilvl="6" w:tentative="0">
      <w:start w:val="1"/>
      <w:numFmt w:val="decimal"/>
      <w:lvlText w:val="%7."/>
      <w:lvlJc w:val="left"/>
      <w:pPr>
        <w:ind w:left="3681" w:hanging="440"/>
      </w:pPr>
    </w:lvl>
    <w:lvl w:ilvl="7" w:tentative="0">
      <w:start w:val="1"/>
      <w:numFmt w:val="lowerLetter"/>
      <w:lvlText w:val="%8)"/>
      <w:lvlJc w:val="left"/>
      <w:pPr>
        <w:ind w:left="4121" w:hanging="440"/>
      </w:pPr>
    </w:lvl>
    <w:lvl w:ilvl="8" w:tentative="0">
      <w:start w:val="1"/>
      <w:numFmt w:val="lowerRoman"/>
      <w:lvlText w:val="%9."/>
      <w:lvlJc w:val="right"/>
      <w:pPr>
        <w:ind w:left="4561" w:hanging="440"/>
      </w:pPr>
    </w:lvl>
  </w:abstractNum>
  <w:abstractNum w:abstractNumId="2">
    <w:nsid w:val="235819CF"/>
    <w:multiLevelType w:val="multilevel"/>
    <w:tmpl w:val="235819CF"/>
    <w:lvl w:ilvl="0" w:tentative="0">
      <w:start w:val="1"/>
      <w:numFmt w:val="decimal"/>
      <w:lvlText w:val="%1."/>
      <w:lvlJc w:val="left"/>
      <w:pPr>
        <w:ind w:left="1041" w:hanging="440"/>
      </w:pPr>
    </w:lvl>
    <w:lvl w:ilvl="1" w:tentative="0">
      <w:start w:val="1"/>
      <w:numFmt w:val="lowerLetter"/>
      <w:lvlText w:val="%2)"/>
      <w:lvlJc w:val="left"/>
      <w:pPr>
        <w:ind w:left="1481" w:hanging="440"/>
      </w:pPr>
    </w:lvl>
    <w:lvl w:ilvl="2" w:tentative="0">
      <w:start w:val="1"/>
      <w:numFmt w:val="lowerRoman"/>
      <w:lvlText w:val="%3."/>
      <w:lvlJc w:val="right"/>
      <w:pPr>
        <w:ind w:left="1921" w:hanging="440"/>
      </w:pPr>
    </w:lvl>
    <w:lvl w:ilvl="3" w:tentative="0">
      <w:start w:val="1"/>
      <w:numFmt w:val="decimal"/>
      <w:lvlText w:val="%4."/>
      <w:lvlJc w:val="left"/>
      <w:pPr>
        <w:ind w:left="2361" w:hanging="440"/>
      </w:pPr>
    </w:lvl>
    <w:lvl w:ilvl="4" w:tentative="0">
      <w:start w:val="1"/>
      <w:numFmt w:val="lowerLetter"/>
      <w:lvlText w:val="%5)"/>
      <w:lvlJc w:val="left"/>
      <w:pPr>
        <w:ind w:left="2801" w:hanging="440"/>
      </w:pPr>
    </w:lvl>
    <w:lvl w:ilvl="5" w:tentative="0">
      <w:start w:val="1"/>
      <w:numFmt w:val="lowerRoman"/>
      <w:lvlText w:val="%6."/>
      <w:lvlJc w:val="right"/>
      <w:pPr>
        <w:ind w:left="3241" w:hanging="440"/>
      </w:pPr>
    </w:lvl>
    <w:lvl w:ilvl="6" w:tentative="0">
      <w:start w:val="1"/>
      <w:numFmt w:val="decimal"/>
      <w:lvlText w:val="%7."/>
      <w:lvlJc w:val="left"/>
      <w:pPr>
        <w:ind w:left="3681" w:hanging="440"/>
      </w:pPr>
    </w:lvl>
    <w:lvl w:ilvl="7" w:tentative="0">
      <w:start w:val="1"/>
      <w:numFmt w:val="lowerLetter"/>
      <w:lvlText w:val="%8)"/>
      <w:lvlJc w:val="left"/>
      <w:pPr>
        <w:ind w:left="4121" w:hanging="440"/>
      </w:pPr>
    </w:lvl>
    <w:lvl w:ilvl="8" w:tentative="0">
      <w:start w:val="1"/>
      <w:numFmt w:val="lowerRoman"/>
      <w:lvlText w:val="%9."/>
      <w:lvlJc w:val="right"/>
      <w:pPr>
        <w:ind w:left="4561" w:hanging="440"/>
      </w:pPr>
    </w:lvl>
  </w:abstractNum>
  <w:abstractNum w:abstractNumId="3">
    <w:nsid w:val="45D550CC"/>
    <w:multiLevelType w:val="multilevel"/>
    <w:tmpl w:val="45D550CC"/>
    <w:lvl w:ilvl="0" w:tentative="0">
      <w:start w:val="1"/>
      <w:numFmt w:val="decimal"/>
      <w:lvlText w:val="%1、"/>
      <w:lvlJc w:val="left"/>
      <w:pPr>
        <w:ind w:left="1241" w:hanging="720"/>
      </w:pPr>
      <w:rPr>
        <w:rFonts w:hint="default"/>
      </w:rPr>
    </w:lvl>
    <w:lvl w:ilvl="1" w:tentative="0">
      <w:start w:val="1"/>
      <w:numFmt w:val="lowerLetter"/>
      <w:lvlText w:val="%2)"/>
      <w:lvlJc w:val="left"/>
      <w:pPr>
        <w:ind w:left="1401" w:hanging="440"/>
      </w:pPr>
    </w:lvl>
    <w:lvl w:ilvl="2" w:tentative="0">
      <w:start w:val="1"/>
      <w:numFmt w:val="lowerRoman"/>
      <w:lvlText w:val="%3."/>
      <w:lvlJc w:val="right"/>
      <w:pPr>
        <w:ind w:left="1841" w:hanging="440"/>
      </w:pPr>
    </w:lvl>
    <w:lvl w:ilvl="3" w:tentative="0">
      <w:start w:val="1"/>
      <w:numFmt w:val="decimal"/>
      <w:lvlText w:val="%4."/>
      <w:lvlJc w:val="left"/>
      <w:pPr>
        <w:ind w:left="2281" w:hanging="440"/>
      </w:pPr>
    </w:lvl>
    <w:lvl w:ilvl="4" w:tentative="0">
      <w:start w:val="1"/>
      <w:numFmt w:val="lowerLetter"/>
      <w:lvlText w:val="%5)"/>
      <w:lvlJc w:val="left"/>
      <w:pPr>
        <w:ind w:left="2721" w:hanging="440"/>
      </w:pPr>
    </w:lvl>
    <w:lvl w:ilvl="5" w:tentative="0">
      <w:start w:val="1"/>
      <w:numFmt w:val="lowerRoman"/>
      <w:lvlText w:val="%6."/>
      <w:lvlJc w:val="right"/>
      <w:pPr>
        <w:ind w:left="3161" w:hanging="440"/>
      </w:pPr>
    </w:lvl>
    <w:lvl w:ilvl="6" w:tentative="0">
      <w:start w:val="1"/>
      <w:numFmt w:val="decimal"/>
      <w:lvlText w:val="%7."/>
      <w:lvlJc w:val="left"/>
      <w:pPr>
        <w:ind w:left="3601" w:hanging="440"/>
      </w:pPr>
    </w:lvl>
    <w:lvl w:ilvl="7" w:tentative="0">
      <w:start w:val="1"/>
      <w:numFmt w:val="lowerLetter"/>
      <w:lvlText w:val="%8)"/>
      <w:lvlJc w:val="left"/>
      <w:pPr>
        <w:ind w:left="4041" w:hanging="440"/>
      </w:pPr>
    </w:lvl>
    <w:lvl w:ilvl="8" w:tentative="0">
      <w:start w:val="1"/>
      <w:numFmt w:val="lowerRoman"/>
      <w:lvlText w:val="%9."/>
      <w:lvlJc w:val="right"/>
      <w:pPr>
        <w:ind w:left="4481" w:hanging="44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D04577"/>
    <w:rsid w:val="38686321"/>
    <w:rsid w:val="3F6A61F2"/>
    <w:rsid w:val="43230B21"/>
    <w:rsid w:val="44992602"/>
    <w:rsid w:val="50633048"/>
    <w:rsid w:val="645E6694"/>
    <w:rsid w:val="682701E5"/>
    <w:rsid w:val="6ED03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3"/>
    <w:qFormat/>
    <w:uiPriority w:val="0"/>
    <w:pPr>
      <w:keepNext/>
      <w:keepLines/>
      <w:spacing w:before="340" w:beforeLines="0" w:beforeAutospacing="0" w:after="330" w:afterLines="0" w:afterAutospacing="0" w:line="480" w:lineRule="exact"/>
      <w:jc w:val="center"/>
      <w:outlineLvl w:val="0"/>
    </w:pPr>
    <w:rPr>
      <w:b/>
      <w:kern w:val="44"/>
      <w:sz w:val="44"/>
    </w:rPr>
  </w:style>
  <w:style w:type="paragraph" w:styleId="3">
    <w:name w:val="heading 2"/>
    <w:basedOn w:val="1"/>
    <w:next w:val="1"/>
    <w:semiHidden/>
    <w:unhideWhenUsed/>
    <w:qFormat/>
    <w:uiPriority w:val="0"/>
    <w:pPr>
      <w:keepNext/>
      <w:keepLines/>
      <w:spacing w:beforeLines="0" w:beforeAutospacing="0" w:afterLines="0" w:afterAutospacing="0" w:line="440" w:lineRule="exact"/>
      <w:jc w:val="left"/>
      <w:outlineLvl w:val="1"/>
    </w:pPr>
    <w:rPr>
      <w:rFonts w:ascii="Arial" w:hAnsi="Arial"/>
      <w:b/>
      <w:sz w:val="32"/>
    </w:rPr>
  </w:style>
  <w:style w:type="paragraph" w:styleId="4">
    <w:name w:val="heading 3"/>
    <w:basedOn w:val="1"/>
    <w:next w:val="1"/>
    <w:qFormat/>
    <w:uiPriority w:val="0"/>
    <w:pPr>
      <w:keepNext/>
      <w:spacing w:before="624" w:beforeLines="200" w:line="400" w:lineRule="exact"/>
      <w:jc w:val="center"/>
      <w:outlineLvl w:val="2"/>
    </w:pPr>
    <w:rPr>
      <w:rFonts w:ascii="Times New Roman"/>
      <w:b/>
      <w:bCs/>
    </w:rPr>
  </w:style>
  <w:style w:type="paragraph" w:styleId="5">
    <w:name w:val="heading 4"/>
    <w:basedOn w:val="1"/>
    <w:next w:val="1"/>
    <w:semiHidden/>
    <w:unhideWhenUsed/>
    <w:qFormat/>
    <w:uiPriority w:val="0"/>
    <w:pPr>
      <w:spacing w:beforeAutospacing="1" w:afterAutospacing="1"/>
      <w:jc w:val="left"/>
      <w:outlineLvl w:val="3"/>
    </w:pPr>
    <w:rPr>
      <w:rFonts w:hint="eastAsia" w:hAnsi="宋体"/>
      <w:b/>
      <w:bCs/>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8">
    <w:name w:val="无间隔1"/>
    <w:qFormat/>
    <w:uiPriority w:val="1"/>
    <w:pPr>
      <w:widowControl w:val="0"/>
      <w:spacing w:line="360" w:lineRule="auto"/>
      <w:ind w:firstLine="200" w:firstLineChars="200"/>
      <w:jc w:val="both"/>
    </w:pPr>
    <w:rPr>
      <w:rFonts w:ascii="宋体" w:eastAsia="仿宋" w:hAnsiTheme="minorHAnsi" w:cstheme="minorBidi"/>
      <w:kern w:val="2"/>
      <w:sz w:val="28"/>
      <w:szCs w:val="22"/>
      <w:lang w:val="en-US" w:eastAsia="zh-CN" w:bidi="ar-SA"/>
    </w:rPr>
  </w:style>
  <w:style w:type="paragraph" w:customStyle="1" w:styleId="9">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2022-06-07T02:30:00Z</dcterms:created>
  <dc:creator>Administrator</dc:creator>
  <cp:lastModifiedBy>zzh</cp:lastModifiedBy>
  <dcterms:modified xsi:type="dcterms:W3CDTF">2024-11-22T12:37:31Z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047F730AEB27449D9FD3855A84B4676D</vt:lpwstr>
  </property>
</Properties>
</file>