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中药质量提升项目</w:t>
      </w:r>
    </w:p>
    <w:p>
      <w:pPr>
        <w:pStyle w:val="null3"/>
        <w:jc w:val="center"/>
        <w:outlineLvl w:val="2"/>
      </w:pPr>
      <w:r>
        <w:rPr>
          <w:sz w:val="28"/>
          <w:b/>
        </w:rPr>
        <w:t>采购项目编号：</w:t>
      </w:r>
      <w:r>
        <w:rPr>
          <w:sz w:val="28"/>
          <w:b/>
        </w:rPr>
        <w:t>SZT2024-SN-XC-ZC-HW-1090</w:t>
      </w:r>
      <w:r>
        <w:br/>
      </w:r>
      <w:r>
        <w:br/>
      </w:r>
      <w:r>
        <w:br/>
      </w:r>
    </w:p>
    <w:p>
      <w:pPr>
        <w:pStyle w:val="null3"/>
        <w:jc w:val="center"/>
        <w:outlineLvl w:val="2"/>
      </w:pPr>
      <w:r>
        <w:rPr>
          <w:sz w:val="28"/>
          <w:b/>
        </w:rPr>
        <w:t>西安市中医医院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西安市中医医院</w:t>
      </w:r>
      <w:r>
        <w:rPr/>
        <w:t>委托，拟对</w:t>
      </w:r>
      <w:r>
        <w:rPr/>
        <w:t>中药质量提升项目</w:t>
      </w:r>
      <w:r>
        <w:rPr/>
        <w:t>进行国内公开招标，兹邀请符合本次招标要求的供应商参加投标。</w:t>
      </w:r>
    </w:p>
    <w:p>
      <w:pPr>
        <w:pStyle w:val="null3"/>
        <w:outlineLvl w:val="2"/>
      </w:pPr>
      <w:r>
        <w:rPr>
          <w:sz w:val="28"/>
          <w:b/>
        </w:rPr>
        <w:t>一、采购项目编号：</w:t>
      </w:r>
      <w:r>
        <w:rPr>
          <w:sz w:val="28"/>
          <w:b/>
        </w:rPr>
        <w:t>SZT2024-SN-XC-ZC-HW-1090</w:t>
      </w:r>
    </w:p>
    <w:p>
      <w:pPr>
        <w:pStyle w:val="null3"/>
        <w:outlineLvl w:val="2"/>
      </w:pPr>
      <w:r>
        <w:rPr>
          <w:sz w:val="28"/>
          <w:b/>
        </w:rPr>
        <w:t>二、采购项目名称：</w:t>
      </w:r>
      <w:r>
        <w:rPr>
          <w:sz w:val="28"/>
          <w:b/>
        </w:rPr>
        <w:t>中药质量提升项目</w:t>
      </w:r>
    </w:p>
    <w:p>
      <w:pPr>
        <w:pStyle w:val="null3"/>
        <w:outlineLvl w:val="2"/>
      </w:pPr>
      <w:r>
        <w:rPr>
          <w:sz w:val="28"/>
          <w:b/>
        </w:rPr>
        <w:t>三、招标项目简介</w:t>
      </w:r>
    </w:p>
    <w:p>
      <w:pPr>
        <w:pStyle w:val="null3"/>
        <w:ind w:firstLine="480"/>
      </w:pPr>
      <w:r>
        <w:rPr/>
        <w:t>根据《中共中央国务院关于促进中医药传承创新发展的若干措施》《“十四五”中医药发展规划》等文件精神，按照国家中医药管理局关于中医医疗机构中药质量提升有关工作安排，在三级中医医院建设中药饮片质量追溯系统，并与全省中药材质量追溯平台对接，提升中药饮片质量，保障医疗机构用药安全，进一步提高中医临床医疗质量，提升中医药服务能力，提高患者用药就医体验。</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1、法定代表人授权书：法定代表人直接参加的，须出示身份证；法定代表人授权他人参加的，须提供法定代表人授权委托书。</w:t>
      </w:r>
    </w:p>
    <w:p>
      <w:pPr>
        <w:pStyle w:val="null3"/>
      </w:pPr>
      <w:r>
        <w:rPr/>
        <w:t>2、关于联合体投标：本项目不接受联合体投标。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西安市中医医院</w:t>
      </w:r>
    </w:p>
    <w:p>
      <w:pPr>
        <w:pStyle w:val="null3"/>
      </w:pPr>
      <w:r>
        <w:rPr/>
        <w:t xml:space="preserve"> 地址： </w:t>
      </w:r>
      <w:r>
        <w:rPr/>
        <w:t>凤城八路69号</w:t>
      </w:r>
    </w:p>
    <w:p>
      <w:pPr>
        <w:pStyle w:val="null3"/>
      </w:pPr>
      <w:r>
        <w:rPr/>
        <w:t xml:space="preserve"> 邮编： </w:t>
      </w:r>
      <w:r>
        <w:rPr/>
        <w:t>/</w:t>
      </w:r>
    </w:p>
    <w:p>
      <w:pPr>
        <w:pStyle w:val="null3"/>
      </w:pPr>
      <w:r>
        <w:rPr/>
        <w:t xml:space="preserve"> 联系人： </w:t>
      </w:r>
      <w:r>
        <w:rPr/>
        <w:t>薛老师</w:t>
      </w:r>
    </w:p>
    <w:p>
      <w:pPr>
        <w:pStyle w:val="null3"/>
      </w:pPr>
      <w:r>
        <w:rPr/>
        <w:t xml:space="preserve"> 联系电话： </w:t>
      </w:r>
      <w:r>
        <w:rPr/>
        <w:t>029-89626819</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杨艳、李毓菲</w:t>
      </w:r>
    </w:p>
    <w:p>
      <w:pPr>
        <w:pStyle w:val="null3"/>
      </w:pPr>
      <w:r>
        <w:rPr/>
        <w:t xml:space="preserve"> 联系电话： </w:t>
      </w:r>
      <w:r>
        <w:rPr/>
        <w:t>029-88364979-872</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说明：（1）合同签订后，供应商向采购人支付合同总金额10%的履约保证金，出具承诺书; （2）供应商按照招标要求完成项目的建设且验收合格并取得采购人签署的书面验收报告后，正常运行满三年期采购人无息退还供应商履约保证金的10%。</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招标代理服务费的收取参见国家计委颁布的《招标代理服务收费管理暂行办法》（计价格[2002]1980号）和（发改办价格[2003]857号）中货物类收费标准下浮20%收取，在领取中标通知书时向采购代理机构一次性交纳。 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西安市中医医院</w:t>
      </w:r>
      <w:r>
        <w:rPr/>
        <w:t>和</w:t>
      </w:r>
      <w:r>
        <w:rPr/>
        <w:t>陕西中技招标有限公司</w:t>
      </w:r>
      <w:r>
        <w:rPr/>
        <w:t>享有。对招标文件中供应商参加本次政府采购活动应当具备的条件，招标项目技术、服务、商务及其他要求，评标细则及标准由</w:t>
      </w:r>
      <w:r>
        <w:rPr/>
        <w:t>西安市中医医院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详见招标文件及合同条款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根据《中共中央国务院关于促进中医药传承创新发展的若干措施》《“十四五”中医药发展规划》等文件精神，按照国家中医药管理局关于中医医疗机构中药质量提升有关工作安排，在三级中医医院建设中药饮片质量追溯系统，并与全省中药材质量追溯平台对接，提升中药饮片质量，保障医疗机构用药安全，进一步提高中医临床医疗质量，提升中医药服务能力，提高患者用药就医体验。</w:t>
      </w:r>
    </w:p>
    <w:p>
      <w:pPr>
        <w:pStyle w:val="null3"/>
        <w:outlineLvl w:val="2"/>
      </w:pPr>
      <w:r>
        <w:rPr>
          <w:sz w:val="28"/>
          <w:b/>
        </w:rPr>
        <w:t>3.2采购内容</w:t>
      </w:r>
    </w:p>
    <w:p>
      <w:pPr>
        <w:pStyle w:val="null3"/>
      </w:pPr>
      <w:r>
        <w:rPr/>
        <w:t>采购包1：</w:t>
      </w:r>
    </w:p>
    <w:p>
      <w:pPr>
        <w:pStyle w:val="null3"/>
      </w:pPr>
      <w:r>
        <w:rPr/>
        <w:t>采购包预算金额（元）: 1,980,000.00</w:t>
      </w:r>
    </w:p>
    <w:p>
      <w:pPr>
        <w:pStyle w:val="null3"/>
      </w:pPr>
      <w:r>
        <w:rPr/>
        <w:t>采购包最高限价（元）: 1,980,000.00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中药质量提升</w:t>
            </w:r>
          </w:p>
        </w:tc>
        <w:tc>
          <w:tcPr>
            <w:tcW w:type="dxa" w:w="831"/>
          </w:tcPr>
          <w:p>
            <w:pPr>
              <w:pStyle w:val="null3"/>
              <w:jc w:val="right"/>
            </w:pPr>
            <w:r>
              <w:rPr/>
              <w:t>1.00</w:t>
            </w:r>
          </w:p>
        </w:tc>
        <w:tc>
          <w:tcPr>
            <w:tcW w:type="dxa" w:w="831"/>
          </w:tcPr>
          <w:p>
            <w:pPr>
              <w:pStyle w:val="null3"/>
              <w:jc w:val="right"/>
            </w:pPr>
            <w:r>
              <w:rPr/>
              <w:t>1,980,000.00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标的名称：中药质量提升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b/>
              </w:rPr>
              <w:t>核心产品：医疗机构院内中药饮片质量追溯系统</w:t>
            </w:r>
          </w:p>
          <w:p>
            <w:pPr>
              <w:pStyle w:val="null3"/>
              <w:jc w:val="both"/>
            </w:pPr>
            <w:r>
              <w:rPr>
                <w:rFonts w:ascii="仿宋" w:hAnsi="仿宋" w:cs="仿宋" w:eastAsia="仿宋"/>
                <w:sz w:val="21"/>
                <w:b/>
              </w:rPr>
              <w:t>一、项目概况</w:t>
            </w:r>
          </w:p>
          <w:p>
            <w:pPr>
              <w:pStyle w:val="null3"/>
              <w:jc w:val="both"/>
            </w:pPr>
            <w:r>
              <w:rPr>
                <w:rFonts w:ascii="仿宋" w:hAnsi="仿宋" w:cs="仿宋" w:eastAsia="仿宋"/>
                <w:sz w:val="21"/>
              </w:rPr>
              <w:t>根据《中共中央国务院关于促进中医药传承创新发展的若干措施》《</w:t>
            </w:r>
            <w:r>
              <w:rPr>
                <w:rFonts w:ascii="仿宋" w:hAnsi="仿宋" w:cs="仿宋" w:eastAsia="仿宋"/>
                <w:sz w:val="21"/>
              </w:rPr>
              <w:t>“十四五”中医药发展规划》等文件精神，按照国家中医药管理局关于中医医疗机构中药质量提升有关工作安排，在三级中医医院建设中药饮片质量追溯系统，并与全省中药材质量追溯平台对接，提升中药饮片质量，保障医疗机构用药安全，进一步提高中医临床医疗质量，提升中医药服务能力，提高患者用药就医体验。</w:t>
            </w:r>
          </w:p>
          <w:p>
            <w:pPr>
              <w:pStyle w:val="null3"/>
              <w:jc w:val="both"/>
            </w:pPr>
            <w:r>
              <w:rPr>
                <w:rFonts w:ascii="仿宋" w:hAnsi="仿宋" w:cs="仿宋" w:eastAsia="仿宋"/>
                <w:sz w:val="21"/>
                <w:b/>
              </w:rPr>
              <w:t>二、采购内容</w:t>
            </w:r>
          </w:p>
          <w:p>
            <w:pPr>
              <w:pStyle w:val="null3"/>
              <w:jc w:val="both"/>
            </w:pPr>
            <w:r>
              <w:rPr>
                <w:rFonts w:ascii="仿宋" w:hAnsi="仿宋" w:cs="仿宋" w:eastAsia="仿宋"/>
                <w:sz w:val="21"/>
              </w:rPr>
              <w:t>1.医疗机构院内中药饮片质量追溯系统</w:t>
            </w:r>
          </w:p>
          <w:p>
            <w:pPr>
              <w:pStyle w:val="null3"/>
              <w:jc w:val="both"/>
            </w:pPr>
            <w:r>
              <w:rPr>
                <w:rFonts w:ascii="仿宋" w:hAnsi="仿宋" w:cs="仿宋" w:eastAsia="仿宋"/>
                <w:sz w:val="21"/>
              </w:rPr>
              <w:t>（</w:t>
            </w:r>
            <w:r>
              <w:rPr>
                <w:rFonts w:ascii="仿宋" w:hAnsi="仿宋" w:cs="仿宋" w:eastAsia="仿宋"/>
                <w:sz w:val="21"/>
              </w:rPr>
              <w:t>1）医院饮片仓储追溯管理子系统</w:t>
            </w:r>
          </w:p>
          <w:p>
            <w:pPr>
              <w:pStyle w:val="null3"/>
              <w:jc w:val="both"/>
            </w:pPr>
            <w:r>
              <w:rPr>
                <w:rFonts w:ascii="仿宋" w:hAnsi="仿宋" w:cs="仿宋" w:eastAsia="仿宋"/>
                <w:sz w:val="21"/>
              </w:rPr>
              <w:t>（</w:t>
            </w:r>
            <w:r>
              <w:rPr>
                <w:rFonts w:ascii="仿宋" w:hAnsi="仿宋" w:cs="仿宋" w:eastAsia="仿宋"/>
                <w:sz w:val="21"/>
              </w:rPr>
              <w:t>2）医院处方饮片溯源管理子系统</w:t>
            </w:r>
          </w:p>
          <w:p>
            <w:pPr>
              <w:pStyle w:val="null3"/>
              <w:jc w:val="both"/>
            </w:pPr>
            <w:r>
              <w:rPr>
                <w:rFonts w:ascii="仿宋" w:hAnsi="仿宋" w:cs="仿宋" w:eastAsia="仿宋"/>
                <w:sz w:val="21"/>
              </w:rPr>
              <w:t>（</w:t>
            </w:r>
            <w:r>
              <w:rPr>
                <w:rFonts w:ascii="仿宋" w:hAnsi="仿宋" w:cs="仿宋" w:eastAsia="仿宋"/>
                <w:sz w:val="21"/>
              </w:rPr>
              <w:t>3）煎药追溯管理子系统</w:t>
            </w:r>
          </w:p>
          <w:p>
            <w:pPr>
              <w:pStyle w:val="null3"/>
              <w:jc w:val="both"/>
            </w:pPr>
            <w:r>
              <w:rPr>
                <w:rFonts w:ascii="仿宋" w:hAnsi="仿宋" w:cs="仿宋" w:eastAsia="仿宋"/>
                <w:sz w:val="21"/>
              </w:rPr>
              <w:t>（</w:t>
            </w:r>
            <w:r>
              <w:rPr>
                <w:rFonts w:ascii="仿宋" w:hAnsi="仿宋" w:cs="仿宋" w:eastAsia="仿宋"/>
                <w:sz w:val="21"/>
              </w:rPr>
              <w:t>4）患者处方溯源查询子系统</w:t>
            </w:r>
          </w:p>
          <w:p>
            <w:pPr>
              <w:pStyle w:val="null3"/>
              <w:jc w:val="both"/>
            </w:pPr>
            <w:r>
              <w:rPr>
                <w:rFonts w:ascii="仿宋" w:hAnsi="仿宋" w:cs="仿宋" w:eastAsia="仿宋"/>
                <w:sz w:val="21"/>
              </w:rPr>
              <w:t>（</w:t>
            </w:r>
            <w:r>
              <w:rPr>
                <w:rFonts w:ascii="仿宋" w:hAnsi="仿宋" w:cs="仿宋" w:eastAsia="仿宋"/>
                <w:sz w:val="21"/>
              </w:rPr>
              <w:t>5）医院制剂生产管理系统</w:t>
            </w:r>
          </w:p>
          <w:p>
            <w:pPr>
              <w:pStyle w:val="null3"/>
              <w:jc w:val="both"/>
            </w:pPr>
            <w:r>
              <w:rPr>
                <w:rFonts w:ascii="仿宋" w:hAnsi="仿宋" w:cs="仿宋" w:eastAsia="仿宋"/>
                <w:sz w:val="21"/>
              </w:rPr>
              <w:t>（</w:t>
            </w:r>
            <w:r>
              <w:rPr>
                <w:rFonts w:ascii="仿宋" w:hAnsi="仿宋" w:cs="仿宋" w:eastAsia="仿宋"/>
                <w:sz w:val="21"/>
              </w:rPr>
              <w:t>6）API追溯数据接口系统</w:t>
            </w:r>
          </w:p>
          <w:p>
            <w:pPr>
              <w:pStyle w:val="null3"/>
              <w:jc w:val="both"/>
            </w:pPr>
            <w:r>
              <w:rPr>
                <w:rFonts w:ascii="仿宋" w:hAnsi="仿宋" w:cs="仿宋" w:eastAsia="仿宋"/>
                <w:sz w:val="21"/>
              </w:rPr>
              <w:t>2.相关配套硬件</w:t>
            </w:r>
          </w:p>
          <w:p>
            <w:pPr>
              <w:pStyle w:val="null3"/>
              <w:ind w:firstLine="420"/>
              <w:jc w:val="both"/>
            </w:pPr>
            <w:r>
              <w:rPr>
                <w:rFonts w:ascii="仿宋" w:hAnsi="仿宋" w:cs="仿宋" w:eastAsia="仿宋"/>
                <w:sz w:val="21"/>
              </w:rPr>
              <w:t>智能调剂手持终端</w:t>
            </w:r>
            <w:r>
              <w:rPr>
                <w:rFonts w:ascii="仿宋" w:hAnsi="仿宋" w:cs="仿宋" w:eastAsia="仿宋"/>
                <w:sz w:val="21"/>
              </w:rPr>
              <w:t>35台，标签条码打印机15台，台式机电脑9台，有源声光电标签1500个，有源标签发射器6个，无线网络路由器4个，中药房智慧大屏3台，服务器5台。</w:t>
            </w:r>
          </w:p>
          <w:p>
            <w:pPr>
              <w:pStyle w:val="null3"/>
              <w:jc w:val="both"/>
            </w:pPr>
            <w:r>
              <w:rPr>
                <w:rFonts w:ascii="仿宋" w:hAnsi="仿宋" w:cs="仿宋" w:eastAsia="仿宋"/>
                <w:sz w:val="21"/>
                <w:b/>
              </w:rPr>
              <w:t>三、</w:t>
            </w:r>
            <w:r>
              <w:rPr>
                <w:rFonts w:ascii="仿宋" w:hAnsi="仿宋" w:cs="仿宋" w:eastAsia="仿宋"/>
                <w:sz w:val="21"/>
                <w:b/>
              </w:rPr>
              <w:t>技术</w:t>
            </w:r>
            <w:r>
              <w:rPr>
                <w:rFonts w:ascii="仿宋" w:hAnsi="仿宋" w:cs="仿宋" w:eastAsia="仿宋"/>
                <w:sz w:val="21"/>
                <w:b/>
              </w:rPr>
              <w:t>要求</w:t>
            </w:r>
          </w:p>
          <w:p>
            <w:pPr>
              <w:pStyle w:val="null3"/>
              <w:jc w:val="both"/>
            </w:pPr>
            <w:r>
              <w:rPr>
                <w:rFonts w:ascii="仿宋" w:hAnsi="仿宋" w:cs="仿宋" w:eastAsia="仿宋"/>
                <w:sz w:val="21"/>
              </w:rPr>
              <w:t>功能清单</w:t>
            </w:r>
          </w:p>
          <w:tbl>
            <w:tblPr>
              <w:tblInd w:type="dxa" w:w="120"/>
              <w:tblBorders>
                <w:top w:val="none" w:color="000000" w:sz="4"/>
                <w:left w:val="none" w:color="000000" w:sz="4"/>
                <w:bottom w:val="none" w:color="000000" w:sz="4"/>
                <w:right w:val="none" w:color="000000" w:sz="4"/>
                <w:insideH w:val="none"/>
                <w:insideV w:val="none"/>
              </w:tblBorders>
            </w:tblPr>
            <w:tblGrid>
              <w:gridCol w:w="201"/>
              <w:gridCol w:w="201"/>
              <w:gridCol w:w="307"/>
              <w:gridCol w:w="229"/>
              <w:gridCol w:w="229"/>
              <w:gridCol w:w="1385"/>
            </w:tblGrid>
            <w:tr>
              <w:tc>
                <w:tcPr>
                  <w:tcW w:type="dxa" w:w="20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 w:hAnsi="仿宋" w:cs="仿宋" w:eastAsia="仿宋"/>
                      <w:sz w:val="21"/>
                    </w:rPr>
                    <w:t>序号</w:t>
                  </w:r>
                </w:p>
              </w:tc>
              <w:tc>
                <w:tcPr>
                  <w:tcW w:type="dxa" w:w="20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 w:hAnsi="仿宋" w:cs="仿宋" w:eastAsia="仿宋"/>
                      <w:sz w:val="21"/>
                    </w:rPr>
                    <w:t>系统</w:t>
                  </w:r>
                </w:p>
              </w:tc>
              <w:tc>
                <w:tcPr>
                  <w:tcW w:type="dxa" w:w="765"/>
                  <w:gridSpan w:val="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 w:hAnsi="仿宋" w:cs="仿宋" w:eastAsia="仿宋"/>
                      <w:sz w:val="21"/>
                    </w:rPr>
                    <w:t>功能模块</w:t>
                  </w:r>
                </w:p>
              </w:tc>
              <w:tc>
                <w:tcPr>
                  <w:tcW w:type="dxa" w:w="138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 w:hAnsi="仿宋" w:cs="仿宋" w:eastAsia="仿宋"/>
                      <w:sz w:val="21"/>
                    </w:rPr>
                    <w:t>功能模块描述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医疗机构院内中药饮片质量追溯系统</w:t>
                  </w:r>
                </w:p>
              </w:tc>
              <w:tc>
                <w:tcPr>
                  <w:tcW w:type="dxa" w:w="3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医院饮片仓储追溯管理</w:t>
                  </w: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生成采购计划</w:t>
                  </w:r>
                </w:p>
              </w:tc>
              <w:tc>
                <w:tcPr>
                  <w:tcW w:type="dxa" w:w="1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为每种饮片库存分别设置定额数量，低于该数值一键生成采购计划。采购计划包含药品名称与规格、产地名称、单位、包装量、供货单位、进价、批发价、零售价、申请数量、药库库存、库存下限等。</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w:t>
                  </w:r>
                  <w:r>
                    <w:rPr>
                      <w:rFonts w:ascii="仿宋" w:hAnsi="仿宋" w:cs="仿宋" w:eastAsia="仿宋"/>
                      <w:sz w:val="21"/>
                    </w:rPr>
                    <w:t>来货溯源确认</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显示所有饮片企业销售到本医院的产品批次记录，查看供应商名称、产品名称、产品批号、产品溯源码等信息。可以按照批号或按照产品溯源码查看饮片产品全过程溯源档案。</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采购入库登记</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1、药库人员通过PDA扫描追溯二维码系统自动核对药品、规格、批次、厂家等信息验收入库。</w:t>
                  </w:r>
                </w:p>
                <w:p>
                  <w:pPr>
                    <w:pStyle w:val="null3"/>
                    <w:jc w:val="both"/>
                  </w:pPr>
                  <w:r>
                    <w:rPr>
                      <w:rFonts w:ascii="仿宋" w:hAnsi="仿宋" w:cs="仿宋" w:eastAsia="仿宋"/>
                      <w:sz w:val="21"/>
                    </w:rPr>
                    <w:t>2、抽检入库药品，对不合格药品进行进行记录，并选择不合格原因。</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库存记录追溯</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1、入库自动生成入库单，并将入库明细回传HIS。包含入库时间、入库对象、入库操作人、药品明细等。</w:t>
                  </w:r>
                </w:p>
                <w:p>
                  <w:pPr>
                    <w:pStyle w:val="null3"/>
                    <w:jc w:val="both"/>
                  </w:pPr>
                  <w:r>
                    <w:rPr>
                      <w:rFonts w:ascii="仿宋" w:hAnsi="仿宋" w:cs="仿宋" w:eastAsia="仿宋"/>
                      <w:sz w:val="21"/>
                    </w:rPr>
                    <w:t>2、出库自动生成出库单，并将出库明细回传HIS。包含出库时间、出库对象、出库操作人、药品明细等。</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w:t>
                  </w:r>
                  <w:r>
                    <w:rPr>
                      <w:rFonts w:ascii="仿宋" w:hAnsi="仿宋" w:cs="仿宋" w:eastAsia="仿宋"/>
                      <w:sz w:val="21"/>
                    </w:rPr>
                    <w:t>调剂出库追溯</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药房人员通过</w:t>
                  </w:r>
                  <w:r>
                    <w:rPr>
                      <w:rFonts w:ascii="仿宋" w:hAnsi="仿宋" w:cs="仿宋" w:eastAsia="仿宋"/>
                      <w:sz w:val="21"/>
                    </w:rPr>
                    <w:t>PDA扫码申领药品，并生成请领单通知药库人员。药库人员根据请领单扫码出库相应药品，由药房人员扫码验收入库。</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饮片信息维护</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针对医院使用的饮片建立饮片基础数据库，可对每种饮片信息进行增加、删除、修改、查询操作，饮片信息包含通用名、药品规格、单位、产地、价格、账簿等。</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仓库信息维护</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仓库基础信息维护，可对仓库名称、仓储条件、仓储方式、位置、仓库照片视频等仓库信息进行增加、删除、修改、查询操作。</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8.</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养护管理</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1、养护人员可自行设定养护规范，根据设定养护规范自动生成养护计划，按养护计划自动提醒养护人员进行饮片养护。</w:t>
                  </w:r>
                </w:p>
                <w:p>
                  <w:pPr>
                    <w:pStyle w:val="null3"/>
                    <w:jc w:val="both"/>
                  </w:pPr>
                  <w:r>
                    <w:rPr>
                      <w:rFonts w:ascii="仿宋" w:hAnsi="仿宋" w:cs="仿宋" w:eastAsia="仿宋"/>
                      <w:sz w:val="21"/>
                    </w:rPr>
                    <w:t>2、养护统计，将药品名称、药品规格、入库时间、养护时间等养护信息以列表统计展示，可对养护信息进行增加、删除、修改、查询操作。</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9.</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供应商信息</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1、维护医院供应商信息，饮片生产/经营企业基本信息，包括名称、联系人、联系电话、所在地区等信息，可对供应商信息进行增加、删除、修改、查询操作。</w:t>
                  </w:r>
                </w:p>
                <w:p>
                  <w:pPr>
                    <w:pStyle w:val="null3"/>
                    <w:jc w:val="both"/>
                  </w:pPr>
                  <w:r>
                    <w:rPr>
                      <w:rFonts w:ascii="仿宋" w:hAnsi="仿宋" w:cs="仿宋" w:eastAsia="仿宋"/>
                      <w:sz w:val="21"/>
                    </w:rPr>
                    <w:t>2、供应商信息获取，从省平台获取供应商资质信息，资质证书到期自动预警。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10.</w:t>
                  </w:r>
                </w:p>
              </w:tc>
              <w:tc>
                <w:tcPr>
                  <w:tcW w:type="dxa" w:w="201"/>
                  <w:vMerge/>
                  <w:tcBorders>
                    <w:top w:val="none" w:color="000000" w:sz="4"/>
                    <w:left w:val="none" w:color="000000" w:sz="4"/>
                    <w:bottom w:val="single" w:color="000000" w:sz="4"/>
                    <w:right w:val="single" w:color="000000" w:sz="4"/>
                  </w:tcBorders>
                </w:tcPr>
                <w:p/>
              </w:tc>
              <w:tc>
                <w:tcPr>
                  <w:tcW w:type="dxa" w:w="3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医院处方饮片溯源管理</w:t>
                  </w: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w:t>
                  </w:r>
                  <w:r>
                    <w:rPr>
                      <w:rFonts w:ascii="仿宋" w:hAnsi="仿宋" w:cs="仿宋" w:eastAsia="仿宋"/>
                      <w:sz w:val="21"/>
                    </w:rPr>
                    <w:t>处方管理</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1、从HIS获取处方信息，包含门诊、住院处方号、患者信息、推送时间、饮片信息等。自动记录推送失败记录，可定时再次推送。</w:t>
                  </w:r>
                </w:p>
                <w:p>
                  <w:pPr>
                    <w:pStyle w:val="null3"/>
                    <w:jc w:val="both"/>
                  </w:pPr>
                  <w:r>
                    <w:rPr>
                      <w:rFonts w:ascii="仿宋" w:hAnsi="仿宋" w:cs="仿宋" w:eastAsia="仿宋"/>
                      <w:sz w:val="21"/>
                    </w:rPr>
                    <w:t>2、处方查询，展示当日/历史处方信息，可按处方号、患者信息、科室等条件查询处方信息。</w:t>
                  </w:r>
                </w:p>
                <w:p>
                  <w:pPr>
                    <w:pStyle w:val="null3"/>
                    <w:jc w:val="both"/>
                  </w:pPr>
                  <w:r>
                    <w:rPr>
                      <w:rFonts w:ascii="仿宋" w:hAnsi="仿宋" w:cs="仿宋" w:eastAsia="仿宋"/>
                      <w:sz w:val="21"/>
                    </w:rPr>
                    <w:t>3、处方赋码，每个处方生成唯一追溯二维码，并打印处方信息。</w:t>
                  </w:r>
                </w:p>
                <w:p>
                  <w:pPr>
                    <w:pStyle w:val="null3"/>
                    <w:jc w:val="both"/>
                  </w:pPr>
                  <w:r>
                    <w:rPr>
                      <w:rFonts w:ascii="仿宋" w:hAnsi="仿宋" w:cs="仿宋" w:eastAsia="仿宋"/>
                      <w:sz w:val="21"/>
                    </w:rPr>
                    <w:t>4、处方统计，统计一段时期内各药房处方量、饮片数量、单价、总价、批次等信息。</w:t>
                  </w:r>
                </w:p>
                <w:p>
                  <w:pPr>
                    <w:pStyle w:val="null3"/>
                    <w:jc w:val="both"/>
                  </w:pPr>
                  <w:r>
                    <w:rPr>
                      <w:rFonts w:ascii="仿宋" w:hAnsi="仿宋" w:cs="仿宋" w:eastAsia="仿宋"/>
                      <w:sz w:val="21"/>
                    </w:rPr>
                    <w:t>5、调配管理，查看待调配/已调配处方信息，可输入处方号或患者信息查询，包含患者信息、处方明细、调剂时间等。</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11.</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调剂柜管理</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1、维护调剂柜名称、编号、分层、位置等基本信息，可对调剂柜信息进行增加、删除、修改、查询操作。</w:t>
                  </w:r>
                </w:p>
                <w:p>
                  <w:pPr>
                    <w:pStyle w:val="null3"/>
                    <w:jc w:val="both"/>
                  </w:pPr>
                  <w:r>
                    <w:rPr>
                      <w:rFonts w:ascii="仿宋" w:hAnsi="仿宋" w:cs="仿宋" w:eastAsia="仿宋"/>
                      <w:sz w:val="21"/>
                    </w:rPr>
                    <w:t>2、接收到领料申请，输入数量进行库存调拨至调剂斗，并自动关联饮片产品批次信息。</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12.</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调剂斗管理</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1、维护中药房调剂斗信息，所属调剂柜、所在层、编号、名称、存储量等，可对调剂斗信息进行增加、删除、修改、查询操作。</w:t>
                  </w:r>
                </w:p>
                <w:p>
                  <w:pPr>
                    <w:pStyle w:val="null3"/>
                    <w:jc w:val="both"/>
                  </w:pPr>
                  <w:r>
                    <w:rPr>
                      <w:rFonts w:ascii="仿宋" w:hAnsi="仿宋" w:cs="仿宋" w:eastAsia="仿宋"/>
                      <w:sz w:val="21"/>
                    </w:rPr>
                    <w:t>2、查看各调剂斗饮片品种、剩余数量，可设置数量下限，数量低于下限时自动提醒补货，并自动生成领料申请。</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13.</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收药发药管理</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1、发药窗口使用PDA将调剂完成的药品扫码收药，收药后将数据传送至叫号系统提示患者取药，发药人员使用PDA扫描患者提供的取药小票确认发药。</w:t>
                  </w:r>
                </w:p>
                <w:p>
                  <w:pPr>
                    <w:pStyle w:val="null3"/>
                    <w:jc w:val="both"/>
                  </w:pPr>
                  <w:r>
                    <w:rPr>
                      <w:rFonts w:ascii="仿宋" w:hAnsi="仿宋" w:cs="仿宋" w:eastAsia="仿宋"/>
                      <w:sz w:val="21"/>
                    </w:rPr>
                    <w:t>2、对不能及时取药的患者，实现PDA扫码上架药品，通过PDA扫描取药凭证，声光电标签提示药品位置进行发药。</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14.</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药房管理</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1、维护中药房基本信息，包括药房编号、药房名称、药房位置等信息。</w:t>
                  </w:r>
                </w:p>
                <w:p>
                  <w:pPr>
                    <w:pStyle w:val="null3"/>
                    <w:jc w:val="both"/>
                  </w:pPr>
                  <w:r>
                    <w:rPr>
                      <w:rFonts w:ascii="仿宋" w:hAnsi="仿宋" w:cs="仿宋" w:eastAsia="仿宋"/>
                      <w:sz w:val="21"/>
                    </w:rPr>
                    <w:t>2、配置中药房人员信息，记录药房人员姓名、联系方式、所属药房等信息。</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15.</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数据统计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处方汇总统计、处方调配台账管理、调配人员工作量统计。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16.</w:t>
                  </w:r>
                </w:p>
              </w:tc>
              <w:tc>
                <w:tcPr>
                  <w:tcW w:type="dxa" w:w="201"/>
                  <w:vMerge/>
                  <w:tcBorders>
                    <w:top w:val="none" w:color="000000" w:sz="4"/>
                    <w:left w:val="none" w:color="000000" w:sz="4"/>
                    <w:bottom w:val="single" w:color="000000" w:sz="4"/>
                    <w:right w:val="single" w:color="000000" w:sz="4"/>
                  </w:tcBorders>
                </w:tcPr>
                <w:p/>
              </w:tc>
              <w:tc>
                <w:tcPr>
                  <w:tcW w:type="dxa" w:w="3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煎药追溯管理</w:t>
                  </w: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w:t>
                  </w:r>
                  <w:r>
                    <w:rPr>
                      <w:rFonts w:ascii="仿宋" w:hAnsi="仿宋" w:cs="仿宋" w:eastAsia="仿宋"/>
                      <w:sz w:val="21"/>
                    </w:rPr>
                    <w:t>待调剂处方</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1、查看待调剂处方，根据处方进行调剂，电脑通过连接桌面式二维码扫描枪，自动获取处方号，更新处方调剂开始时间、结束时间，更新处方调剂状态信息。</w:t>
                  </w:r>
                  <w:r>
                    <w:br/>
                  </w:r>
                  <w:r>
                    <w:rPr>
                      <w:rFonts w:ascii="仿宋" w:hAnsi="仿宋" w:cs="仿宋" w:eastAsia="仿宋"/>
                      <w:sz w:val="21"/>
                    </w:rPr>
                    <w:t>2、根据调剂开始时间、结束时间，自动关联获取调剂的中药饮片产品种类、批号信息和饮片溯源档案。</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17.</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w:t>
                  </w:r>
                  <w:r>
                    <w:rPr>
                      <w:rFonts w:ascii="仿宋" w:hAnsi="仿宋" w:cs="仿宋" w:eastAsia="仿宋"/>
                      <w:sz w:val="21"/>
                    </w:rPr>
                    <w:t>已调剂处方</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查看已调剂处方，查看处方原料溯源档案信息。支持已经调剂好的处方中药，进行复核和记录中药照片录像信息，管理员授权后可以查询相关信息；</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18.</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w:t>
                  </w:r>
                  <w:r>
                    <w:rPr>
                      <w:rFonts w:ascii="仿宋" w:hAnsi="仿宋" w:cs="仿宋" w:eastAsia="仿宋"/>
                      <w:sz w:val="21"/>
                    </w:rPr>
                    <w:t>煎药管理</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1、扫描煎药证条码，开始煎药，扫描煎药锅二维码，绑定关联煎药锅；</w:t>
                  </w:r>
                  <w:r>
                    <w:br/>
                  </w:r>
                  <w:r>
                    <w:rPr>
                      <w:rFonts w:ascii="仿宋" w:hAnsi="仿宋" w:cs="仿宋" w:eastAsia="仿宋"/>
                      <w:sz w:val="21"/>
                    </w:rPr>
                    <w:t>2、再次扫描煎药证条码，结束煎药；同时记录煎药设备、煎药人、煎药时间等关键信息。</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19.</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煎药信息维护</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维护煎煮方案信息：浸泡时间、煎煮时间、二煎时间、包装药液量</w:t>
                  </w:r>
                  <w:r>
                    <w:rPr>
                      <w:rFonts w:ascii="仿宋" w:hAnsi="仿宋" w:cs="仿宋" w:eastAsia="仿宋"/>
                      <w:sz w:val="21"/>
                    </w:rPr>
                    <w:t>等</w:t>
                  </w:r>
                  <w:r>
                    <w:rPr>
                      <w:rFonts w:ascii="仿宋" w:hAnsi="仿宋" w:cs="仿宋" w:eastAsia="仿宋"/>
                      <w:sz w:val="21"/>
                    </w:rPr>
                    <w:t>，用于处方和审方模块煎煮方案确认</w:t>
                  </w:r>
                  <w:r>
                    <w:rPr>
                      <w:rFonts w:ascii="仿宋" w:hAnsi="仿宋" w:cs="仿宋" w:eastAsia="仿宋"/>
                      <w:sz w:val="21"/>
                    </w:rPr>
                    <w:t>。</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20.</w:t>
                  </w:r>
                </w:p>
              </w:tc>
              <w:tc>
                <w:tcPr>
                  <w:tcW w:type="dxa" w:w="201"/>
                  <w:vMerge/>
                  <w:tcBorders>
                    <w:top w:val="none" w:color="000000" w:sz="4"/>
                    <w:left w:val="none" w:color="000000" w:sz="4"/>
                    <w:bottom w:val="single" w:color="000000" w:sz="4"/>
                    <w:right w:val="single" w:color="000000" w:sz="4"/>
                  </w:tcBorders>
                </w:tcPr>
                <w:p/>
              </w:tc>
              <w:tc>
                <w:tcPr>
                  <w:tcW w:type="dxa" w:w="3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制剂生产追溯管理</w:t>
                  </w: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仓储管理</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实现医院制剂室原料入库追溯、领用追溯、成品入库追溯、出库追溯管理等。</w:t>
                  </w:r>
                </w:p>
                <w:p>
                  <w:pPr>
                    <w:pStyle w:val="null3"/>
                    <w:jc w:val="both"/>
                  </w:pPr>
                  <w:r>
                    <w:rPr>
                      <w:rFonts w:ascii="仿宋" w:hAnsi="仿宋" w:cs="仿宋" w:eastAsia="仿宋"/>
                      <w:sz w:val="21"/>
                    </w:rPr>
                    <w:t>1、领料自动生成入库单，并将入库明细回传HIS。包含领料时间、领料数量、原料批号、领料人、药品明细等。</w:t>
                  </w:r>
                </w:p>
                <w:p>
                  <w:pPr>
                    <w:pStyle w:val="null3"/>
                    <w:jc w:val="both"/>
                  </w:pPr>
                  <w:r>
                    <w:rPr>
                      <w:rFonts w:ascii="仿宋" w:hAnsi="仿宋" w:cs="仿宋" w:eastAsia="仿宋"/>
                      <w:sz w:val="21"/>
                    </w:rPr>
                    <w:t>2、出库自动生成出库单，并将出库明细回传HIS。包含出库时间、出库单号、出库操作人、药品明细等。</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21.</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生产管理</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实现院内制剂生产计划、生产记录、生产工序参数记录等生产过程追溯管理。</w:t>
                  </w:r>
                </w:p>
                <w:p>
                  <w:pPr>
                    <w:pStyle w:val="null3"/>
                    <w:jc w:val="both"/>
                  </w:pPr>
                  <w:r>
                    <w:rPr>
                      <w:rFonts w:ascii="仿宋" w:hAnsi="仿宋" w:cs="仿宋" w:eastAsia="仿宋"/>
                      <w:sz w:val="21"/>
                    </w:rPr>
                    <w:t>1、生产计划，生产新一批次制剂时，制剂人员创建生产计划，由管理人员审核确认。</w:t>
                  </w:r>
                </w:p>
                <w:p>
                  <w:pPr>
                    <w:pStyle w:val="null3"/>
                    <w:jc w:val="both"/>
                  </w:pPr>
                  <w:r>
                    <w:rPr>
                      <w:rFonts w:ascii="仿宋" w:hAnsi="仿宋" w:cs="仿宋" w:eastAsia="仿宋"/>
                      <w:sz w:val="21"/>
                    </w:rPr>
                    <w:t>2、生产记录，生产时使用PDA扫码记录并上传生产人、生产操作、生产设备、生产时间等。</w:t>
                  </w:r>
                </w:p>
                <w:p>
                  <w:pPr>
                    <w:pStyle w:val="null3"/>
                    <w:jc w:val="both"/>
                  </w:pPr>
                  <w:r>
                    <w:rPr>
                      <w:rFonts w:ascii="仿宋" w:hAnsi="仿宋" w:cs="仿宋" w:eastAsia="仿宋"/>
                      <w:sz w:val="21"/>
                    </w:rPr>
                    <w:t>3、工艺管理，维护每种物料的工艺信息，可对物料名称、物料工艺等工艺信息进行增加、修改、删除、查询操作。</w:t>
                  </w:r>
                </w:p>
                <w:p>
                  <w:pPr>
                    <w:pStyle w:val="null3"/>
                    <w:jc w:val="both"/>
                  </w:pPr>
                  <w:r>
                    <w:rPr>
                      <w:rFonts w:ascii="仿宋" w:hAnsi="仿宋" w:cs="仿宋" w:eastAsia="仿宋"/>
                      <w:sz w:val="21"/>
                    </w:rPr>
                    <w:t>4、包装管理，维护每种制剂的包装信息，可对包装记录、包品信息、数量、生产日期、有效期限等包装信息进行增加、修改、删除、查询操作。</w:t>
                  </w:r>
                </w:p>
                <w:p>
                  <w:pPr>
                    <w:pStyle w:val="null3"/>
                    <w:jc w:val="both"/>
                  </w:pPr>
                  <w:r>
                    <w:rPr>
                      <w:rFonts w:ascii="仿宋" w:hAnsi="仿宋" w:cs="仿宋" w:eastAsia="仿宋"/>
                      <w:sz w:val="21"/>
                    </w:rPr>
                    <w:t>5、留样管理，记录留样数据，包含批次号、制剂名称、留样数量、留样余量、送检次数等信</w:t>
                  </w:r>
                </w:p>
                <w:p>
                  <w:pPr>
                    <w:pStyle w:val="null3"/>
                    <w:jc w:val="both"/>
                  </w:pPr>
                  <w:r>
                    <w:rPr>
                      <w:rFonts w:ascii="仿宋" w:hAnsi="仿宋" w:cs="仿宋" w:eastAsia="仿宋"/>
                      <w:sz w:val="21"/>
                    </w:rPr>
                    <w:t>息。</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22.</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赋码管理</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自动生成制剂的追溯码，可查看并打印追溯码，实现一批一码扫码溯源。</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23.</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质量管理</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1、检验项目维护，维护成品、原料、半成品对应的检验项目明细。</w:t>
                  </w:r>
                </w:p>
                <w:p>
                  <w:pPr>
                    <w:pStyle w:val="null3"/>
                    <w:jc w:val="both"/>
                  </w:pPr>
                  <w:r>
                    <w:rPr>
                      <w:rFonts w:ascii="仿宋" w:hAnsi="仿宋" w:cs="仿宋" w:eastAsia="仿宋"/>
                      <w:sz w:val="21"/>
                    </w:rPr>
                    <w:t>2、检验报告管理，检验完成后生成检验报告。</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24.</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制剂产品管理</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院内制剂产品管理，可对产品名称、类型、规格、装量、图片等产品信息进行增加、删除、修改、查询操作。</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25.</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基础管理</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维护基础数据字典、包括中药材、原料、成品的类别、包装单位、价格、规格等。</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26.</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统计报表</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统计查询当日</w:t>
                  </w:r>
                  <w:r>
                    <w:rPr>
                      <w:rFonts w:ascii="仿宋" w:hAnsi="仿宋" w:cs="仿宋" w:eastAsia="仿宋"/>
                      <w:sz w:val="21"/>
                    </w:rPr>
                    <w:t>/历史出库单、入库单、盘点单、制剂生产统计、生产时效分析、制剂用量分析等报表。</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27.</w:t>
                  </w:r>
                </w:p>
              </w:tc>
              <w:tc>
                <w:tcPr>
                  <w:tcW w:type="dxa" w:w="201"/>
                  <w:vMerge/>
                  <w:tcBorders>
                    <w:top w:val="none" w:color="000000" w:sz="4"/>
                    <w:left w:val="none" w:color="000000" w:sz="4"/>
                    <w:bottom w:val="single" w:color="000000" w:sz="4"/>
                    <w:right w:val="single" w:color="000000" w:sz="4"/>
                  </w:tcBorders>
                </w:tcPr>
                <w:p/>
              </w:tc>
              <w:tc>
                <w:tcPr>
                  <w:tcW w:type="dxa" w:w="30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患者处方溯源查询子系统</w:t>
                  </w: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w:t>
                  </w:r>
                  <w:r>
                    <w:rPr>
                      <w:rFonts w:ascii="仿宋" w:hAnsi="仿宋" w:cs="仿宋" w:eastAsia="仿宋"/>
                      <w:sz w:val="21"/>
                    </w:rPr>
                    <w:t>中药处方溯源</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展示处方中药处方产品图片、处方名称、处方编号等信息。可以查询处方所用饮片品名、规格、批号等信息。</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28.</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non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w:t>
                  </w:r>
                  <w:r>
                    <w:rPr>
                      <w:rFonts w:ascii="仿宋" w:hAnsi="仿宋" w:cs="仿宋" w:eastAsia="仿宋"/>
                      <w:sz w:val="21"/>
                    </w:rPr>
                    <w:t>饮片溯源</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查看饮片溯源过程信息，包括饮片品名、规格、批号、生产企业。饮片生产过程信息、饮片质检结果、饮片生产企业介绍等信息。</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29.</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non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w:t>
                  </w:r>
                  <w:r>
                    <w:rPr>
                      <w:rFonts w:ascii="仿宋" w:hAnsi="仿宋" w:cs="仿宋" w:eastAsia="仿宋"/>
                      <w:sz w:val="21"/>
                    </w:rPr>
                    <w:t>药材溯源</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展示药材产品名称、规格、产地、批号、生产企业等关键信息，让患者快速了解处方中的饮片信息；</w:t>
                  </w:r>
                  <w:r>
                    <w:br/>
                  </w:r>
                  <w:r>
                    <w:rPr>
                      <w:rFonts w:ascii="仿宋" w:hAnsi="仿宋" w:cs="仿宋" w:eastAsia="仿宋"/>
                      <w:sz w:val="21"/>
                    </w:rPr>
                    <w:t>2、从省平台获取种源信息、基地信息、种植信息、采收信息、加工信息、质量信息、仓储信息、企业信息。</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30.</w:t>
                  </w:r>
                </w:p>
              </w:tc>
              <w:tc>
                <w:tcPr>
                  <w:tcW w:type="dxa" w:w="201"/>
                  <w:vMerge/>
                  <w:tcBorders>
                    <w:top w:val="none" w:color="000000" w:sz="4"/>
                    <w:left w:val="none" w:color="000000" w:sz="4"/>
                    <w:bottom w:val="single" w:color="000000" w:sz="4"/>
                    <w:right w:val="single" w:color="000000" w:sz="4"/>
                  </w:tcBorders>
                </w:tcPr>
                <w:p/>
              </w:tc>
              <w:tc>
                <w:tcPr>
                  <w:tcW w:type="dxa" w:w="30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系统设置管理</w:t>
                  </w: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信息管理</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信息管理，获取人员权限信息，管理员可对人员信息账号、权限配置进行管理。</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31.</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non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数据备份</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数据备份管理，实现医院饮片追溯数据的定时备份记录管理，包括备份时间、备份文件大小、备份状态、备注信息，并根据备份计划显示下次备份时间。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32.</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non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审计追踪</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审计追踪，包括系统操作日志、登录日志信息管理，实现饮片追溯系统操作留痕可追溯。</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33.</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API接口管理子系统</w:t>
                  </w:r>
                </w:p>
              </w:tc>
              <w:tc>
                <w:tcPr>
                  <w:tcW w:type="dxa" w:w="3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API接口管理子系统</w:t>
                  </w: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溯源饮片发货对接接口</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实现饮片供应商将销售记录通过接口上传到医院追溯平台，满足医院来货验收确认及溯源链条关联。验收确认后，自动完成</w:t>
                  </w:r>
                  <w:r>
                    <w:rPr>
                      <w:rFonts w:ascii="仿宋" w:hAnsi="仿宋" w:cs="仿宋" w:eastAsia="仿宋"/>
                      <w:sz w:val="21"/>
                    </w:rPr>
                    <w:t>HIS系统入库记录。</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34.</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处方溯源二维码接口</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实现</w:t>
                  </w:r>
                  <w:r>
                    <w:rPr>
                      <w:rFonts w:ascii="仿宋" w:hAnsi="仿宋" w:cs="仿宋" w:eastAsia="仿宋"/>
                      <w:sz w:val="21"/>
                    </w:rPr>
                    <w:t>HIS系统安装处方溯源接口生成二维码，将处方溯源二维码打印到缴费小票。</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35.</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中药处方对接接口</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实现</w:t>
                  </w:r>
                  <w:r>
                    <w:rPr>
                      <w:rFonts w:ascii="仿宋" w:hAnsi="仿宋" w:cs="仿宋" w:eastAsia="仿宋"/>
                      <w:sz w:val="21"/>
                    </w:rPr>
                    <w:t>HIS系统将医院处方数据推送到追溯系统。</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36.</w:t>
                  </w:r>
                </w:p>
              </w:tc>
              <w:tc>
                <w:tcPr>
                  <w:tcW w:type="dxa" w:w="201"/>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rPr>
                    <w:t>★数据上传陕西省主平台接口</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rPr>
                    <w:t>与陕西省中药追溯平台对接，实现医院处方中药饮片全过程溯源数据自动上传到陕西省中药材质量追溯平台。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37.</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质量追溯数据中心及硬件参数要求</w:t>
                  </w:r>
                </w:p>
              </w:tc>
              <w:tc>
                <w:tcPr>
                  <w:tcW w:type="dxa" w:w="5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追溯应用数据中心系统</w:t>
                  </w:r>
                </w:p>
              </w:tc>
              <w:tc>
                <w:tcPr>
                  <w:tcW w:type="dxa" w:w="16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搭建医院中药饮片追溯数据中心系统。</w:t>
                  </w:r>
                </w:p>
                <w:p>
                  <w:pPr>
                    <w:pStyle w:val="null3"/>
                    <w:jc w:val="both"/>
                  </w:pPr>
                  <w:r>
                    <w:rPr>
                      <w:rFonts w:ascii="仿宋" w:hAnsi="仿宋" w:cs="仿宋" w:eastAsia="仿宋"/>
                      <w:sz w:val="21"/>
                    </w:rPr>
                    <w:t>外部溯源业务系统，性能参数要求，同时在线人数</w:t>
                  </w:r>
                  <w:r>
                    <w:rPr>
                      <w:rFonts w:ascii="仿宋" w:hAnsi="仿宋" w:cs="仿宋" w:eastAsia="仿宋"/>
                      <w:sz w:val="21"/>
                    </w:rPr>
                    <w:t>≥20000人，并发≥500人。</w:t>
                  </w:r>
                </w:p>
                <w:p>
                  <w:pPr>
                    <w:pStyle w:val="null3"/>
                    <w:jc w:val="both"/>
                  </w:pPr>
                  <w:r>
                    <w:rPr>
                      <w:rFonts w:ascii="仿宋" w:hAnsi="仿宋" w:cs="仿宋" w:eastAsia="仿宋"/>
                      <w:sz w:val="21"/>
                    </w:rPr>
                    <w:t>医院内部溯源系统及数据存储，性能参数要求，同时在线人数</w:t>
                  </w:r>
                  <w:r>
                    <w:rPr>
                      <w:rFonts w:ascii="仿宋" w:hAnsi="仿宋" w:cs="仿宋" w:eastAsia="仿宋"/>
                      <w:sz w:val="21"/>
                    </w:rPr>
                    <w:t>≥3000人，并发≥300人。</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38.</w:t>
                  </w:r>
                </w:p>
              </w:tc>
              <w:tc>
                <w:tcPr>
                  <w:tcW w:type="dxa" w:w="201"/>
                  <w:vMerge/>
                  <w:tcBorders>
                    <w:top w:val="none" w:color="000000" w:sz="4"/>
                    <w:left w:val="none" w:color="000000" w:sz="4"/>
                    <w:bottom w:val="single" w:color="000000" w:sz="4"/>
                    <w:right w:val="single" w:color="000000" w:sz="4"/>
                  </w:tcBorders>
                </w:tcPr>
                <w:p/>
              </w:tc>
              <w:tc>
                <w:tcPr>
                  <w:tcW w:type="dxa" w:w="5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智能调剂手持终端</w:t>
                  </w:r>
                  <w:r>
                    <w:rPr>
                      <w:rFonts w:ascii="仿宋" w:hAnsi="仿宋" w:cs="仿宋" w:eastAsia="仿宋"/>
                      <w:sz w:val="21"/>
                    </w:rPr>
                    <w:t>35台</w:t>
                  </w:r>
                </w:p>
              </w:tc>
              <w:tc>
                <w:tcPr>
                  <w:tcW w:type="dxa" w:w="16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1、操作系统≥Android 11；</w:t>
                  </w:r>
                  <w:r>
                    <w:br/>
                  </w:r>
                  <w:r>
                    <w:rPr>
                      <w:rFonts w:ascii="仿宋" w:hAnsi="仿宋" w:cs="仿宋" w:eastAsia="仿宋"/>
                      <w:sz w:val="21"/>
                    </w:rPr>
                    <w:t>2、CPU处理器：八核处理器及以上，频率≥2.2GHz；</w:t>
                  </w:r>
                  <w:r>
                    <w:br/>
                  </w:r>
                  <w:r>
                    <w:rPr>
                      <w:rFonts w:ascii="仿宋" w:hAnsi="仿宋" w:cs="仿宋" w:eastAsia="仿宋"/>
                      <w:sz w:val="21"/>
                    </w:rPr>
                    <w:t>3、存储器RAM：≥4GB；ROM：≥64GB；</w:t>
                  </w:r>
                  <w:r>
                    <w:br/>
                  </w:r>
                  <w:r>
                    <w:rPr>
                      <w:rFonts w:ascii="仿宋" w:hAnsi="仿宋" w:cs="仿宋" w:eastAsia="仿宋"/>
                      <w:sz w:val="21"/>
                    </w:rPr>
                    <w:t>扩展内存</w:t>
                  </w:r>
                  <w:r>
                    <w:rPr>
                      <w:rFonts w:ascii="仿宋" w:hAnsi="仿宋" w:cs="仿宋" w:eastAsia="仿宋"/>
                      <w:sz w:val="21"/>
                    </w:rPr>
                    <w:t>Micro SD卡≥128GB；</w:t>
                  </w:r>
                  <w:r>
                    <w:br/>
                  </w:r>
                  <w:r>
                    <w:rPr>
                      <w:rFonts w:ascii="仿宋" w:hAnsi="仿宋" w:cs="仿宋" w:eastAsia="仿宋"/>
                      <w:sz w:val="21"/>
                    </w:rPr>
                    <w:t>4、显示屏≥5.5英寸TFT且≤6英寸，可戴手套/带水触摸，分辨率：≥720×144 0；</w:t>
                  </w:r>
                  <w:r>
                    <w:br/>
                  </w:r>
                  <w:r>
                    <w:rPr>
                      <w:rFonts w:ascii="仿宋" w:hAnsi="仿宋" w:cs="仿宋" w:eastAsia="仿宋"/>
                      <w:sz w:val="21"/>
                    </w:rPr>
                    <w:t>5、主电池≥5500mAh可充电锂电池；</w:t>
                  </w:r>
                  <w:r>
                    <w:br/>
                  </w:r>
                  <w:r>
                    <w:rPr>
                      <w:rFonts w:ascii="仿宋" w:hAnsi="仿宋" w:cs="仿宋" w:eastAsia="仿宋"/>
                      <w:sz w:val="21"/>
                    </w:rPr>
                    <w:t>6、通信：无线广域网，双卡双待4G，3G，2G全网通；</w:t>
                  </w:r>
                  <w:r>
                    <w:br/>
                  </w:r>
                  <w:r>
                    <w:rPr>
                      <w:rFonts w:ascii="仿宋" w:hAnsi="仿宋" w:cs="仿宋" w:eastAsia="仿宋"/>
                      <w:sz w:val="21"/>
                    </w:rPr>
                    <w:t>7、蓝牙:BT5.0或以上+BR/EDR+BLE；</w:t>
                  </w:r>
                  <w:r>
                    <w:br/>
                  </w:r>
                  <w:r>
                    <w:rPr>
                      <w:rFonts w:ascii="仿宋" w:hAnsi="仿宋" w:cs="仿宋" w:eastAsia="仿宋"/>
                      <w:sz w:val="21"/>
                    </w:rPr>
                    <w:t>8、WIFI：2.4G/5G双频WIFI，IEEE802.11a/b/g/n/ac/d/e/h/i/k/r/v/w协议；</w:t>
                  </w:r>
                </w:p>
                <w:p>
                  <w:pPr>
                    <w:pStyle w:val="null3"/>
                    <w:jc w:val="both"/>
                  </w:pPr>
                  <w:r>
                    <w:rPr>
                      <w:rFonts w:ascii="仿宋" w:hAnsi="仿宋" w:cs="仿宋" w:eastAsia="仿宋"/>
                      <w:sz w:val="21"/>
                    </w:rPr>
                    <w:t>9、▲条码扫描：可读取国际通用一维条码和二维条码，同时具有实体扫描按键及屏幕虚拟扫描按键，扫描扫码需具备十字光线瞄准定位，并带有相应的安全指示标志，可以设置关闭补光灯，仅保留瞄准灯。</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39.</w:t>
                  </w:r>
                </w:p>
              </w:tc>
              <w:tc>
                <w:tcPr>
                  <w:tcW w:type="dxa" w:w="201"/>
                  <w:vMerge/>
                  <w:tcBorders>
                    <w:top w:val="none" w:color="000000" w:sz="4"/>
                    <w:left w:val="none" w:color="000000" w:sz="4"/>
                    <w:bottom w:val="single" w:color="000000" w:sz="4"/>
                    <w:right w:val="single" w:color="000000" w:sz="4"/>
                  </w:tcBorders>
                </w:tcPr>
                <w:p/>
              </w:tc>
              <w:tc>
                <w:tcPr>
                  <w:tcW w:type="dxa" w:w="5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标签条码打印终端</w:t>
                  </w:r>
                  <w:r>
                    <w:rPr>
                      <w:rFonts w:ascii="仿宋" w:hAnsi="仿宋" w:cs="仿宋" w:eastAsia="仿宋"/>
                      <w:sz w:val="21"/>
                    </w:rPr>
                    <w:t>15台</w:t>
                  </w:r>
                </w:p>
              </w:tc>
              <w:tc>
                <w:tcPr>
                  <w:tcW w:type="dxa" w:w="16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1、打印方式：直接热敏；</w:t>
                  </w:r>
                </w:p>
                <w:p>
                  <w:pPr>
                    <w:pStyle w:val="null3"/>
                    <w:jc w:val="both"/>
                  </w:pPr>
                  <w:r>
                    <w:rPr>
                      <w:rFonts w:ascii="仿宋" w:hAnsi="仿宋" w:cs="仿宋" w:eastAsia="仿宋"/>
                      <w:sz w:val="21"/>
                    </w:rPr>
                    <w:t>2、▲打印分辨</w:t>
                  </w:r>
                  <w:r>
                    <w:rPr>
                      <w:rFonts w:ascii="仿宋" w:hAnsi="仿宋" w:cs="仿宋" w:eastAsia="仿宋"/>
                      <w:sz w:val="21"/>
                    </w:rPr>
                    <w:t>率</w:t>
                  </w:r>
                  <w:r>
                    <w:rPr>
                      <w:rFonts w:ascii="仿宋" w:hAnsi="仿宋" w:cs="仿宋" w:eastAsia="仿宋"/>
                      <w:sz w:val="21"/>
                    </w:rPr>
                    <w:t>≥203DPI；</w:t>
                  </w:r>
                </w:p>
                <w:p>
                  <w:pPr>
                    <w:pStyle w:val="null3"/>
                    <w:jc w:val="both"/>
                  </w:pPr>
                  <w:r>
                    <w:rPr>
                      <w:rFonts w:ascii="仿宋" w:hAnsi="仿宋" w:cs="仿宋" w:eastAsia="仿宋"/>
                      <w:sz w:val="21"/>
                    </w:rPr>
                    <w:t>3、▲最大打印速度≥100mm/s；</w:t>
                  </w:r>
                </w:p>
                <w:p>
                  <w:pPr>
                    <w:pStyle w:val="null3"/>
                    <w:jc w:val="both"/>
                  </w:pPr>
                  <w:r>
                    <w:rPr>
                      <w:rFonts w:ascii="仿宋" w:hAnsi="仿宋" w:cs="仿宋" w:eastAsia="仿宋"/>
                      <w:sz w:val="21"/>
                    </w:rPr>
                    <w:t>4、最大打印宽度：≥104mm；</w:t>
                  </w:r>
                </w:p>
                <w:p>
                  <w:pPr>
                    <w:pStyle w:val="null3"/>
                    <w:jc w:val="both"/>
                  </w:pPr>
                  <w:r>
                    <w:rPr>
                      <w:rFonts w:ascii="仿宋" w:hAnsi="仿宋" w:cs="仿宋" w:eastAsia="仿宋"/>
                      <w:sz w:val="21"/>
                    </w:rPr>
                    <w:t>5、最大介质直径：≥127mm；</w:t>
                  </w:r>
                </w:p>
                <w:p>
                  <w:pPr>
                    <w:pStyle w:val="null3"/>
                    <w:jc w:val="both"/>
                  </w:pPr>
                  <w:r>
                    <w:rPr>
                      <w:rFonts w:ascii="仿宋" w:hAnsi="仿宋" w:cs="仿宋" w:eastAsia="仿宋"/>
                      <w:sz w:val="21"/>
                    </w:rPr>
                    <w:t>6、介质宽度：25.4mm(1in)到110mm(4.33in)；</w:t>
                  </w:r>
                </w:p>
                <w:p>
                  <w:pPr>
                    <w:pStyle w:val="null3"/>
                    <w:jc w:val="both"/>
                  </w:pPr>
                  <w:r>
                    <w:rPr>
                      <w:rFonts w:ascii="仿宋" w:hAnsi="仿宋" w:cs="仿宋" w:eastAsia="仿宋"/>
                      <w:sz w:val="21"/>
                    </w:rPr>
                    <w:t>7、标签长度：9.6mm(0.34in)到99cm(39in)；</w:t>
                  </w:r>
                  <w:r>
                    <w:br/>
                  </w:r>
                  <w:r>
                    <w:rPr>
                      <w:rFonts w:ascii="仿宋" w:hAnsi="仿宋" w:cs="仿宋" w:eastAsia="仿宋"/>
                      <w:sz w:val="21"/>
                    </w:rPr>
                    <w:t>8、通信接口：USB 接口≥1；</w:t>
                  </w:r>
                </w:p>
                <w:p>
                  <w:pPr>
                    <w:pStyle w:val="null3"/>
                    <w:jc w:val="both"/>
                  </w:pPr>
                  <w:r>
                    <w:rPr>
                      <w:rFonts w:ascii="仿宋" w:hAnsi="仿宋" w:cs="仿宋" w:eastAsia="仿宋"/>
                      <w:sz w:val="21"/>
                    </w:rPr>
                    <w:t>9、纸宽：79.5±0.5mm；</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40.</w:t>
                  </w:r>
                </w:p>
              </w:tc>
              <w:tc>
                <w:tcPr>
                  <w:tcW w:type="dxa" w:w="201"/>
                  <w:vMerge/>
                  <w:tcBorders>
                    <w:top w:val="none" w:color="000000" w:sz="4"/>
                    <w:left w:val="none" w:color="000000" w:sz="4"/>
                    <w:bottom w:val="single" w:color="000000" w:sz="4"/>
                    <w:right w:val="single" w:color="000000" w:sz="4"/>
                  </w:tcBorders>
                </w:tcPr>
                <w:p/>
              </w:tc>
              <w:tc>
                <w:tcPr>
                  <w:tcW w:type="dxa" w:w="5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不干胶热敏纸标签纸</w:t>
                  </w:r>
                </w:p>
              </w:tc>
              <w:tc>
                <w:tcPr>
                  <w:tcW w:type="dxa" w:w="16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适配标签条码打印机的标签打印纸，规格</w:t>
                  </w:r>
                  <w:r>
                    <w:rPr>
                      <w:rFonts w:ascii="仿宋" w:hAnsi="仿宋" w:cs="仿宋" w:eastAsia="仿宋"/>
                      <w:sz w:val="21"/>
                    </w:rPr>
                    <w:t>70mm×80mm</w:t>
                  </w:r>
                </w:p>
                <w:p>
                  <w:pPr>
                    <w:pStyle w:val="null3"/>
                    <w:jc w:val="both"/>
                  </w:pPr>
                  <w:r>
                    <w:rPr>
                      <w:rFonts w:ascii="仿宋" w:hAnsi="仿宋" w:cs="仿宋" w:eastAsia="仿宋"/>
                      <w:sz w:val="21"/>
                    </w:rPr>
                    <w:t>一卷</w:t>
                  </w:r>
                  <w:r>
                    <w:rPr>
                      <w:rFonts w:ascii="仿宋" w:hAnsi="仿宋" w:cs="仿宋" w:eastAsia="仿宋"/>
                      <w:sz w:val="21"/>
                    </w:rPr>
                    <w:t>1000张，不少于200卷。</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41.</w:t>
                  </w:r>
                </w:p>
              </w:tc>
              <w:tc>
                <w:tcPr>
                  <w:tcW w:type="dxa" w:w="201"/>
                  <w:vMerge/>
                  <w:tcBorders>
                    <w:top w:val="none" w:color="000000" w:sz="4"/>
                    <w:left w:val="none" w:color="000000" w:sz="4"/>
                    <w:bottom w:val="single" w:color="000000" w:sz="4"/>
                    <w:right w:val="single" w:color="000000" w:sz="4"/>
                  </w:tcBorders>
                </w:tcPr>
                <w:p/>
              </w:tc>
              <w:tc>
                <w:tcPr>
                  <w:tcW w:type="dxa" w:w="5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台式机电脑</w:t>
                  </w:r>
                  <w:r>
                    <w:rPr>
                      <w:rFonts w:ascii="仿宋" w:hAnsi="仿宋" w:cs="仿宋" w:eastAsia="仿宋"/>
                      <w:sz w:val="21"/>
                    </w:rPr>
                    <w:t>9台</w:t>
                  </w:r>
                </w:p>
              </w:tc>
              <w:tc>
                <w:tcPr>
                  <w:tcW w:type="dxa" w:w="16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w:t>
                  </w:r>
                  <w:r>
                    <w:rPr>
                      <w:rFonts w:ascii="仿宋" w:hAnsi="仿宋" w:cs="仿宋" w:eastAsia="仿宋"/>
                      <w:sz w:val="21"/>
                    </w:rPr>
                    <w:t>▲处理器：性能不低于Intel酷睿I5-12500处理器（3.0GHz主频、6核12线程）；</w:t>
                  </w:r>
                </w:p>
                <w:p>
                  <w:pPr>
                    <w:pStyle w:val="null3"/>
                    <w:jc w:val="both"/>
                  </w:pPr>
                  <w:r>
                    <w:rPr>
                      <w:rFonts w:ascii="仿宋" w:hAnsi="仿宋" w:cs="仿宋" w:eastAsia="仿宋"/>
                      <w:sz w:val="21"/>
                    </w:rPr>
                    <w:t>2、主板：性能不低于IntelB660系列芯片组；</w:t>
                  </w:r>
                </w:p>
                <w:p>
                  <w:pPr>
                    <w:pStyle w:val="null3"/>
                    <w:jc w:val="both"/>
                  </w:pPr>
                  <w:r>
                    <w:rPr>
                      <w:rFonts w:ascii="仿宋" w:hAnsi="仿宋" w:cs="仿宋" w:eastAsia="仿宋"/>
                      <w:sz w:val="21"/>
                    </w:rPr>
                    <w:t>3、▲内存:≥8GB DDR4；</w:t>
                  </w:r>
                </w:p>
                <w:p>
                  <w:pPr>
                    <w:pStyle w:val="null3"/>
                    <w:jc w:val="both"/>
                  </w:pPr>
                  <w:r>
                    <w:rPr>
                      <w:rFonts w:ascii="仿宋" w:hAnsi="仿宋" w:cs="仿宋" w:eastAsia="仿宋"/>
                      <w:sz w:val="21"/>
                    </w:rPr>
                    <w:t>4、▲硬盘：≥256GB SSD+1TB SATA；</w:t>
                  </w:r>
                </w:p>
                <w:p>
                  <w:pPr>
                    <w:pStyle w:val="null3"/>
                    <w:jc w:val="both"/>
                  </w:pPr>
                  <w:r>
                    <w:rPr>
                      <w:rFonts w:ascii="仿宋" w:hAnsi="仿宋" w:cs="仿宋" w:eastAsia="仿宋"/>
                      <w:sz w:val="21"/>
                    </w:rPr>
                    <w:t>5、显示器尺寸：≥23.8吋LC</w:t>
                  </w:r>
                  <w:r>
                    <w:rPr>
                      <w:rFonts w:ascii="仿宋" w:hAnsi="仿宋" w:cs="仿宋" w:eastAsia="仿宋"/>
                      <w:sz w:val="21"/>
                    </w:rPr>
                    <w:t>D/FHD/VA技术；显示器分辨率：≥1920x1080、VGA+HDMI接口，带原厂HDMI线缆、VESA标准安装孔；</w:t>
                  </w:r>
                </w:p>
                <w:p>
                  <w:pPr>
                    <w:pStyle w:val="null3"/>
                    <w:jc w:val="both"/>
                  </w:pPr>
                  <w:r>
                    <w:rPr>
                      <w:rFonts w:ascii="仿宋" w:hAnsi="仿宋" w:cs="仿宋" w:eastAsia="仿宋"/>
                      <w:sz w:val="21"/>
                    </w:rPr>
                    <w:t>6、I/O扩展槽：≥1个PCI，≥1个PCIe4*16，≥1个 PCIe*1；M.2扩展槽；</w:t>
                  </w:r>
                </w:p>
                <w:p>
                  <w:pPr>
                    <w:pStyle w:val="null3"/>
                    <w:jc w:val="both"/>
                  </w:pPr>
                  <w:r>
                    <w:rPr>
                      <w:rFonts w:ascii="仿宋" w:hAnsi="仿宋" w:cs="仿宋" w:eastAsia="仿宋"/>
                      <w:sz w:val="21"/>
                    </w:rPr>
                    <w:t>7、主机接口：≥10个USB 接口，其中不少于6个USB3.2 接口；主板原生不少于VGA+HDMI2个视频输出端口；1个原生串口；</w:t>
                  </w:r>
                </w:p>
                <w:p>
                  <w:pPr>
                    <w:pStyle w:val="null3"/>
                    <w:jc w:val="both"/>
                  </w:pPr>
                  <w:r>
                    <w:rPr>
                      <w:rFonts w:ascii="仿宋" w:hAnsi="仿宋" w:cs="仿宋" w:eastAsia="仿宋"/>
                      <w:sz w:val="21"/>
                    </w:rPr>
                    <w:t>8、网卡：集成≥1个10/100/1000M自适应千兆网口；</w:t>
                  </w:r>
                </w:p>
                <w:p>
                  <w:pPr>
                    <w:pStyle w:val="null3"/>
                    <w:jc w:val="both"/>
                  </w:pPr>
                  <w:r>
                    <w:rPr>
                      <w:rFonts w:ascii="仿宋" w:hAnsi="仿宋" w:cs="仿宋" w:eastAsia="仿宋"/>
                      <w:sz w:val="21"/>
                    </w:rPr>
                    <w:t>9、显卡：集成显卡；</w:t>
                  </w:r>
                </w:p>
                <w:p>
                  <w:pPr>
                    <w:pStyle w:val="null3"/>
                    <w:jc w:val="both"/>
                  </w:pPr>
                  <w:r>
                    <w:rPr>
                      <w:rFonts w:ascii="仿宋" w:hAnsi="仿宋" w:cs="仿宋" w:eastAsia="仿宋"/>
                      <w:sz w:val="21"/>
                    </w:rPr>
                    <w:t>10、附件：标准USB 键盘鼠标；</w:t>
                  </w:r>
                </w:p>
                <w:p>
                  <w:pPr>
                    <w:pStyle w:val="null3"/>
                    <w:jc w:val="both"/>
                  </w:pPr>
                  <w:r>
                    <w:rPr>
                      <w:rFonts w:ascii="仿宋" w:hAnsi="仿宋" w:cs="仿宋" w:eastAsia="仿宋"/>
                      <w:sz w:val="21"/>
                    </w:rPr>
                    <w:t>11、电源：≥180W节能电源；</w:t>
                  </w:r>
                </w:p>
                <w:p>
                  <w:pPr>
                    <w:pStyle w:val="null3"/>
                    <w:jc w:val="both"/>
                  </w:pPr>
                  <w:r>
                    <w:rPr>
                      <w:rFonts w:ascii="仿宋" w:hAnsi="仿宋" w:cs="仿宋" w:eastAsia="仿宋"/>
                      <w:sz w:val="21"/>
                    </w:rPr>
                    <w:t>12、操作系统：提供正版 Windows10 神州网信版。</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42.</w:t>
                  </w:r>
                </w:p>
              </w:tc>
              <w:tc>
                <w:tcPr>
                  <w:tcW w:type="dxa" w:w="201"/>
                  <w:vMerge/>
                  <w:tcBorders>
                    <w:top w:val="none" w:color="000000" w:sz="4"/>
                    <w:left w:val="none" w:color="000000" w:sz="4"/>
                    <w:bottom w:val="single" w:color="000000" w:sz="4"/>
                    <w:right w:val="single" w:color="000000" w:sz="4"/>
                  </w:tcBorders>
                </w:tcPr>
                <w:p/>
              </w:tc>
              <w:tc>
                <w:tcPr>
                  <w:tcW w:type="dxa" w:w="5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服务器</w:t>
                  </w:r>
                  <w:r>
                    <w:rPr>
                      <w:rFonts w:ascii="仿宋" w:hAnsi="仿宋" w:cs="仿宋" w:eastAsia="仿宋"/>
                      <w:sz w:val="21"/>
                    </w:rPr>
                    <w:t>5台</w:t>
                  </w:r>
                </w:p>
              </w:tc>
              <w:tc>
                <w:tcPr>
                  <w:tcW w:type="dxa" w:w="16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1、机架式服务器，标配原厂导轨；</w:t>
                  </w:r>
                </w:p>
                <w:p>
                  <w:pPr>
                    <w:pStyle w:val="null3"/>
                    <w:jc w:val="both"/>
                  </w:pPr>
                  <w:r>
                    <w:rPr>
                      <w:rFonts w:ascii="仿宋" w:hAnsi="仿宋" w:cs="仿宋" w:eastAsia="仿宋"/>
                      <w:sz w:val="21"/>
                    </w:rPr>
                    <w:t>2、▲处理器：</w:t>
                  </w:r>
                  <w:r>
                    <w:rPr>
                      <w:rFonts w:ascii="仿宋" w:hAnsi="仿宋" w:cs="仿宋" w:eastAsia="仿宋"/>
                      <w:sz w:val="21"/>
                    </w:rPr>
                    <w:t>信创</w:t>
                  </w:r>
                  <w:r>
                    <w:rPr>
                      <w:rFonts w:ascii="仿宋" w:hAnsi="仿宋" w:cs="仿宋" w:eastAsia="仿宋"/>
                      <w:sz w:val="21"/>
                    </w:rPr>
                    <w:t>X86架构，不低于2颗CPU，单颗主频≥2.2GHz，单颗核数≥32核；</w:t>
                  </w:r>
                </w:p>
                <w:p>
                  <w:pPr>
                    <w:pStyle w:val="null3"/>
                    <w:jc w:val="both"/>
                  </w:pPr>
                  <w:r>
                    <w:rPr>
                      <w:rFonts w:ascii="仿宋" w:hAnsi="仿宋" w:cs="仿宋" w:eastAsia="仿宋"/>
                      <w:sz w:val="21"/>
                    </w:rPr>
                    <w:t>3、▲内存：≥8*64GB DDR4；</w:t>
                  </w:r>
                </w:p>
                <w:p>
                  <w:pPr>
                    <w:pStyle w:val="null3"/>
                    <w:jc w:val="both"/>
                  </w:pPr>
                  <w:r>
                    <w:rPr>
                      <w:rFonts w:ascii="仿宋" w:hAnsi="仿宋" w:cs="仿宋" w:eastAsia="仿宋"/>
                      <w:sz w:val="21"/>
                    </w:rPr>
                    <w:t>4、▲存储：≥2*480GB SSD系统盘+3块2.4TB SAS企业级硬盘；</w:t>
                  </w:r>
                </w:p>
                <w:p>
                  <w:pPr>
                    <w:pStyle w:val="null3"/>
                    <w:jc w:val="both"/>
                  </w:pPr>
                  <w:r>
                    <w:rPr>
                      <w:rFonts w:ascii="仿宋" w:hAnsi="仿宋" w:cs="仿宋" w:eastAsia="仿宋"/>
                      <w:sz w:val="21"/>
                    </w:rPr>
                    <w:t>5、RAID卡：支持RAID0,1,5,6,10；</w:t>
                  </w:r>
                </w:p>
                <w:p>
                  <w:pPr>
                    <w:pStyle w:val="null3"/>
                    <w:jc w:val="both"/>
                  </w:pPr>
                  <w:r>
                    <w:rPr>
                      <w:rFonts w:ascii="仿宋" w:hAnsi="仿宋" w:cs="仿宋" w:eastAsia="仿宋"/>
                      <w:sz w:val="21"/>
                    </w:rPr>
                    <w:t>6、网卡：≥4个万兆光口（配置≥8个万兆多模模块），≥2个千兆电口；</w:t>
                  </w:r>
                </w:p>
                <w:p>
                  <w:pPr>
                    <w:pStyle w:val="null3"/>
                    <w:jc w:val="both"/>
                  </w:pPr>
                  <w:r>
                    <w:rPr>
                      <w:rFonts w:ascii="仿宋" w:hAnsi="仿宋" w:cs="仿宋" w:eastAsia="仿宋"/>
                      <w:sz w:val="21"/>
                    </w:rPr>
                    <w:t>7、HBA卡：≥2口32GbFC接口，≥4个32GbFC模块；</w:t>
                  </w:r>
                </w:p>
                <w:p>
                  <w:pPr>
                    <w:pStyle w:val="null3"/>
                    <w:jc w:val="both"/>
                  </w:pPr>
                  <w:r>
                    <w:rPr>
                      <w:rFonts w:ascii="仿宋" w:hAnsi="仿宋" w:cs="仿宋" w:eastAsia="仿宋"/>
                      <w:sz w:val="21"/>
                    </w:rPr>
                    <w:t>8、配置热插拔冗余电源，配置热插拔冗余风扇；</w:t>
                  </w:r>
                </w:p>
                <w:p>
                  <w:pPr>
                    <w:pStyle w:val="null3"/>
                    <w:jc w:val="both"/>
                  </w:pPr>
                  <w:r>
                    <w:rPr>
                      <w:rFonts w:ascii="仿宋" w:hAnsi="仿宋" w:cs="仿宋" w:eastAsia="仿宋"/>
                      <w:sz w:val="21"/>
                    </w:rPr>
                    <w:t>9、操作系统：配置正版操作系统。</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43.</w:t>
                  </w:r>
                </w:p>
              </w:tc>
              <w:tc>
                <w:tcPr>
                  <w:tcW w:type="dxa" w:w="201"/>
                  <w:vMerge/>
                  <w:tcBorders>
                    <w:top w:val="none" w:color="000000" w:sz="4"/>
                    <w:left w:val="none" w:color="000000" w:sz="4"/>
                    <w:bottom w:val="single" w:color="000000" w:sz="4"/>
                    <w:right w:val="single" w:color="000000" w:sz="4"/>
                  </w:tcBorders>
                </w:tcPr>
                <w:p/>
              </w:tc>
              <w:tc>
                <w:tcPr>
                  <w:tcW w:type="dxa" w:w="5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有源声光电标签</w:t>
                  </w:r>
                  <w:r>
                    <w:rPr>
                      <w:rFonts w:ascii="仿宋" w:hAnsi="仿宋" w:cs="仿宋" w:eastAsia="仿宋"/>
                      <w:sz w:val="21"/>
                    </w:rPr>
                    <w:t>1500个（取药提醒）</w:t>
                  </w:r>
                </w:p>
              </w:tc>
              <w:tc>
                <w:tcPr>
                  <w:tcW w:type="dxa" w:w="16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1、电池容量≥</w:t>
                  </w:r>
                  <w:r>
                    <w:rPr>
                      <w:rFonts w:ascii="仿宋" w:hAnsi="仿宋" w:cs="仿宋" w:eastAsia="仿宋"/>
                      <w:sz w:val="21"/>
                    </w:rPr>
                    <w:t>1900</w:t>
                  </w:r>
                  <w:r>
                    <w:rPr>
                      <w:rFonts w:ascii="仿宋" w:hAnsi="仿宋" w:cs="仿宋" w:eastAsia="仿宋"/>
                      <w:sz w:val="21"/>
                    </w:rPr>
                    <w:t>mAh；</w:t>
                  </w:r>
                </w:p>
                <w:p>
                  <w:pPr>
                    <w:pStyle w:val="null3"/>
                    <w:jc w:val="both"/>
                  </w:pPr>
                  <w:r>
                    <w:rPr>
                      <w:rFonts w:ascii="仿宋" w:hAnsi="仿宋" w:cs="仿宋" w:eastAsia="仿宋"/>
                      <w:sz w:val="21"/>
                    </w:rPr>
                    <w:t>2、续航≥3000次提醒；</w:t>
                  </w:r>
                </w:p>
                <w:p>
                  <w:pPr>
                    <w:pStyle w:val="null3"/>
                    <w:jc w:val="both"/>
                  </w:pPr>
                  <w:r>
                    <w:rPr>
                      <w:rFonts w:ascii="仿宋" w:hAnsi="仿宋" w:cs="仿宋" w:eastAsia="仿宋"/>
                      <w:sz w:val="21"/>
                    </w:rPr>
                    <w:t>3、蜂鸣器：10厘米处音压≥60dB；</w:t>
                  </w:r>
                </w:p>
                <w:p>
                  <w:pPr>
                    <w:pStyle w:val="null3"/>
                    <w:jc w:val="both"/>
                  </w:pPr>
                  <w:r>
                    <w:rPr>
                      <w:rFonts w:ascii="仿宋" w:hAnsi="仿宋" w:cs="仿宋" w:eastAsia="仿宋"/>
                      <w:sz w:val="21"/>
                    </w:rPr>
                    <w:t>4、</w:t>
                  </w:r>
                  <w:r>
                    <w:rPr>
                      <w:rFonts w:ascii="仿宋" w:hAnsi="仿宋" w:cs="仿宋" w:eastAsia="仿宋"/>
                      <w:sz w:val="21"/>
                    </w:rPr>
                    <w:t>具有声光提醒功能</w:t>
                  </w:r>
                  <w:r>
                    <w:rPr>
                      <w:rFonts w:ascii="仿宋" w:hAnsi="仿宋" w:cs="仿宋" w:eastAsia="仿宋"/>
                      <w:sz w:val="21"/>
                    </w:rPr>
                    <w:t>；</w:t>
                  </w:r>
                </w:p>
                <w:p>
                  <w:pPr>
                    <w:pStyle w:val="null3"/>
                    <w:jc w:val="both"/>
                  </w:pPr>
                  <w:r>
                    <w:rPr>
                      <w:rFonts w:ascii="仿宋" w:hAnsi="仿宋" w:cs="仿宋" w:eastAsia="仿宋"/>
                      <w:sz w:val="21"/>
                    </w:rPr>
                    <w:t>5、电池可更换、防水、低电压报警。每个标签配备备用电池一块。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44.</w:t>
                  </w:r>
                </w:p>
              </w:tc>
              <w:tc>
                <w:tcPr>
                  <w:tcW w:type="dxa" w:w="201"/>
                  <w:vMerge/>
                  <w:tcBorders>
                    <w:top w:val="none" w:color="000000" w:sz="4"/>
                    <w:left w:val="none" w:color="000000" w:sz="4"/>
                    <w:bottom w:val="single" w:color="000000" w:sz="4"/>
                    <w:right w:val="single" w:color="000000" w:sz="4"/>
                  </w:tcBorders>
                </w:tcPr>
                <w:p/>
              </w:tc>
              <w:tc>
                <w:tcPr>
                  <w:tcW w:type="dxa" w:w="5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有源标签读卡器</w:t>
                  </w:r>
                  <w:r>
                    <w:rPr>
                      <w:rFonts w:ascii="仿宋" w:hAnsi="仿宋" w:cs="仿宋" w:eastAsia="仿宋"/>
                      <w:sz w:val="21"/>
                    </w:rPr>
                    <w:t>6个（信号基站）</w:t>
                  </w:r>
                </w:p>
              </w:tc>
              <w:tc>
                <w:tcPr>
                  <w:tcW w:type="dxa" w:w="16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1、识别范围：半径≥30米；</w:t>
                  </w:r>
                </w:p>
                <w:p>
                  <w:pPr>
                    <w:pStyle w:val="null3"/>
                    <w:jc w:val="both"/>
                  </w:pPr>
                  <w:r>
                    <w:rPr>
                      <w:rFonts w:ascii="仿宋" w:hAnsi="仿宋" w:cs="仿宋" w:eastAsia="仿宋"/>
                      <w:sz w:val="21"/>
                    </w:rPr>
                    <w:t>2、识别速度：≤2秒；</w:t>
                  </w:r>
                </w:p>
                <w:p>
                  <w:pPr>
                    <w:pStyle w:val="null3"/>
                    <w:jc w:val="both"/>
                  </w:pPr>
                  <w:r>
                    <w:rPr>
                      <w:rFonts w:ascii="仿宋" w:hAnsi="仿宋" w:cs="仿宋" w:eastAsia="仿宋"/>
                      <w:sz w:val="21"/>
                    </w:rPr>
                    <w:t>3、识别能力：同时识别标签数量≥200张标签；</w:t>
                  </w:r>
                </w:p>
                <w:p>
                  <w:pPr>
                    <w:pStyle w:val="null3"/>
                    <w:jc w:val="both"/>
                  </w:pPr>
                  <w:r>
                    <w:rPr>
                      <w:rFonts w:ascii="仿宋" w:hAnsi="仿宋" w:cs="仿宋" w:eastAsia="仿宋"/>
                      <w:sz w:val="21"/>
                    </w:rPr>
                    <w:t>4、识别角度：全向；</w:t>
                  </w:r>
                </w:p>
                <w:p>
                  <w:pPr>
                    <w:pStyle w:val="null3"/>
                    <w:jc w:val="both"/>
                  </w:pPr>
                  <w:r>
                    <w:rPr>
                      <w:rFonts w:ascii="仿宋" w:hAnsi="仿宋" w:cs="仿宋" w:eastAsia="仿宋"/>
                      <w:sz w:val="21"/>
                    </w:rPr>
                    <w:t>5、接口标准：RS485、RJ45、WIFI等可选；</w:t>
                  </w:r>
                </w:p>
                <w:p>
                  <w:pPr>
                    <w:pStyle w:val="null3"/>
                    <w:jc w:val="both"/>
                  </w:pPr>
                  <w:r>
                    <w:rPr>
                      <w:rFonts w:ascii="仿宋" w:hAnsi="仿宋" w:cs="仿宋" w:eastAsia="仿宋"/>
                      <w:sz w:val="21"/>
                    </w:rPr>
                    <w:t>6、支持有源声光电标签读取、主动触发数据推送提醒。</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45.</w:t>
                  </w:r>
                </w:p>
              </w:tc>
              <w:tc>
                <w:tcPr>
                  <w:tcW w:type="dxa" w:w="201"/>
                  <w:vMerge/>
                  <w:tcBorders>
                    <w:top w:val="none" w:color="000000" w:sz="4"/>
                    <w:left w:val="none" w:color="000000" w:sz="4"/>
                    <w:bottom w:val="single" w:color="000000" w:sz="4"/>
                    <w:right w:val="single" w:color="000000" w:sz="4"/>
                  </w:tcBorders>
                </w:tcPr>
                <w:p/>
              </w:tc>
              <w:tc>
                <w:tcPr>
                  <w:tcW w:type="dxa" w:w="5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无线网络路由器</w:t>
                  </w:r>
                  <w:r>
                    <w:rPr>
                      <w:rFonts w:ascii="仿宋" w:hAnsi="仿宋" w:cs="仿宋" w:eastAsia="仿宋"/>
                      <w:sz w:val="21"/>
                    </w:rPr>
                    <w:t>4个</w:t>
                  </w:r>
                </w:p>
              </w:tc>
              <w:tc>
                <w:tcPr>
                  <w:tcW w:type="dxa" w:w="16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1、带宽：≥</w:t>
                  </w:r>
                  <w:r>
                    <w:rPr>
                      <w:rFonts w:ascii="仿宋" w:hAnsi="仿宋" w:cs="仿宋" w:eastAsia="仿宋"/>
                      <w:sz w:val="21"/>
                    </w:rPr>
                    <w:t>1000MHz；</w:t>
                  </w:r>
                </w:p>
                <w:p>
                  <w:pPr>
                    <w:pStyle w:val="null3"/>
                    <w:jc w:val="both"/>
                  </w:pPr>
                  <w:r>
                    <w:rPr>
                      <w:rFonts w:ascii="仿宋" w:hAnsi="仿宋" w:cs="仿宋" w:eastAsia="仿宋"/>
                      <w:sz w:val="21"/>
                    </w:rPr>
                    <w:t>2、LAN口：数量≥3个千兆网口；</w:t>
                  </w:r>
                </w:p>
                <w:p>
                  <w:pPr>
                    <w:pStyle w:val="null3"/>
                    <w:jc w:val="both"/>
                  </w:pPr>
                  <w:r>
                    <w:rPr>
                      <w:rFonts w:ascii="仿宋" w:hAnsi="仿宋" w:cs="仿宋" w:eastAsia="仿宋"/>
                      <w:sz w:val="21"/>
                    </w:rPr>
                    <w:t>3、WAN口：数量≥1个千兆网口；</w:t>
                  </w:r>
                </w:p>
                <w:p>
                  <w:pPr>
                    <w:pStyle w:val="null3"/>
                    <w:jc w:val="both"/>
                  </w:pPr>
                  <w:r>
                    <w:rPr>
                      <w:rFonts w:ascii="仿宋" w:hAnsi="仿宋" w:cs="仿宋" w:eastAsia="仿宋"/>
                      <w:sz w:val="21"/>
                    </w:rPr>
                    <w:t>4、无线速率：≥1000MHz；</w:t>
                  </w:r>
                </w:p>
                <w:p>
                  <w:pPr>
                    <w:pStyle w:val="null3"/>
                    <w:jc w:val="both"/>
                  </w:pPr>
                  <w:r>
                    <w:rPr>
                      <w:rFonts w:ascii="仿宋" w:hAnsi="仿宋" w:cs="仿宋" w:eastAsia="仿宋"/>
                      <w:sz w:val="21"/>
                    </w:rPr>
                    <w:t>5、适用面积：≥100㎡；</w:t>
                  </w:r>
                </w:p>
                <w:p>
                  <w:pPr>
                    <w:pStyle w:val="null3"/>
                    <w:jc w:val="both"/>
                  </w:pPr>
                  <w:r>
                    <w:rPr>
                      <w:rFonts w:ascii="仿宋" w:hAnsi="仿宋" w:cs="仿宋" w:eastAsia="仿宋"/>
                      <w:sz w:val="21"/>
                    </w:rPr>
                    <w:t>6、协议：IEEE 802.11a/b/g/n/ac/d/e/h/i/k/r/v/w协议；</w:t>
                  </w:r>
                </w:p>
                <w:p>
                  <w:pPr>
                    <w:pStyle w:val="null3"/>
                    <w:jc w:val="both"/>
                  </w:pPr>
                  <w:r>
                    <w:rPr>
                      <w:rFonts w:ascii="仿宋" w:hAnsi="仿宋" w:cs="仿宋" w:eastAsia="仿宋"/>
                      <w:sz w:val="21"/>
                    </w:rPr>
                    <w:t>7、总带机量：≥100终端；</w:t>
                  </w:r>
                </w:p>
                <w:p>
                  <w:pPr>
                    <w:pStyle w:val="null3"/>
                    <w:jc w:val="both"/>
                  </w:pPr>
                  <w:r>
                    <w:rPr>
                      <w:rFonts w:ascii="仿宋" w:hAnsi="仿宋" w:cs="仿宋" w:eastAsia="仿宋"/>
                      <w:sz w:val="21"/>
                    </w:rPr>
                    <w:t>8、适用频段：2.4GHz+5GHz；2.4GHz；5GHz。</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46.</w:t>
                  </w:r>
                </w:p>
              </w:tc>
              <w:tc>
                <w:tcPr>
                  <w:tcW w:type="dxa" w:w="201"/>
                  <w:vMerge/>
                  <w:tcBorders>
                    <w:top w:val="none" w:color="000000" w:sz="4"/>
                    <w:left w:val="none" w:color="000000" w:sz="4"/>
                    <w:bottom w:val="single" w:color="000000" w:sz="4"/>
                    <w:right w:val="single" w:color="000000" w:sz="4"/>
                  </w:tcBorders>
                </w:tcPr>
                <w:p/>
              </w:tc>
              <w:tc>
                <w:tcPr>
                  <w:tcW w:type="dxa" w:w="5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中药房智慧大屏</w:t>
                  </w:r>
                  <w:r>
                    <w:rPr>
                      <w:rFonts w:ascii="仿宋" w:hAnsi="仿宋" w:cs="仿宋" w:eastAsia="仿宋"/>
                      <w:sz w:val="21"/>
                    </w:rPr>
                    <w:t>3台</w:t>
                  </w:r>
                </w:p>
              </w:tc>
              <w:tc>
                <w:tcPr>
                  <w:tcW w:type="dxa" w:w="16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1、分辨率：≥3840*2160；</w:t>
                  </w:r>
                </w:p>
                <w:p>
                  <w:pPr>
                    <w:pStyle w:val="null3"/>
                    <w:jc w:val="both"/>
                  </w:pPr>
                  <w:r>
                    <w:rPr>
                      <w:rFonts w:ascii="仿宋" w:hAnsi="仿宋" w:cs="仿宋" w:eastAsia="仿宋"/>
                      <w:sz w:val="21"/>
                    </w:rPr>
                    <w:t>2、尺寸：≥75英寸；</w:t>
                  </w:r>
                </w:p>
                <w:p>
                  <w:pPr>
                    <w:pStyle w:val="null3"/>
                    <w:jc w:val="both"/>
                  </w:pPr>
                  <w:r>
                    <w:rPr>
                      <w:rFonts w:ascii="仿宋" w:hAnsi="仿宋" w:cs="仿宋" w:eastAsia="仿宋"/>
                      <w:sz w:val="21"/>
                    </w:rPr>
                    <w:t>3、亮度：≥350cd/m²；</w:t>
                  </w:r>
                </w:p>
                <w:p>
                  <w:pPr>
                    <w:pStyle w:val="null3"/>
                    <w:jc w:val="both"/>
                  </w:pPr>
                  <w:r>
                    <w:rPr>
                      <w:rFonts w:ascii="仿宋" w:hAnsi="仿宋" w:cs="仿宋" w:eastAsia="仿宋"/>
                      <w:sz w:val="21"/>
                    </w:rPr>
                    <w:t>4、像素点距：≤</w:t>
                  </w:r>
                  <w:r>
                    <w:rPr>
                      <w:rFonts w:ascii="仿宋" w:hAnsi="仿宋" w:cs="仿宋" w:eastAsia="仿宋"/>
                      <w:sz w:val="21"/>
                    </w:rPr>
                    <w:t>0.43 mm x 0.43 mm (H×V)；</w:t>
                  </w:r>
                </w:p>
                <w:p>
                  <w:pPr>
                    <w:pStyle w:val="null3"/>
                    <w:jc w:val="both"/>
                  </w:pPr>
                  <w:r>
                    <w:rPr>
                      <w:rFonts w:ascii="仿宋" w:hAnsi="仿宋" w:cs="仿宋" w:eastAsia="仿宋"/>
                      <w:sz w:val="21"/>
                    </w:rPr>
                    <w:t>5、帧频：≥60Hz；</w:t>
                  </w:r>
                </w:p>
                <w:p>
                  <w:pPr>
                    <w:pStyle w:val="null3"/>
                    <w:jc w:val="both"/>
                  </w:pPr>
                  <w:r>
                    <w:rPr>
                      <w:rFonts w:ascii="仿宋" w:hAnsi="仿宋" w:cs="仿宋" w:eastAsia="仿宋"/>
                      <w:sz w:val="21"/>
                    </w:rPr>
                    <w:t>6、视角：≥178°(H)/178°(V)；</w:t>
                  </w:r>
                </w:p>
                <w:p>
                  <w:pPr>
                    <w:pStyle w:val="null3"/>
                    <w:jc w:val="both"/>
                  </w:pPr>
                  <w:r>
                    <w:rPr>
                      <w:rFonts w:ascii="仿宋" w:hAnsi="仿宋" w:cs="仿宋" w:eastAsia="仿宋"/>
                      <w:sz w:val="21"/>
                    </w:rPr>
                    <w:t>7、色彩饱和度：≥</w:t>
                  </w:r>
                  <w:r>
                    <w:rPr>
                      <w:rFonts w:ascii="仿宋" w:hAnsi="仿宋" w:cs="仿宋" w:eastAsia="仿宋"/>
                      <w:sz w:val="21"/>
                    </w:rPr>
                    <w:t>70</w:t>
                  </w:r>
                  <w:r>
                    <w:rPr>
                      <w:rFonts w:ascii="仿宋" w:hAnsi="仿宋" w:cs="仿宋" w:eastAsia="仿宋"/>
                      <w:sz w:val="21"/>
                    </w:rPr>
                    <w:t>%；</w:t>
                  </w:r>
                </w:p>
                <w:p>
                  <w:pPr>
                    <w:pStyle w:val="null3"/>
                    <w:jc w:val="both"/>
                  </w:pPr>
                  <w:r>
                    <w:rPr>
                      <w:rFonts w:ascii="仿宋" w:hAnsi="仿宋" w:cs="仿宋" w:eastAsia="仿宋"/>
                      <w:sz w:val="21"/>
                    </w:rPr>
                    <w:t>8、HDMI2.1输入接口数：≥3个；</w:t>
                  </w:r>
                </w:p>
                <w:p>
                  <w:pPr>
                    <w:pStyle w:val="null3"/>
                    <w:jc w:val="both"/>
                  </w:pPr>
                  <w:r>
                    <w:rPr>
                      <w:rFonts w:ascii="仿宋" w:hAnsi="仿宋" w:cs="仿宋" w:eastAsia="仿宋"/>
                      <w:sz w:val="21"/>
                    </w:rPr>
                    <w:t>9、USB2.0接口数≥1个；</w:t>
                  </w:r>
                </w:p>
                <w:p>
                  <w:pPr>
                    <w:pStyle w:val="null3"/>
                    <w:jc w:val="both"/>
                  </w:pPr>
                  <w:r>
                    <w:rPr>
                      <w:rFonts w:ascii="仿宋" w:hAnsi="仿宋" w:cs="仿宋" w:eastAsia="仿宋"/>
                      <w:sz w:val="21"/>
                    </w:rPr>
                    <w:t>10、内置热插拔一体式OPS模块，具备双系统，配置：CPU≥四核，内存≥DDR4 16G，固态硬盘≥256G；</w:t>
                  </w:r>
                </w:p>
                <w:p>
                  <w:pPr>
                    <w:pStyle w:val="null3"/>
                    <w:jc w:val="both"/>
                  </w:pPr>
                  <w:r>
                    <w:rPr>
                      <w:rFonts w:ascii="仿宋" w:hAnsi="仿宋" w:cs="仿宋" w:eastAsia="仿宋"/>
                      <w:sz w:val="21"/>
                    </w:rPr>
                    <w:t>11、操作系统：提供正版操作系统。</w:t>
                  </w:r>
                </w:p>
              </w:tc>
            </w:tr>
          </w:tbl>
          <w:p>
            <w:pPr>
              <w:pStyle w:val="null3"/>
              <w:jc w:val="both"/>
            </w:pPr>
            <w:r>
              <w:rPr>
                <w:rFonts w:ascii="仿宋" w:hAnsi="仿宋" w:cs="仿宋" w:eastAsia="仿宋"/>
                <w:sz w:val="21"/>
                <w:b/>
              </w:rPr>
              <w:t>▲参数必须提供技术参数证明材料，包括官网截图</w:t>
            </w:r>
            <w:r>
              <w:rPr>
                <w:rFonts w:ascii="仿宋" w:hAnsi="仿宋" w:cs="仿宋" w:eastAsia="仿宋"/>
                <w:sz w:val="21"/>
                <w:b/>
              </w:rPr>
              <w:t>、</w:t>
            </w:r>
            <w:r>
              <w:rPr>
                <w:rFonts w:ascii="仿宋" w:hAnsi="仿宋" w:cs="仿宋" w:eastAsia="仿宋"/>
                <w:sz w:val="21"/>
                <w:b/>
              </w:rPr>
              <w:t>产品彩页或检测报告或加盖生产厂商公章的技术参数说明或</w:t>
            </w:r>
            <w:r>
              <w:rPr>
                <w:rFonts w:ascii="仿宋" w:hAnsi="仿宋" w:cs="仿宋" w:eastAsia="仿宋"/>
                <w:sz w:val="21"/>
                <w:b/>
              </w:rPr>
              <w:t>软件功能截图。</w:t>
            </w:r>
          </w:p>
          <w:p>
            <w:pPr>
              <w:pStyle w:val="null3"/>
              <w:jc w:val="both"/>
            </w:pPr>
            <w:r>
              <w:rPr>
                <w:rFonts w:ascii="仿宋" w:hAnsi="仿宋" w:cs="仿宋" w:eastAsia="仿宋"/>
                <w:sz w:val="21"/>
                <w:b/>
              </w:rPr>
              <w:t>四、服务要求</w:t>
            </w:r>
          </w:p>
          <w:p>
            <w:pPr>
              <w:pStyle w:val="null3"/>
              <w:jc w:val="both"/>
            </w:pPr>
            <w:r>
              <w:rPr>
                <w:rFonts w:ascii="仿宋" w:hAnsi="仿宋" w:cs="仿宋" w:eastAsia="仿宋"/>
                <w:sz w:val="21"/>
              </w:rPr>
              <w:t>(一)总体要求</w:t>
            </w:r>
          </w:p>
          <w:p>
            <w:pPr>
              <w:pStyle w:val="null3"/>
              <w:jc w:val="both"/>
            </w:pPr>
            <w:r>
              <w:rPr>
                <w:rFonts w:ascii="仿宋" w:hAnsi="仿宋" w:cs="仿宋" w:eastAsia="仿宋"/>
                <w:sz w:val="21"/>
              </w:rPr>
              <w:t>本项目为交钥匙工程，须满足一院多区的使用需求，实现统一管理，数据互通。</w:t>
            </w:r>
          </w:p>
          <w:p>
            <w:pPr>
              <w:pStyle w:val="null3"/>
              <w:jc w:val="both"/>
            </w:pPr>
            <w:r>
              <w:rPr>
                <w:rFonts w:ascii="仿宋" w:hAnsi="仿宋" w:cs="仿宋" w:eastAsia="仿宋"/>
                <w:sz w:val="21"/>
              </w:rPr>
              <w:t>（二）使用环境要求</w:t>
            </w:r>
          </w:p>
          <w:p>
            <w:pPr>
              <w:pStyle w:val="null3"/>
              <w:jc w:val="both"/>
            </w:pPr>
            <w:r>
              <w:rPr>
                <w:rFonts w:ascii="仿宋" w:hAnsi="仿宋" w:cs="仿宋" w:eastAsia="仿宋"/>
                <w:sz w:val="21"/>
              </w:rPr>
              <w:t>支持当前主流操作系统如统信</w:t>
            </w:r>
            <w:r>
              <w:rPr>
                <w:rFonts w:ascii="仿宋" w:hAnsi="仿宋" w:cs="仿宋" w:eastAsia="仿宋"/>
                <w:sz w:val="21"/>
              </w:rPr>
              <w:t>UOS、Windows Server，Linux、麒麟、龙蜥Anolis等，支持当前主流浏览器如IE/Edge、360浏览器等。</w:t>
            </w:r>
          </w:p>
          <w:p>
            <w:pPr>
              <w:pStyle w:val="null3"/>
              <w:jc w:val="both"/>
            </w:pPr>
            <w:r>
              <w:rPr>
                <w:rFonts w:ascii="仿宋" w:hAnsi="仿宋" w:cs="仿宋" w:eastAsia="仿宋"/>
                <w:sz w:val="21"/>
              </w:rPr>
              <w:t>（三）软件架构</w:t>
            </w:r>
          </w:p>
          <w:p>
            <w:pPr>
              <w:pStyle w:val="null3"/>
              <w:jc w:val="both"/>
            </w:pPr>
            <w:r>
              <w:rPr>
                <w:rFonts w:ascii="仿宋" w:hAnsi="仿宋" w:cs="仿宋" w:eastAsia="仿宋"/>
                <w:sz w:val="21"/>
              </w:rPr>
              <w:t>软件架构要求具备开放性，提供完整规范的开发接口。</w:t>
            </w:r>
          </w:p>
          <w:p>
            <w:pPr>
              <w:pStyle w:val="null3"/>
              <w:jc w:val="both"/>
            </w:pPr>
            <w:r>
              <w:rPr>
                <w:rFonts w:ascii="仿宋" w:hAnsi="仿宋" w:cs="仿宋" w:eastAsia="仿宋"/>
                <w:sz w:val="21"/>
              </w:rPr>
              <w:t>（四）软件平台</w:t>
            </w:r>
          </w:p>
          <w:p>
            <w:pPr>
              <w:pStyle w:val="null3"/>
              <w:jc w:val="both"/>
            </w:pPr>
            <w:r>
              <w:rPr>
                <w:rFonts w:ascii="仿宋" w:hAnsi="仿宋" w:cs="仿宋" w:eastAsia="仿宋"/>
                <w:sz w:val="21"/>
              </w:rPr>
              <w:t>支持目前主流的各类操作系统环境：包括统信</w:t>
            </w:r>
            <w:r>
              <w:rPr>
                <w:rFonts w:ascii="仿宋" w:hAnsi="仿宋" w:cs="仿宋" w:eastAsia="仿宋"/>
                <w:sz w:val="21"/>
              </w:rPr>
              <w:t>UOS、Windows Server，Linux、麒麟、龙蜥Anolis等主流系统;支持当前主流 web 服务器;采用ORACLE、MYSQL、DMDB等当前主流的数据库，需具备良好的数据和索引压缩技术，有较强的并发、容错能力，支持分布式部署，有较强的可移植性和可扩展性。</w:t>
            </w:r>
          </w:p>
          <w:p>
            <w:pPr>
              <w:pStyle w:val="null3"/>
              <w:jc w:val="both"/>
            </w:pPr>
            <w:r>
              <w:rPr>
                <w:rFonts w:ascii="仿宋" w:hAnsi="仿宋" w:cs="仿宋" w:eastAsia="仿宋"/>
                <w:sz w:val="21"/>
              </w:rPr>
              <w:t>（五）数据要求</w:t>
            </w:r>
          </w:p>
          <w:p>
            <w:pPr>
              <w:pStyle w:val="null3"/>
              <w:jc w:val="both"/>
            </w:pPr>
            <w:r>
              <w:rPr>
                <w:rFonts w:ascii="仿宋" w:hAnsi="仿宋" w:cs="仿宋" w:eastAsia="仿宋"/>
                <w:sz w:val="21"/>
              </w:rPr>
              <w:t xml:space="preserve"> </w:t>
            </w:r>
            <w:r>
              <w:rPr>
                <w:rFonts w:ascii="仿宋" w:hAnsi="仿宋" w:cs="仿宋" w:eastAsia="仿宋"/>
                <w:sz w:val="21"/>
              </w:rPr>
              <w:t>有良好的数据库灾备解决方案。</w:t>
            </w:r>
          </w:p>
          <w:p>
            <w:pPr>
              <w:pStyle w:val="null3"/>
              <w:jc w:val="both"/>
            </w:pPr>
            <w:r>
              <w:rPr>
                <w:rFonts w:ascii="仿宋" w:hAnsi="仿宋" w:cs="仿宋" w:eastAsia="仿宋"/>
                <w:sz w:val="21"/>
              </w:rPr>
              <w:t>（六）性能要求</w:t>
            </w:r>
          </w:p>
          <w:p>
            <w:pPr>
              <w:pStyle w:val="null3"/>
              <w:jc w:val="both"/>
            </w:pPr>
            <w:r>
              <w:rPr>
                <w:rFonts w:ascii="仿宋" w:hAnsi="仿宋" w:cs="仿宋" w:eastAsia="仿宋"/>
                <w:sz w:val="21"/>
              </w:rPr>
              <w:t>（</w:t>
            </w:r>
            <w:r>
              <w:rPr>
                <w:rFonts w:ascii="仿宋" w:hAnsi="仿宋" w:cs="仿宋" w:eastAsia="仿宋"/>
                <w:sz w:val="21"/>
              </w:rPr>
              <w:t>1）外部溯源业务系统，性能参数要求，同时在线人数≥20000人，并发≥500人；医院内部溯源系统及数据存储，性能参数要求，同时在线人数≥3000人，并发≥300人；</w:t>
            </w:r>
          </w:p>
          <w:p>
            <w:pPr>
              <w:pStyle w:val="null3"/>
              <w:jc w:val="both"/>
            </w:pPr>
            <w:r>
              <w:rPr>
                <w:rFonts w:ascii="仿宋" w:hAnsi="仿宋" w:cs="仿宋" w:eastAsia="仿宋"/>
                <w:sz w:val="21"/>
              </w:rPr>
              <w:t>（</w:t>
            </w:r>
            <w:r>
              <w:rPr>
                <w:rFonts w:ascii="仿宋" w:hAnsi="仿宋" w:cs="仿宋" w:eastAsia="仿宋"/>
                <w:sz w:val="21"/>
              </w:rPr>
              <w:t>2）验收期与维保期内，系统无故障运行时间大于99%；</w:t>
            </w:r>
          </w:p>
          <w:p>
            <w:pPr>
              <w:pStyle w:val="null3"/>
              <w:jc w:val="both"/>
            </w:pPr>
            <w:r>
              <w:rPr>
                <w:rFonts w:ascii="仿宋" w:hAnsi="仿宋" w:cs="仿宋" w:eastAsia="仿宋"/>
                <w:sz w:val="21"/>
              </w:rPr>
              <w:t>（</w:t>
            </w:r>
            <w:r>
              <w:rPr>
                <w:rFonts w:ascii="仿宋" w:hAnsi="仿宋" w:cs="仿宋" w:eastAsia="仿宋"/>
                <w:sz w:val="21"/>
              </w:rPr>
              <w:t>3）系统恢复时间：系统恢复时间小于4小时；</w:t>
            </w:r>
          </w:p>
          <w:p>
            <w:pPr>
              <w:pStyle w:val="null3"/>
              <w:jc w:val="both"/>
            </w:pPr>
            <w:r>
              <w:rPr>
                <w:rFonts w:ascii="仿宋" w:hAnsi="仿宋" w:cs="仿宋" w:eastAsia="仿宋"/>
                <w:sz w:val="21"/>
              </w:rPr>
              <w:t>（七）人员培训要求</w:t>
            </w:r>
          </w:p>
          <w:p>
            <w:pPr>
              <w:pStyle w:val="null3"/>
              <w:jc w:val="both"/>
            </w:pPr>
            <w:r>
              <w:rPr>
                <w:rFonts w:ascii="仿宋" w:hAnsi="仿宋" w:cs="仿宋" w:eastAsia="仿宋"/>
                <w:sz w:val="21"/>
              </w:rPr>
              <w:t>提供完善的人员培训服务，开展信息化技术培训不少于</w:t>
            </w:r>
            <w:r>
              <w:rPr>
                <w:rFonts w:ascii="仿宋" w:hAnsi="仿宋" w:cs="仿宋" w:eastAsia="仿宋"/>
                <w:sz w:val="21"/>
              </w:rPr>
              <w:t>3次，对医院操作人员、饮片供应商企业人员等进行追溯系统的应用和操作培训。培训后提供培训签到表、培训课件、照片等影像资料。</w:t>
            </w:r>
          </w:p>
          <w:p>
            <w:pPr>
              <w:pStyle w:val="null3"/>
              <w:jc w:val="both"/>
            </w:pPr>
            <w:r>
              <w:rPr>
                <w:rFonts w:ascii="仿宋" w:hAnsi="仿宋" w:cs="仿宋" w:eastAsia="仿宋"/>
                <w:sz w:val="21"/>
              </w:rPr>
              <w:t>（八）相关软件文档</w:t>
            </w:r>
          </w:p>
          <w:p>
            <w:pPr>
              <w:pStyle w:val="null3"/>
              <w:jc w:val="both"/>
            </w:pPr>
            <w:r>
              <w:rPr>
                <w:rFonts w:ascii="仿宋" w:hAnsi="仿宋" w:cs="仿宋" w:eastAsia="仿宋"/>
                <w:sz w:val="21"/>
              </w:rPr>
              <w:t>文档分别以电子文档形式与纸质形式提供，安装软件以电子文档形式提供。包括设计文档、使用手册、测试报告、部署说明、系统运行维护文档。</w:t>
            </w:r>
          </w:p>
          <w:p>
            <w:pPr>
              <w:pStyle w:val="null3"/>
              <w:jc w:val="both"/>
            </w:pPr>
            <w:r>
              <w:rPr>
                <w:rFonts w:ascii="仿宋" w:hAnsi="仿宋" w:cs="仿宋" w:eastAsia="仿宋"/>
                <w:sz w:val="21"/>
              </w:rPr>
              <w:t>（九）其他</w:t>
            </w:r>
          </w:p>
          <w:p>
            <w:pPr>
              <w:pStyle w:val="null3"/>
              <w:jc w:val="both"/>
            </w:pPr>
            <w:r>
              <w:rPr>
                <w:rFonts w:ascii="仿宋" w:hAnsi="仿宋" w:cs="仿宋" w:eastAsia="仿宋"/>
                <w:sz w:val="21"/>
              </w:rPr>
              <w:t>1、接口对接</w:t>
            </w:r>
          </w:p>
          <w:p>
            <w:pPr>
              <w:pStyle w:val="null3"/>
              <w:jc w:val="both"/>
            </w:pPr>
            <w:r>
              <w:rPr>
                <w:rFonts w:ascii="仿宋" w:hAnsi="仿宋" w:cs="仿宋" w:eastAsia="仿宋"/>
                <w:sz w:val="21"/>
                <w:b/>
              </w:rPr>
              <w:t>★为保障本项目与医院集成平台对接、与陕西省中药材追溯服务平台对接，实现数据互通，需提供与医院集成平台、陕西省中药材追溯服务平台实现无缝对接或保证无缝对接成功的承诺函。</w:t>
            </w:r>
          </w:p>
          <w:p>
            <w:pPr>
              <w:pStyle w:val="null3"/>
              <w:jc w:val="both"/>
            </w:pPr>
            <w:r>
              <w:rPr>
                <w:rFonts w:ascii="仿宋" w:hAnsi="仿宋" w:cs="仿宋" w:eastAsia="仿宋"/>
                <w:sz w:val="21"/>
                <w:b/>
              </w:rPr>
              <w:t>★为保障本项目与医院现有煎药设备系统对接，需提供与医院煎药设备实现对接或保证对接成功的承诺函，并提供煎药设备原厂数据接口使用授权函，保障医院饮片煎药追溯链条的完整性。</w:t>
            </w:r>
          </w:p>
          <w:p>
            <w:pPr>
              <w:pStyle w:val="null3"/>
              <w:jc w:val="both"/>
            </w:pPr>
            <w:r>
              <w:rPr>
                <w:rFonts w:ascii="仿宋" w:hAnsi="仿宋" w:cs="仿宋" w:eastAsia="仿宋"/>
                <w:sz w:val="21"/>
                <w:b/>
              </w:rPr>
              <w:t>五、商务要求</w:t>
            </w:r>
          </w:p>
          <w:p>
            <w:pPr>
              <w:pStyle w:val="null3"/>
              <w:jc w:val="both"/>
            </w:pPr>
            <w:r>
              <w:rPr>
                <w:rFonts w:ascii="仿宋" w:hAnsi="仿宋" w:cs="仿宋" w:eastAsia="仿宋"/>
                <w:sz w:val="21"/>
              </w:rPr>
              <w:t>1.实施要求</w:t>
            </w:r>
          </w:p>
          <w:p>
            <w:pPr>
              <w:pStyle w:val="null3"/>
              <w:jc w:val="both"/>
            </w:pPr>
            <w:r>
              <w:rPr>
                <w:rFonts w:ascii="仿宋" w:hAnsi="仿宋" w:cs="仿宋" w:eastAsia="仿宋"/>
                <w:sz w:val="21"/>
              </w:rPr>
              <w:t>供应商不得以系统集成</w:t>
            </w:r>
            <w:r>
              <w:rPr>
                <w:rFonts w:ascii="仿宋" w:hAnsi="仿宋" w:cs="仿宋" w:eastAsia="仿宋"/>
                <w:sz w:val="21"/>
              </w:rPr>
              <w:t>/接口改造难度、费用等为由，拖延项目实施与交付进度，供应商需在投标时提供实施服务承诺函。</w:t>
            </w:r>
          </w:p>
          <w:p>
            <w:pPr>
              <w:pStyle w:val="null3"/>
              <w:jc w:val="both"/>
            </w:pPr>
            <w:r>
              <w:rPr>
                <w:rFonts w:ascii="仿宋" w:hAnsi="仿宋" w:cs="仿宋" w:eastAsia="仿宋"/>
                <w:sz w:val="21"/>
              </w:rPr>
              <w:t>（</w:t>
            </w:r>
            <w:r>
              <w:rPr>
                <w:rFonts w:ascii="仿宋" w:hAnsi="仿宋" w:cs="仿宋" w:eastAsia="仿宋"/>
                <w:sz w:val="21"/>
              </w:rPr>
              <w:t>1）实施到系统验收期间，供应商必须派遣参与过同类项目的专业工程师驻场，进行软件开发实施与维护工作；</w:t>
            </w:r>
          </w:p>
          <w:p>
            <w:pPr>
              <w:pStyle w:val="null3"/>
              <w:jc w:val="both"/>
            </w:pPr>
            <w:r>
              <w:rPr>
                <w:rFonts w:ascii="仿宋" w:hAnsi="仿宋" w:cs="仿宋" w:eastAsia="仿宋"/>
                <w:sz w:val="21"/>
              </w:rPr>
              <w:t>（</w:t>
            </w:r>
            <w:r>
              <w:rPr>
                <w:rFonts w:ascii="仿宋" w:hAnsi="仿宋" w:cs="仿宋" w:eastAsia="仿宋"/>
                <w:sz w:val="21"/>
              </w:rPr>
              <w:t>2）本项目自合同签订之日起建设周期为90个日历日，供应商需对调研、实施、试运行各阶段有合理的计划，供应商需在开工前向招标人提供项目详尽的实施方案和进度表，包括具体的投入人员信息、实施团队组成、工作内容和项目人员安排等资料。</w:t>
            </w:r>
          </w:p>
          <w:p>
            <w:pPr>
              <w:pStyle w:val="null3"/>
              <w:jc w:val="both"/>
            </w:pPr>
            <w:r>
              <w:rPr>
                <w:rFonts w:ascii="仿宋" w:hAnsi="仿宋" w:cs="仿宋" w:eastAsia="仿宋"/>
                <w:sz w:val="21"/>
              </w:rPr>
              <w:t>2.质量保证</w:t>
            </w:r>
          </w:p>
          <w:p>
            <w:pPr>
              <w:pStyle w:val="null3"/>
              <w:jc w:val="both"/>
            </w:pPr>
            <w:r>
              <w:rPr>
                <w:rFonts w:ascii="仿宋" w:hAnsi="仿宋" w:cs="仿宋" w:eastAsia="仿宋"/>
                <w:sz w:val="21"/>
              </w:rPr>
              <w:t>（</w:t>
            </w:r>
            <w:r>
              <w:rPr>
                <w:rFonts w:ascii="仿宋" w:hAnsi="仿宋" w:cs="仿宋" w:eastAsia="仿宋"/>
                <w:sz w:val="21"/>
              </w:rPr>
              <w:t>1）供应商须保证所提供产品符合国家有关规定。供应商须保证所提供产品具有合法的版权或使用权，本项目采购的产品，如在本项目范围内使用过程中出现版权或使用权纠纷，应由供应商负责，采购人不承担责任；</w:t>
            </w:r>
          </w:p>
          <w:p>
            <w:pPr>
              <w:pStyle w:val="null3"/>
              <w:jc w:val="both"/>
            </w:pPr>
            <w:r>
              <w:rPr>
                <w:rFonts w:ascii="仿宋" w:hAnsi="仿宋" w:cs="仿宋" w:eastAsia="仿宋"/>
                <w:sz w:val="21"/>
              </w:rPr>
              <w:t>（</w:t>
            </w:r>
            <w:r>
              <w:rPr>
                <w:rFonts w:ascii="仿宋" w:hAnsi="仿宋" w:cs="仿宋" w:eastAsia="仿宋"/>
                <w:sz w:val="21"/>
              </w:rPr>
              <w:t>2）供应商必须保证解决项目所涉及的技术问题，如因技术原因无法满足采购人需求，由此产生的风险由供应商承担。</w:t>
            </w:r>
          </w:p>
          <w:p>
            <w:pPr>
              <w:pStyle w:val="null3"/>
              <w:jc w:val="both"/>
            </w:pPr>
            <w:r>
              <w:rPr>
                <w:rFonts w:ascii="仿宋" w:hAnsi="仿宋" w:cs="仿宋" w:eastAsia="仿宋"/>
                <w:sz w:val="21"/>
              </w:rPr>
              <w:t>3.付款方式</w:t>
            </w:r>
          </w:p>
          <w:p>
            <w:pPr>
              <w:pStyle w:val="null3"/>
              <w:jc w:val="both"/>
            </w:pPr>
            <w:r>
              <w:rPr>
                <w:rFonts w:ascii="仿宋" w:hAnsi="仿宋" w:cs="仿宋" w:eastAsia="仿宋"/>
                <w:sz w:val="21"/>
              </w:rPr>
              <w:t>（</w:t>
            </w:r>
            <w:r>
              <w:rPr>
                <w:rFonts w:ascii="仿宋" w:hAnsi="仿宋" w:cs="仿宋" w:eastAsia="仿宋"/>
                <w:sz w:val="21"/>
              </w:rPr>
              <w:t>1）合同签订后，供应商向采购人支付合同总金额10%的履约保证金，并出具承诺书承诺按照合同约定义务，如有任何违约行为的，采购人有权不予退还履约保证金;</w:t>
            </w:r>
          </w:p>
          <w:p>
            <w:pPr>
              <w:pStyle w:val="null3"/>
              <w:jc w:val="both"/>
            </w:pPr>
            <w:r>
              <w:rPr>
                <w:rFonts w:ascii="仿宋" w:hAnsi="仿宋" w:cs="仿宋" w:eastAsia="仿宋"/>
                <w:sz w:val="21"/>
              </w:rPr>
              <w:t>（</w:t>
            </w:r>
            <w:r>
              <w:rPr>
                <w:rFonts w:ascii="仿宋" w:hAnsi="仿宋" w:cs="仿宋" w:eastAsia="仿宋"/>
                <w:sz w:val="21"/>
              </w:rPr>
              <w:t>2）合同签订后，供应商向采购人开具正规全额发票，采购人收到发票后，采购人与供应商在三个工作日内共同前往银行开具共管账户，签署资金共管协议。资金共管账户开通后，采购人将合同总金额的100%支付至资金共管账户，待供应商按照招标完成项目的建设且验收合格，并取得采购人签署的书面验收报告后，供应商与采购人共同将资金共管账户中的款项转至供应商账户，将合同款的100%支付给供应商账户；</w:t>
            </w:r>
          </w:p>
          <w:p>
            <w:pPr>
              <w:pStyle w:val="null3"/>
              <w:jc w:val="both"/>
            </w:pPr>
            <w:r>
              <w:rPr>
                <w:rFonts w:ascii="仿宋" w:hAnsi="仿宋" w:cs="仿宋" w:eastAsia="仿宋"/>
                <w:sz w:val="21"/>
              </w:rPr>
              <w:t>（</w:t>
            </w:r>
            <w:r>
              <w:rPr>
                <w:rFonts w:ascii="仿宋" w:hAnsi="仿宋" w:cs="仿宋" w:eastAsia="仿宋"/>
                <w:sz w:val="21"/>
              </w:rPr>
              <w:t>3）项目正常运行满三年期，供应商无任何违约行为的采购人无息退还供应商履约保证金。</w:t>
            </w:r>
          </w:p>
          <w:p>
            <w:pPr>
              <w:pStyle w:val="null3"/>
              <w:jc w:val="both"/>
            </w:pPr>
            <w:r>
              <w:rPr>
                <w:rFonts w:ascii="仿宋" w:hAnsi="仿宋" w:cs="仿宋" w:eastAsia="仿宋"/>
                <w:sz w:val="21"/>
              </w:rPr>
              <w:t>4.验收要求</w:t>
            </w:r>
          </w:p>
          <w:p>
            <w:pPr>
              <w:pStyle w:val="null3"/>
              <w:jc w:val="both"/>
            </w:pPr>
            <w:r>
              <w:rPr>
                <w:rFonts w:ascii="仿宋" w:hAnsi="仿宋" w:cs="仿宋" w:eastAsia="仿宋"/>
                <w:sz w:val="21"/>
              </w:rPr>
              <w:t>（</w:t>
            </w:r>
            <w:r>
              <w:rPr>
                <w:rFonts w:ascii="仿宋" w:hAnsi="仿宋" w:cs="仿宋" w:eastAsia="仿宋"/>
                <w:sz w:val="21"/>
              </w:rPr>
              <w:t>1）本项目在采购人指定的时间内开发实施、调试完成后，由采购人组织验收，核对系统建设内容及功能等，经检验无误签署项目交接单后，移交采购人使用，并且必须将全部产品的所有权和使用权一并转移至采购人；</w:t>
            </w:r>
          </w:p>
          <w:p>
            <w:pPr>
              <w:pStyle w:val="null3"/>
              <w:jc w:val="both"/>
            </w:pPr>
            <w:r>
              <w:rPr>
                <w:rFonts w:ascii="仿宋" w:hAnsi="仿宋" w:cs="仿宋" w:eastAsia="仿宋"/>
                <w:sz w:val="21"/>
              </w:rPr>
              <w:t>（</w:t>
            </w:r>
            <w:r>
              <w:rPr>
                <w:rFonts w:ascii="仿宋" w:hAnsi="仿宋" w:cs="仿宋" w:eastAsia="仿宋"/>
                <w:sz w:val="21"/>
              </w:rPr>
              <w:t>2）验收依据：招标文件、供应商的投标文件、合同及附件文本、合同签订时国家及行业现行的标准和技术规范、其他相关资料。</w:t>
            </w:r>
          </w:p>
          <w:p>
            <w:pPr>
              <w:pStyle w:val="null3"/>
              <w:jc w:val="both"/>
            </w:pPr>
            <w:r>
              <w:rPr>
                <w:rFonts w:ascii="仿宋" w:hAnsi="仿宋" w:cs="仿宋" w:eastAsia="仿宋"/>
                <w:sz w:val="21"/>
              </w:rPr>
              <w:t>5.组织过程资产交付</w:t>
            </w:r>
          </w:p>
          <w:p>
            <w:pPr>
              <w:pStyle w:val="null3"/>
              <w:jc w:val="both"/>
            </w:pPr>
            <w:r>
              <w:rPr>
                <w:rFonts w:ascii="仿宋" w:hAnsi="仿宋" w:cs="仿宋" w:eastAsia="仿宋"/>
                <w:sz w:val="21"/>
              </w:rPr>
              <w:t>交付资料应提供纸质版及电子文档，涵盖以下内容：</w:t>
            </w:r>
          </w:p>
          <w:p>
            <w:pPr>
              <w:pStyle w:val="null3"/>
              <w:jc w:val="both"/>
            </w:pPr>
            <w:r>
              <w:rPr>
                <w:rFonts w:ascii="仿宋" w:hAnsi="仿宋" w:cs="仿宋" w:eastAsia="仿宋"/>
                <w:sz w:val="21"/>
              </w:rPr>
              <w:t>（</w:t>
            </w:r>
            <w:r>
              <w:rPr>
                <w:rFonts w:ascii="仿宋" w:hAnsi="仿宋" w:cs="仿宋" w:eastAsia="仿宋"/>
                <w:sz w:val="21"/>
              </w:rPr>
              <w:t>1）项目实施前：技术方案、实施方案、项目实施计划、人员安排、进度表；</w:t>
            </w:r>
          </w:p>
          <w:p>
            <w:pPr>
              <w:pStyle w:val="null3"/>
              <w:jc w:val="both"/>
            </w:pPr>
            <w:r>
              <w:rPr>
                <w:rFonts w:ascii="仿宋" w:hAnsi="仿宋" w:cs="仿宋" w:eastAsia="仿宋"/>
                <w:sz w:val="21"/>
              </w:rPr>
              <w:t>（</w:t>
            </w:r>
            <w:r>
              <w:rPr>
                <w:rFonts w:ascii="仿宋" w:hAnsi="仿宋" w:cs="仿宋" w:eastAsia="仿宋"/>
                <w:sz w:val="21"/>
              </w:rPr>
              <w:t>2）项目实施期间：开工报告、项目实施工作单、培训计划、用户使用手册、项目实施变更、项目实施过程中衍生的其它相关资料；</w:t>
            </w:r>
          </w:p>
          <w:p>
            <w:pPr>
              <w:pStyle w:val="null3"/>
              <w:jc w:val="both"/>
            </w:pPr>
            <w:r>
              <w:rPr>
                <w:rFonts w:ascii="仿宋" w:hAnsi="仿宋" w:cs="仿宋" w:eastAsia="仿宋"/>
                <w:sz w:val="21"/>
              </w:rPr>
              <w:t>（</w:t>
            </w:r>
            <w:r>
              <w:rPr>
                <w:rFonts w:ascii="仿宋" w:hAnsi="仿宋" w:cs="仿宋" w:eastAsia="仿宋"/>
                <w:sz w:val="21"/>
              </w:rPr>
              <w:t>3）项目实施后：系统试运行和测试报告、工作总结报告。</w:t>
            </w:r>
          </w:p>
          <w:p>
            <w:pPr>
              <w:pStyle w:val="null3"/>
              <w:jc w:val="both"/>
            </w:pPr>
            <w:r>
              <w:rPr>
                <w:rFonts w:ascii="仿宋" w:hAnsi="仿宋" w:cs="仿宋" w:eastAsia="仿宋"/>
                <w:sz w:val="21"/>
              </w:rPr>
              <w:t>6.违约责任</w:t>
            </w:r>
          </w:p>
          <w:p>
            <w:pPr>
              <w:pStyle w:val="null3"/>
              <w:jc w:val="both"/>
            </w:pPr>
            <w:r>
              <w:rPr>
                <w:rFonts w:ascii="仿宋" w:hAnsi="仿宋" w:cs="仿宋" w:eastAsia="仿宋"/>
                <w:sz w:val="21"/>
              </w:rPr>
              <w:t>如供应商事先未征得采购人同意并得到采购人的谅解而单方面延迟交货</w:t>
            </w:r>
            <w:r>
              <w:rPr>
                <w:rFonts w:ascii="仿宋" w:hAnsi="仿宋" w:cs="仿宋" w:eastAsia="仿宋"/>
                <w:sz w:val="21"/>
              </w:rPr>
              <w:t>30天以上，采购人有权终止合同，因延迟交货造成采购人损失由供应商赔付采购人合同总价的30%。</w:t>
            </w:r>
          </w:p>
          <w:p>
            <w:pPr>
              <w:pStyle w:val="null3"/>
              <w:jc w:val="both"/>
            </w:pPr>
            <w:r>
              <w:rPr>
                <w:rFonts w:ascii="仿宋" w:hAnsi="仿宋" w:cs="仿宋" w:eastAsia="仿宋"/>
                <w:sz w:val="21"/>
              </w:rPr>
              <w:t>7.售后要求</w:t>
            </w:r>
          </w:p>
          <w:p>
            <w:pPr>
              <w:pStyle w:val="null3"/>
              <w:jc w:val="both"/>
            </w:pPr>
            <w:r>
              <w:rPr>
                <w:rFonts w:ascii="仿宋" w:hAnsi="仿宋" w:cs="仿宋" w:eastAsia="仿宋"/>
                <w:sz w:val="21"/>
              </w:rPr>
              <w:t>（</w:t>
            </w:r>
            <w:r>
              <w:rPr>
                <w:rFonts w:ascii="仿宋" w:hAnsi="仿宋" w:cs="仿宋" w:eastAsia="仿宋"/>
                <w:sz w:val="21"/>
              </w:rPr>
              <w:t>1）供应商应具有完善的维保期内及维保期外的售后服务方案。</w:t>
            </w:r>
          </w:p>
          <w:p>
            <w:pPr>
              <w:pStyle w:val="null3"/>
              <w:jc w:val="both"/>
            </w:pPr>
            <w:r>
              <w:rPr>
                <w:rFonts w:ascii="仿宋" w:hAnsi="仿宋" w:cs="仿宋" w:eastAsia="仿宋"/>
                <w:sz w:val="21"/>
              </w:rPr>
              <w:t>（</w:t>
            </w:r>
            <w:r>
              <w:rPr>
                <w:rFonts w:ascii="仿宋" w:hAnsi="仿宋" w:cs="仿宋" w:eastAsia="仿宋"/>
                <w:sz w:val="21"/>
              </w:rPr>
              <w:t>2）维保期3年。维保期以项目验收之日起算。维保期内提供免费的售后服务。供应商须说明维保期外服务内容及收费标准，每年的维保费用不得超过中标价的6%，维保期结束后第二年起维保费可在上一年度维保费用基础上上浮不超过10%。</w:t>
            </w:r>
          </w:p>
          <w:p>
            <w:pPr>
              <w:pStyle w:val="null3"/>
              <w:jc w:val="both"/>
            </w:pPr>
            <w:r>
              <w:rPr>
                <w:rFonts w:ascii="仿宋" w:hAnsi="仿宋" w:cs="仿宋" w:eastAsia="仿宋"/>
                <w:sz w:val="21"/>
              </w:rPr>
              <w:t>（</w:t>
            </w:r>
            <w:r>
              <w:rPr>
                <w:rFonts w:ascii="仿宋" w:hAnsi="仿宋" w:cs="仿宋" w:eastAsia="仿宋"/>
                <w:sz w:val="21"/>
              </w:rPr>
              <w:t>3）所提供的技术服务为7×24小时支持维护服务，包括邮件、电话、远程维护、现场服务等方式。必须保证1小时之内响应、4小时内派工程师到达现场、24小时之内解决问题。</w:t>
            </w:r>
          </w:p>
          <w:p>
            <w:pPr>
              <w:pStyle w:val="null3"/>
              <w:jc w:val="both"/>
            </w:pPr>
            <w:r>
              <w:rPr>
                <w:rFonts w:ascii="仿宋" w:hAnsi="仿宋" w:cs="仿宋" w:eastAsia="仿宋"/>
                <w:sz w:val="21"/>
              </w:rPr>
              <w:t>8.投标报价指，从项目需求调研到设计、开发、实施、调试、验收、人员培训、接口开发和维保期等环节涉及到的一切费用，且包含系统所需对接其他系统的接口费用。</w:t>
            </w:r>
          </w:p>
          <w:p>
            <w:pPr>
              <w:pStyle w:val="null3"/>
              <w:jc w:val="both"/>
            </w:pPr>
            <w:r>
              <w:rPr>
                <w:rFonts w:ascii="仿宋" w:hAnsi="仿宋" w:cs="仿宋" w:eastAsia="仿宋"/>
                <w:sz w:val="21"/>
                <w:b/>
              </w:rPr>
              <w:t>六、</w:t>
            </w:r>
            <w:r>
              <w:rPr>
                <w:rFonts w:ascii="仿宋" w:hAnsi="仿宋" w:cs="仿宋" w:eastAsia="仿宋"/>
                <w:sz w:val="21"/>
                <w:b/>
              </w:rPr>
              <w:t>质量验收标准或规范</w:t>
            </w:r>
          </w:p>
          <w:p>
            <w:pPr>
              <w:pStyle w:val="null3"/>
              <w:jc w:val="both"/>
            </w:pPr>
            <w:r>
              <w:rPr>
                <w:rFonts w:ascii="仿宋" w:hAnsi="仿宋" w:cs="仿宋" w:eastAsia="仿宋"/>
                <w:sz w:val="21"/>
              </w:rPr>
              <w:t>（</w:t>
            </w:r>
            <w:r>
              <w:rPr>
                <w:rFonts w:ascii="仿宋" w:hAnsi="仿宋" w:cs="仿宋" w:eastAsia="仿宋"/>
                <w:sz w:val="21"/>
              </w:rPr>
              <w:t>1）本项目在采购人指定的时间内开发实施、调试完成后，由采购人组织验收，核对系统建设内容及功能等，经检验无误签署项目交接单后，移交采购人使用，并且必须将全部产品的所有权和使用权一并转移至采购人；</w:t>
            </w:r>
          </w:p>
          <w:p>
            <w:pPr>
              <w:pStyle w:val="null3"/>
              <w:jc w:val="both"/>
            </w:pPr>
            <w:r>
              <w:rPr>
                <w:rFonts w:ascii="仿宋" w:hAnsi="仿宋" w:cs="仿宋" w:eastAsia="仿宋"/>
                <w:sz w:val="21"/>
              </w:rPr>
              <w:t>（</w:t>
            </w:r>
            <w:r>
              <w:rPr>
                <w:rFonts w:ascii="仿宋" w:hAnsi="仿宋" w:cs="仿宋" w:eastAsia="仿宋"/>
                <w:sz w:val="21"/>
              </w:rPr>
              <w:t>2）验收依据：招标文件、</w:t>
            </w:r>
            <w:r>
              <w:rPr>
                <w:rFonts w:ascii="仿宋" w:hAnsi="仿宋" w:cs="仿宋" w:eastAsia="仿宋"/>
                <w:sz w:val="21"/>
              </w:rPr>
              <w:t>供应商</w:t>
            </w:r>
            <w:r>
              <w:rPr>
                <w:rFonts w:ascii="仿宋" w:hAnsi="仿宋" w:cs="仿宋" w:eastAsia="仿宋"/>
                <w:sz w:val="21"/>
              </w:rPr>
              <w:t>的投标文件、合同及附件文本、合同签订时国家及行业现行的标准和技术规范、其他相关资料。</w:t>
            </w:r>
          </w:p>
          <w:p>
            <w:pPr>
              <w:pStyle w:val="null3"/>
              <w:jc w:val="both"/>
            </w:pPr>
            <w:r>
              <w:rPr>
                <w:rFonts w:ascii="仿宋" w:hAnsi="仿宋" w:cs="仿宋" w:eastAsia="仿宋"/>
                <w:sz w:val="21"/>
              </w:rPr>
              <w:t>产品质保期</w:t>
            </w:r>
          </w:p>
          <w:p>
            <w:pPr>
              <w:pStyle w:val="null3"/>
              <w:jc w:val="both"/>
            </w:pPr>
            <w:r>
              <w:rPr>
                <w:rFonts w:ascii="仿宋" w:hAnsi="仿宋" w:cs="仿宋" w:eastAsia="仿宋"/>
                <w:sz w:val="21"/>
              </w:rPr>
              <w:t>（</w:t>
            </w:r>
            <w:r>
              <w:rPr>
                <w:rFonts w:ascii="仿宋" w:hAnsi="仿宋" w:cs="仿宋" w:eastAsia="仿宋"/>
                <w:sz w:val="21"/>
              </w:rPr>
              <w:t>1）硬件设备不少于3年原厂质保；</w:t>
            </w:r>
          </w:p>
          <w:p>
            <w:pPr>
              <w:pStyle w:val="null3"/>
              <w:jc w:val="both"/>
            </w:pPr>
            <w:r>
              <w:rPr>
                <w:rFonts w:ascii="仿宋" w:hAnsi="仿宋" w:cs="仿宋" w:eastAsia="仿宋"/>
                <w:sz w:val="21"/>
              </w:rPr>
              <w:t>（</w:t>
            </w:r>
            <w:r>
              <w:rPr>
                <w:rFonts w:ascii="仿宋" w:hAnsi="仿宋" w:cs="仿宋" w:eastAsia="仿宋"/>
                <w:sz w:val="21"/>
              </w:rPr>
              <w:t>2）软件系统不少于3年原厂技术支持和版本升级服务。</w:t>
            </w:r>
          </w:p>
          <w:p>
            <w:pPr>
              <w:pStyle w:val="null3"/>
              <w:jc w:val="both"/>
            </w:pPr>
            <w:r>
              <w:rPr>
                <w:rFonts w:ascii="仿宋" w:hAnsi="仿宋" w:cs="仿宋" w:eastAsia="仿宋"/>
                <w:sz w:val="21"/>
              </w:rPr>
              <w:t>（四）违约责任</w:t>
            </w:r>
          </w:p>
          <w:p>
            <w:pPr>
              <w:pStyle w:val="null3"/>
              <w:jc w:val="both"/>
            </w:pPr>
            <w:r>
              <w:rPr>
                <w:rFonts w:ascii="仿宋" w:hAnsi="仿宋" w:cs="仿宋" w:eastAsia="仿宋"/>
                <w:sz w:val="21"/>
              </w:rPr>
              <w:t>如</w:t>
            </w:r>
            <w:r>
              <w:rPr>
                <w:rFonts w:ascii="仿宋" w:hAnsi="仿宋" w:cs="仿宋" w:eastAsia="仿宋"/>
                <w:sz w:val="21"/>
              </w:rPr>
              <w:t>供应商</w:t>
            </w:r>
            <w:r>
              <w:rPr>
                <w:rFonts w:ascii="仿宋" w:hAnsi="仿宋" w:cs="仿宋" w:eastAsia="仿宋"/>
                <w:sz w:val="21"/>
              </w:rPr>
              <w:t>事先未征得采购人同意并得到采购人的谅解而单方面延迟交货</w:t>
            </w:r>
            <w:r>
              <w:rPr>
                <w:rFonts w:ascii="仿宋" w:hAnsi="仿宋" w:cs="仿宋" w:eastAsia="仿宋"/>
                <w:sz w:val="21"/>
              </w:rPr>
              <w:t>30天以上， 采购人有权终止合同，因延迟交货造成采购人损失由</w:t>
            </w:r>
            <w:r>
              <w:rPr>
                <w:rFonts w:ascii="仿宋" w:hAnsi="仿宋" w:cs="仿宋" w:eastAsia="仿宋"/>
                <w:sz w:val="21"/>
              </w:rPr>
              <w:t>供应商</w:t>
            </w:r>
            <w:r>
              <w:rPr>
                <w:rFonts w:ascii="仿宋" w:hAnsi="仿宋" w:cs="仿宋" w:eastAsia="仿宋"/>
                <w:sz w:val="21"/>
              </w:rPr>
              <w:t>赔付采购人合同总价的</w:t>
            </w:r>
            <w:r>
              <w:rPr>
                <w:rFonts w:ascii="仿宋" w:hAnsi="仿宋" w:cs="仿宋" w:eastAsia="仿宋"/>
                <w:sz w:val="21"/>
              </w:rPr>
              <w:t>30%。</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自合同签订之日起建设周期为90个日历日，项目验收之日起维保期三年。</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供应商向采购人开具正规全额发票，采购人收到发票后，采购人与供应商在三个工作日内共同前往银行开具共管账户，签署资金共管协议。资金共管账户开通后，采购人将合同总金额的100%支付至资金共管账户，待供应商按照招标完成项目的建设且验收合格，并取得采购人签署的书面验收报告后，供应商与采购人共同将资金共管账户中的款项转至供应商账户，将合同款的100%支付给供应商账户</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详见招标文件及合同条款</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详见招标文件及合同条款</w:t>
      </w:r>
    </w:p>
    <w:p>
      <w:pPr>
        <w:pStyle w:val="null3"/>
        <w:outlineLvl w:val="3"/>
      </w:pPr>
      <w:r>
        <w:rPr>
          <w:sz w:val="24"/>
          <w:b/>
        </w:rPr>
        <w:t>3.4.8违约责任与解决争议的方法</w:t>
      </w:r>
    </w:p>
    <w:p>
      <w:pPr>
        <w:pStyle w:val="null3"/>
      </w:pPr>
      <w:r>
        <w:rPr/>
        <w:t>采购包1：</w:t>
      </w:r>
    </w:p>
    <w:p>
      <w:pPr>
        <w:pStyle w:val="null3"/>
      </w:pPr>
      <w:r>
        <w:rPr/>
        <w:t>详见招标文件及合同条款</w:t>
      </w:r>
    </w:p>
    <w:p>
      <w:pPr>
        <w:pStyle w:val="null3"/>
        <w:jc w:val="left"/>
        <w:outlineLvl w:val="2"/>
      </w:pPr>
      <w:r>
        <w:rPr>
          <w:sz w:val="28"/>
          <w:b/>
        </w:rPr>
        <w:t>3.5其他要求</w:t>
      </w:r>
    </w:p>
    <w:p>
      <w:pPr>
        <w:pStyle w:val="null3"/>
      </w:pPr>
      <w:r>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3.本项目根据《中小企业划型标准规定》标的类型划分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4.中标供应商在领取中标通知书时提供2套纸质投标文件（1正1副），纸质版投标文件应与线上电子投标文件保持一致并加盖公章。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合格有效的法人或者其他组织的营业执照等证明文件，自然人的身份证明；供应商是法人或其他组织的应提供营业执照等证明文件，供应商是自然人的应提供有效的自然人身份证明）；2.具有良好的商业信誉和健全的财务会计制度（提供2023年度财务审计报告或开标前近3个月内银行资信证明或财政部门认可的政府采购专业担保机构出具的投标担保函）；3.具有履行合同所必需的设备和专业技术能力（格式详见附件）；4.具有依法缴纳税收和社会保障资金的良好记录（提供投标截止日12个月内已缴纳的至少一个月的纳税证明或完税证明，依法免税的单位应提供相关证明材料；提供投标截止日12个月内已缴存的至少一个月的社会保障资金缴存单据或社保机构开具的社会保险参保缴费情况证明，依法不需要缴纳社会保障资金的单位应提供相关证明材料)；5.参加政府采购活动前三年内，在经营活动中没有重大违法记录（格式详见附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具有良好的商业信誉和健全的财务会计制度（提供2023年度财务审计报告或开标前近3个月内银行资信证明或财政部门认可的政府采购专业担保机构出具的投标担保函）。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法定代表人直接参加的，须出示身份证；法定代表人授权他人参加的，须提供法定代表人授权委托书。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关于联合体投标</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诚信承诺书 拒绝商业贿赂承诺书 标的清单 投标文件封面</w:t>
            </w:r>
          </w:p>
        </w:tc>
      </w:tr>
      <w:tr>
        <w:tc>
          <w:tcPr>
            <w:tcW w:type="dxa" w:w="831"/>
          </w:tcPr>
          <w:p>
            <w:pPr>
              <w:pStyle w:val="null3"/>
            </w:pPr>
            <w:r>
              <w:rPr/>
              <w:t>2</w:t>
            </w:r>
          </w:p>
        </w:tc>
        <w:tc>
          <w:tcPr>
            <w:tcW w:type="dxa" w:w="2492"/>
          </w:tcPr>
          <w:p>
            <w:pPr>
              <w:pStyle w:val="null3"/>
            </w:pPr>
            <w:r>
              <w:rPr/>
              <w:t>相关承诺</w:t>
            </w:r>
          </w:p>
        </w:tc>
        <w:tc>
          <w:tcPr>
            <w:tcW w:type="dxa" w:w="3322"/>
          </w:tcPr>
          <w:p>
            <w:pPr>
              <w:pStyle w:val="null3"/>
            </w:pPr>
            <w:r>
              <w:rPr/>
              <w:t>相关诚信承诺书等是否按招标文件要求响应。</w:t>
            </w:r>
          </w:p>
        </w:tc>
        <w:tc>
          <w:tcPr>
            <w:tcW w:type="dxa" w:w="1661"/>
          </w:tcPr>
          <w:p>
            <w:pPr>
              <w:pStyle w:val="null3"/>
            </w:pPr>
            <w:r>
              <w:rPr/>
              <w:t>诚信承诺书 拒绝商业贿赂承诺书 关于非西安市中医医院职工及其亲属投资开办或控股的企业书面声明</w:t>
            </w:r>
          </w:p>
        </w:tc>
      </w:tr>
      <w:tr>
        <w:tc>
          <w:tcPr>
            <w:tcW w:type="dxa" w:w="831"/>
          </w:tcPr>
          <w:p>
            <w:pPr>
              <w:pStyle w:val="null3"/>
            </w:pPr>
            <w:r>
              <w:rPr/>
              <w:t>3</w:t>
            </w:r>
          </w:p>
        </w:tc>
        <w:tc>
          <w:tcPr>
            <w:tcW w:type="dxa" w:w="2492"/>
          </w:tcPr>
          <w:p>
            <w:pPr>
              <w:pStyle w:val="null3"/>
            </w:pPr>
            <w:r>
              <w:rPr/>
              <w:t>交货期及维保期</w:t>
            </w:r>
          </w:p>
        </w:tc>
        <w:tc>
          <w:tcPr>
            <w:tcW w:type="dxa" w:w="3322"/>
          </w:tcPr>
          <w:p>
            <w:pPr>
              <w:pStyle w:val="null3"/>
            </w:pPr>
            <w:r>
              <w:rPr/>
              <w:t>交货期及维保期是否按招标文件要求的各项节点响应。</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质保期是否按照招标文件的相关要求响应</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付款方式</w:t>
            </w:r>
          </w:p>
        </w:tc>
        <w:tc>
          <w:tcPr>
            <w:tcW w:type="dxa" w:w="3322"/>
          </w:tcPr>
          <w:p>
            <w:pPr>
              <w:pStyle w:val="null3"/>
            </w:pPr>
            <w:r>
              <w:rPr/>
              <w:t>付款方式是否响应招标文件的要求</w:t>
            </w:r>
          </w:p>
        </w:tc>
        <w:tc>
          <w:tcPr>
            <w:tcW w:type="dxa" w:w="1661"/>
          </w:tcPr>
          <w:p>
            <w:pPr>
              <w:pStyle w:val="null3"/>
            </w:pPr>
            <w:r>
              <w:rPr/>
              <w:t>商务偏离表</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投标报价是否超过采购预算及最高限价</w:t>
            </w:r>
          </w:p>
        </w:tc>
        <w:tc>
          <w:tcPr>
            <w:tcW w:type="dxa" w:w="1661"/>
          </w:tcPr>
          <w:p>
            <w:pPr>
              <w:pStyle w:val="null3"/>
            </w:pPr>
            <w:r>
              <w:rPr/>
              <w:t>开标一览表 分项报价表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投标产品符合政府采购政策，并提供证明材料。每提供1项得0.5分，满分1分。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节能环保证明资料</w:t>
            </w:r>
          </w:p>
        </w:tc>
      </w:tr>
      <w:tr>
        <w:tc>
          <w:tcPr>
            <w:tcW w:type="dxa" w:w="831"/>
            <w:vMerge/>
          </w:tcPr>
          <w:p/>
        </w:tc>
        <w:tc>
          <w:tcPr>
            <w:tcW w:type="dxa" w:w="1661"/>
          </w:tcPr>
          <w:p>
            <w:pPr>
              <w:pStyle w:val="null3"/>
            </w:pPr>
            <w:r>
              <w:rPr/>
              <w:t>技术参数响应</w:t>
            </w:r>
          </w:p>
        </w:tc>
        <w:tc>
          <w:tcPr>
            <w:tcW w:type="dxa" w:w="2492"/>
          </w:tcPr>
          <w:p>
            <w:pPr>
              <w:pStyle w:val="null3"/>
            </w:pPr>
            <w:r>
              <w:rPr/>
              <w:t>招标文件功能要求及技术要求中：完全满足没有负偏离的得满分30分，加注“▲”号的功能要求有负偏离的，一项扣2分，未加注“▲”号的功能要求有负偏离的，一项扣1分，扣完为止。 ▲参数必须提供技术参数证明材料，包括官网截图、产品彩页或检测报告或加盖生产厂商公章的技术参数说明或软件功能截图。</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项目管理力量、技术人员配备</w:t>
            </w:r>
          </w:p>
        </w:tc>
        <w:tc>
          <w:tcPr>
            <w:tcW w:type="dxa" w:w="2492"/>
          </w:tcPr>
          <w:p>
            <w:pPr>
              <w:pStyle w:val="null3"/>
            </w:pPr>
            <w:r>
              <w:rPr/>
              <w:t>1.项目负责人须具备3年以上同类项目实施经验，具有系统集成项目管理工程师证书，满足得2分。 2.团队人员（除项目负责人外）具有系统集成项目管理工程师证书或信息安全工程师证书或系统架构设计师证书或软件设计师证书每提供1人得1分，未提供不得分，满分3分。 评审依据：项目负责人工作经验证明为项目负责人所负责项目的合同关键信息及相应项目验收单，复印件加盖公章。 需提供以上人员证书原件扫描件加盖公章。 需提供以上人员2024年1月1日以来在投标单位所缴纳的社保证明资料（连续三个月）。</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实施方案</w:t>
            </w:r>
          </w:p>
        </w:tc>
        <w:tc>
          <w:tcPr>
            <w:tcW w:type="dxa" w:w="2492"/>
          </w:tcPr>
          <w:p>
            <w:pPr>
              <w:pStyle w:val="null3"/>
            </w:pPr>
            <w:r>
              <w:rPr/>
              <w:t>介绍实施方案的科学性、合理性、规范性和可操作性。 包括①项目重点难点分析②实施进度计划③风险预见与控制能力④项目运维方案⑤验收方案 1.每一项实施方案内容准确、重点突出、完整齐全的得1.5分； 2.服务方案内容略准确，重点不突出、内容有缺失的得0.5分； 3.未提供服务方案得0分。</w:t>
            </w:r>
          </w:p>
        </w:tc>
        <w:tc>
          <w:tcPr>
            <w:tcW w:type="dxa" w:w="831"/>
          </w:tcPr>
          <w:p>
            <w:pPr>
              <w:pStyle w:val="null3"/>
              <w:jc w:val="right"/>
            </w:pPr>
            <w:r>
              <w:rPr/>
              <w:t>7.5000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技术方案</w:t>
            </w:r>
          </w:p>
        </w:tc>
        <w:tc>
          <w:tcPr>
            <w:tcW w:type="dxa" w:w="2492"/>
          </w:tcPr>
          <w:p>
            <w:pPr>
              <w:pStyle w:val="null3"/>
            </w:pPr>
            <w:r>
              <w:rPr/>
              <w:t>针对本项目提供项目技术方案是否合理、详细和可操作性，包括①需求分析、②总体思路、③技术路线、④功能详细 1.每一项技术方案内容准确、重点突出、完整齐全的得2分； 2.技术方案内容略准确，重点不突出、内容有缺失的得1分； 3.未提供技术方案得0分。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项目保障措施</w:t>
            </w:r>
          </w:p>
        </w:tc>
        <w:tc>
          <w:tcPr>
            <w:tcW w:type="dxa" w:w="2492"/>
          </w:tcPr>
          <w:p>
            <w:pPr>
              <w:pStyle w:val="null3"/>
            </w:pPr>
            <w:r>
              <w:rPr/>
              <w:t>针对本项目提供项目保障措施方案是否合理、详细和可操作性，应至少包括①项目管理措施、②质量控制措施、③与采购人的配合措施、④安全保密措施等进行评议 1.每一项项目保障措施方案内容准确、重点突出、完整齐全的得1分； 2.项目保障措施方案内容略准确，重点不突出、内容有缺失的得0.5分； 3.未提供项目保障措施方案得0分。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证书</w:t>
            </w:r>
          </w:p>
        </w:tc>
        <w:tc>
          <w:tcPr>
            <w:tcW w:type="dxa" w:w="2492"/>
          </w:tcPr>
          <w:p>
            <w:pPr>
              <w:pStyle w:val="null3"/>
            </w:pPr>
            <w:r>
              <w:rPr/>
              <w:t>1、核心产品生产厂商具备ISO20000信息技术服务管理体系认证证书及ISO27001信息安全管理体系认证证书。（全部提供得2分，缺少任意一项或不提供不得分） 2、核心产品生产厂商具有知识产权管理体系认证证书或软件著作权证书。(1.5分)</w:t>
            </w:r>
          </w:p>
        </w:tc>
        <w:tc>
          <w:tcPr>
            <w:tcW w:type="dxa" w:w="831"/>
          </w:tcPr>
          <w:p>
            <w:pPr>
              <w:pStyle w:val="null3"/>
              <w:jc w:val="right"/>
            </w:pPr>
            <w:r>
              <w:rPr/>
              <w:t>3.5000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业绩证明</w:t>
            </w:r>
          </w:p>
        </w:tc>
        <w:tc>
          <w:tcPr>
            <w:tcW w:type="dxa" w:w="2492"/>
          </w:tcPr>
          <w:p>
            <w:pPr>
              <w:pStyle w:val="null3"/>
            </w:pPr>
            <w:r>
              <w:rPr/>
              <w:t>提供2021年10月1日至今所投项目同类业绩，每个项目均需提供完整合同及验收证明，提供一个得1分，此项最高得3分。 评审依据：复印件加盖供应商公章。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售后服务</w:t>
            </w:r>
          </w:p>
        </w:tc>
        <w:tc>
          <w:tcPr>
            <w:tcW w:type="dxa" w:w="2492"/>
          </w:tcPr>
          <w:p>
            <w:pPr>
              <w:pStyle w:val="null3"/>
            </w:pPr>
            <w:r>
              <w:rPr/>
              <w:t>具备完备的售后服务体系，提供售后服务方案包含①售后服务期限②售后服务方式③响应时间及响应方式④服务方式 1.每一项实施方案内容准确、重点突出、完整齐全的得2分； 2.服务方案内容略准确，重点不突出、内容有缺失的得1分； 3.未提供服务方案得0分。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详见附件：技术方案</w:t>
      </w:r>
    </w:p>
    <w:p>
      <w:pPr>
        <w:pStyle w:val="null3"/>
        <w:ind w:firstLine="960"/>
      </w:pPr>
      <w:r>
        <w:rPr/>
        <w:t>详见附件：规格技术参数偏离表</w:t>
      </w:r>
    </w:p>
    <w:p>
      <w:pPr>
        <w:pStyle w:val="null3"/>
        <w:ind w:firstLine="960"/>
      </w:pPr>
      <w:r>
        <w:rPr/>
        <w:t>详见附件：服务承诺</w:t>
      </w:r>
    </w:p>
    <w:p>
      <w:pPr>
        <w:pStyle w:val="null3"/>
        <w:ind w:firstLine="960"/>
      </w:pPr>
      <w:r>
        <w:rPr/>
        <w:t>详见附件：拟投入本项目的人员</w:t>
      </w:r>
    </w:p>
    <w:p>
      <w:pPr>
        <w:pStyle w:val="null3"/>
        <w:ind w:firstLine="960"/>
      </w:pPr>
      <w:r>
        <w:rPr/>
        <w:t>详见附件：业绩一览表</w:t>
      </w:r>
    </w:p>
    <w:p>
      <w:pPr>
        <w:pStyle w:val="null3"/>
        <w:ind w:firstLine="960"/>
      </w:pPr>
      <w:r>
        <w:rPr/>
        <w:t>详见附件：节能环保证明资料</w:t>
      </w:r>
    </w:p>
    <w:p>
      <w:pPr>
        <w:pStyle w:val="null3"/>
        <w:ind w:firstLine="960"/>
      </w:pPr>
      <w:r>
        <w:rPr/>
        <w:t>详见附件：关于非西安市中医医院职工及其亲属投资开办或控股的企业书面声明</w:t>
      </w:r>
    </w:p>
    <w:p>
      <w:pPr>
        <w:pStyle w:val="null3"/>
        <w:ind w:firstLine="960"/>
      </w:pPr>
      <w:r>
        <w:rPr/>
        <w:t>详见附件：拒绝商业贿赂承诺书</w:t>
      </w:r>
    </w:p>
    <w:p>
      <w:pPr>
        <w:pStyle w:val="null3"/>
        <w:ind w:firstLine="960"/>
      </w:pPr>
      <w:r>
        <w:rPr/>
        <w:t>详见附件：诚信承诺书</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