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286A9">
      <w:pPr>
        <w:pStyle w:val="9"/>
        <w:spacing w:line="360" w:lineRule="auto"/>
        <w:rPr>
          <w:rFonts w:hint="default" w:ascii="仿宋" w:hAnsi="仿宋" w:eastAsia="仿宋" w:cs="仿宋"/>
          <w:sz w:val="24"/>
          <w:szCs w:val="24"/>
        </w:rPr>
      </w:pPr>
    </w:p>
    <w:tbl>
      <w:tblPr>
        <w:tblStyle w:val="7"/>
        <w:tblpPr w:leftFromText="180" w:rightFromText="180" w:vertAnchor="text" w:horzAnchor="margin" w:tblpXSpec="right" w:tblpY="23"/>
        <w:tblW w:w="1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tblGrid>
      <w:tr w14:paraId="5EC21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838" w:type="dxa"/>
            <w:noWrap w:val="0"/>
            <w:vAlign w:val="top"/>
          </w:tcPr>
          <w:p w14:paraId="5476D9C1">
            <w:pPr>
              <w:adjustRightInd w:val="0"/>
              <w:snapToGrid w:val="0"/>
              <w:spacing w:line="360" w:lineRule="auto"/>
              <w:jc w:val="center"/>
              <w:rPr>
                <w:rFonts w:ascii="宋体" w:hAnsi="宋体"/>
                <w:b/>
                <w:sz w:val="30"/>
                <w:szCs w:val="30"/>
              </w:rPr>
            </w:pPr>
            <w:r>
              <w:rPr>
                <w:rFonts w:hint="eastAsia" w:ascii="宋体" w:hAnsi="宋体"/>
                <w:b/>
                <w:sz w:val="30"/>
                <w:szCs w:val="30"/>
              </w:rPr>
              <w:t>公开招标</w:t>
            </w:r>
          </w:p>
        </w:tc>
      </w:tr>
    </w:tbl>
    <w:p w14:paraId="11761B63">
      <w:pPr>
        <w:tabs>
          <w:tab w:val="left" w:pos="7577"/>
        </w:tabs>
        <w:adjustRightInd w:val="0"/>
        <w:snapToGrid w:val="0"/>
        <w:spacing w:line="360" w:lineRule="auto"/>
        <w:rPr>
          <w:rFonts w:hint="eastAsia" w:ascii="仿宋" w:hAnsi="仿宋" w:eastAsia="仿宋" w:cs="仿宋"/>
          <w:b/>
          <w:sz w:val="32"/>
          <w:szCs w:val="32"/>
        </w:rPr>
      </w:pPr>
      <w:r>
        <w:rPr>
          <w:rFonts w:hint="eastAsia" w:ascii="仿宋" w:hAnsi="仿宋" w:eastAsia="仿宋" w:cs="仿宋"/>
          <w:b/>
          <w:sz w:val="32"/>
          <w:szCs w:val="32"/>
        </w:rPr>
        <w:t>政府采购项目</w:t>
      </w:r>
      <w:r>
        <w:rPr>
          <w:rFonts w:hint="eastAsia" w:ascii="仿宋" w:hAnsi="仿宋" w:eastAsia="仿宋" w:cs="仿宋"/>
          <w:b/>
          <w:sz w:val="32"/>
          <w:szCs w:val="32"/>
        </w:rPr>
        <w:tab/>
      </w:r>
    </w:p>
    <w:p w14:paraId="405A91AE">
      <w:pPr>
        <w:tabs>
          <w:tab w:val="left" w:pos="7577"/>
        </w:tabs>
        <w:adjustRightInd w:val="0"/>
        <w:snapToGrid w:val="0"/>
        <w:spacing w:line="360" w:lineRule="auto"/>
        <w:rPr>
          <w:rFonts w:hint="eastAsia" w:ascii="仿宋" w:hAnsi="仿宋" w:eastAsia="仿宋" w:cs="仿宋"/>
          <w:b/>
          <w:sz w:val="32"/>
          <w:szCs w:val="32"/>
        </w:rPr>
      </w:pPr>
      <w:r>
        <w:rPr>
          <w:rFonts w:hint="eastAsia" w:ascii="仿宋" w:hAnsi="仿宋" w:eastAsia="仿宋" w:cs="仿宋"/>
          <w:b/>
          <w:sz w:val="32"/>
          <w:szCs w:val="32"/>
        </w:rPr>
        <w:t>政采-西安市-****-***** </w:t>
      </w:r>
    </w:p>
    <w:p w14:paraId="017B6692">
      <w:pPr>
        <w:spacing w:line="360" w:lineRule="auto"/>
        <w:rPr>
          <w:rFonts w:hint="eastAsia" w:ascii="仿宋" w:hAnsi="仿宋" w:eastAsia="仿宋" w:cs="仿宋"/>
          <w:b/>
          <w:color w:val="000000"/>
          <w:sz w:val="28"/>
          <w:szCs w:val="28"/>
        </w:rPr>
      </w:pPr>
    </w:p>
    <w:p w14:paraId="37CEDD3D">
      <w:pPr>
        <w:pStyle w:val="6"/>
        <w:spacing w:line="360" w:lineRule="auto"/>
        <w:ind w:left="0" w:leftChars="0" w:firstLine="0" w:firstLineChars="0"/>
        <w:rPr>
          <w:rFonts w:hint="eastAsia" w:ascii="仿宋" w:hAnsi="仿宋" w:eastAsia="仿宋" w:cs="仿宋"/>
        </w:rPr>
      </w:pPr>
    </w:p>
    <w:p w14:paraId="06C6FBBE">
      <w:pPr>
        <w:pStyle w:val="6"/>
        <w:spacing w:line="360" w:lineRule="auto"/>
        <w:rPr>
          <w:rFonts w:hint="eastAsia" w:ascii="仿宋" w:hAnsi="仿宋" w:eastAsia="仿宋" w:cs="仿宋"/>
        </w:rPr>
      </w:pPr>
    </w:p>
    <w:p w14:paraId="31BC2016">
      <w:pPr>
        <w:pStyle w:val="6"/>
        <w:spacing w:line="360" w:lineRule="auto"/>
        <w:rPr>
          <w:rFonts w:hint="eastAsia" w:ascii="仿宋" w:hAnsi="仿宋" w:eastAsia="仿宋" w:cs="仿宋"/>
        </w:rPr>
      </w:pPr>
    </w:p>
    <w:p w14:paraId="0A0B556E">
      <w:pPr>
        <w:adjustRightInd w:val="0"/>
        <w:snapToGrid w:val="0"/>
        <w:spacing w:line="360" w:lineRule="auto"/>
        <w:jc w:val="center"/>
        <w:rPr>
          <w:rFonts w:hint="eastAsia" w:ascii="仿宋" w:hAnsi="仿宋" w:eastAsia="仿宋" w:cs="仿宋"/>
          <w:b/>
          <w:sz w:val="48"/>
          <w:szCs w:val="48"/>
        </w:rPr>
      </w:pPr>
      <w:r>
        <w:rPr>
          <w:rFonts w:hint="eastAsia" w:ascii="仿宋" w:hAnsi="仿宋" w:eastAsia="仿宋" w:cs="仿宋"/>
          <w:b/>
          <w:sz w:val="48"/>
          <w:szCs w:val="48"/>
        </w:rPr>
        <w:t>西安市中医医院</w:t>
      </w:r>
    </w:p>
    <w:p w14:paraId="00C554A4">
      <w:pPr>
        <w:adjustRightInd w:val="0"/>
        <w:snapToGrid w:val="0"/>
        <w:spacing w:line="360" w:lineRule="auto"/>
        <w:jc w:val="center"/>
        <w:rPr>
          <w:rFonts w:hint="eastAsia" w:ascii="仿宋" w:hAnsi="仿宋" w:eastAsia="仿宋" w:cs="仿宋"/>
          <w:b/>
          <w:sz w:val="48"/>
          <w:szCs w:val="48"/>
        </w:rPr>
      </w:pPr>
      <w:r>
        <w:rPr>
          <w:rFonts w:hint="eastAsia" w:ascii="仿宋" w:hAnsi="仿宋" w:eastAsia="仿宋" w:cs="仿宋"/>
          <w:b/>
          <w:sz w:val="48"/>
          <w:szCs w:val="48"/>
          <w:lang w:val="en-US" w:eastAsia="zh-CN"/>
        </w:rPr>
        <w:t>中药质量提升</w:t>
      </w:r>
      <w:r>
        <w:rPr>
          <w:rFonts w:hint="eastAsia" w:ascii="仿宋" w:hAnsi="仿宋" w:eastAsia="仿宋" w:cs="仿宋"/>
          <w:b/>
          <w:sz w:val="48"/>
          <w:szCs w:val="48"/>
        </w:rPr>
        <w:t>项目</w:t>
      </w:r>
    </w:p>
    <w:p w14:paraId="2B0F9D1C">
      <w:pPr>
        <w:adjustRightInd w:val="0"/>
        <w:snapToGrid w:val="0"/>
        <w:spacing w:line="360" w:lineRule="auto"/>
        <w:jc w:val="center"/>
        <w:rPr>
          <w:rFonts w:hint="eastAsia" w:ascii="仿宋" w:hAnsi="仿宋" w:eastAsia="仿宋" w:cs="仿宋"/>
          <w:b/>
          <w:sz w:val="48"/>
          <w:szCs w:val="48"/>
          <w:lang w:eastAsia="zh-Hans"/>
        </w:rPr>
      </w:pPr>
      <w:r>
        <w:rPr>
          <w:rFonts w:hint="eastAsia" w:ascii="仿宋" w:hAnsi="仿宋" w:eastAsia="仿宋" w:cs="仿宋"/>
          <w:b/>
          <w:sz w:val="48"/>
          <w:szCs w:val="48"/>
          <w:lang w:eastAsia="zh-Hans"/>
        </w:rPr>
        <w:t>采购合同</w:t>
      </w:r>
    </w:p>
    <w:p w14:paraId="4C375C5C">
      <w:pPr>
        <w:widowControl/>
        <w:spacing w:line="360" w:lineRule="auto"/>
        <w:jc w:val="left"/>
        <w:rPr>
          <w:rFonts w:hint="eastAsia" w:ascii="仿宋" w:hAnsi="仿宋" w:eastAsia="仿宋" w:cs="仿宋"/>
          <w:b/>
          <w:sz w:val="28"/>
          <w:szCs w:val="28"/>
        </w:rPr>
      </w:pPr>
      <w:r>
        <w:rPr>
          <w:rFonts w:hint="eastAsia" w:ascii="仿宋" w:hAnsi="仿宋" w:eastAsia="仿宋" w:cs="仿宋"/>
          <w:b/>
          <w:sz w:val="28"/>
          <w:szCs w:val="28"/>
        </w:rPr>
        <w:t xml:space="preserve">               （项目编号：**********-**-*****）</w:t>
      </w:r>
    </w:p>
    <w:p w14:paraId="6BCA6540">
      <w:pPr>
        <w:spacing w:line="360" w:lineRule="auto"/>
        <w:jc w:val="both"/>
        <w:rPr>
          <w:rFonts w:hint="eastAsia" w:ascii="仿宋" w:hAnsi="仿宋" w:eastAsia="仿宋" w:cs="仿宋"/>
          <w:color w:val="000000"/>
          <w:sz w:val="28"/>
          <w:szCs w:val="28"/>
        </w:rPr>
      </w:pPr>
    </w:p>
    <w:p w14:paraId="680517C1">
      <w:pPr>
        <w:spacing w:line="360" w:lineRule="auto"/>
        <w:rPr>
          <w:rFonts w:hint="eastAsia" w:ascii="仿宋" w:hAnsi="仿宋" w:eastAsia="仿宋" w:cs="仿宋"/>
          <w:color w:val="000000"/>
          <w:sz w:val="28"/>
          <w:szCs w:val="28"/>
        </w:rPr>
      </w:pPr>
    </w:p>
    <w:p w14:paraId="36EC6C1B">
      <w:pPr>
        <w:tabs>
          <w:tab w:val="left" w:pos="7938"/>
        </w:tabs>
        <w:adjustRightInd w:val="0"/>
        <w:snapToGrid w:val="0"/>
        <w:spacing w:line="360" w:lineRule="auto"/>
        <w:rPr>
          <w:rFonts w:hint="eastAsia" w:ascii="仿宋" w:hAnsi="仿宋" w:eastAsia="仿宋" w:cs="仿宋"/>
          <w:b/>
          <w:sz w:val="32"/>
          <w:szCs w:val="32"/>
        </w:rPr>
      </w:pPr>
    </w:p>
    <w:p w14:paraId="6D65DF47">
      <w:pPr>
        <w:tabs>
          <w:tab w:val="left" w:pos="7938"/>
        </w:tabs>
        <w:adjustRightInd w:val="0"/>
        <w:snapToGrid w:val="0"/>
        <w:spacing w:line="360" w:lineRule="auto"/>
        <w:ind w:firstLine="2021" w:firstLineChars="629"/>
        <w:rPr>
          <w:rFonts w:hint="eastAsia" w:ascii="仿宋" w:hAnsi="仿宋" w:eastAsia="仿宋" w:cs="仿宋"/>
          <w:b/>
          <w:sz w:val="32"/>
          <w:szCs w:val="32"/>
        </w:rPr>
      </w:pPr>
      <w:r>
        <w:rPr>
          <w:rFonts w:hint="eastAsia" w:ascii="仿宋" w:hAnsi="仿宋" w:eastAsia="仿宋" w:cs="仿宋"/>
          <w:b/>
          <w:sz w:val="32"/>
          <w:szCs w:val="32"/>
        </w:rPr>
        <w:t>甲  方：西安市中医医院</w:t>
      </w:r>
    </w:p>
    <w:p w14:paraId="55BDADE6">
      <w:pPr>
        <w:tabs>
          <w:tab w:val="left" w:pos="7938"/>
        </w:tabs>
        <w:adjustRightInd w:val="0"/>
        <w:snapToGrid w:val="0"/>
        <w:spacing w:line="360" w:lineRule="auto"/>
        <w:ind w:firstLine="2021" w:firstLineChars="629"/>
        <w:rPr>
          <w:rFonts w:hint="eastAsia" w:ascii="仿宋" w:hAnsi="仿宋" w:eastAsia="仿宋" w:cs="仿宋"/>
          <w:b/>
          <w:sz w:val="32"/>
          <w:szCs w:val="32"/>
        </w:rPr>
      </w:pPr>
      <w:r>
        <w:rPr>
          <w:rFonts w:hint="eastAsia" w:ascii="仿宋" w:hAnsi="仿宋" w:eastAsia="仿宋" w:cs="仿宋"/>
          <w:b/>
          <w:sz w:val="32"/>
          <w:szCs w:val="32"/>
        </w:rPr>
        <w:t xml:space="preserve">乙  方：               </w:t>
      </w:r>
    </w:p>
    <w:p w14:paraId="53BB3D7A">
      <w:pPr>
        <w:tabs>
          <w:tab w:val="left" w:pos="7938"/>
        </w:tabs>
        <w:adjustRightInd w:val="0"/>
        <w:snapToGrid w:val="0"/>
        <w:spacing w:line="360" w:lineRule="auto"/>
        <w:ind w:firstLine="2021" w:firstLineChars="629"/>
        <w:rPr>
          <w:rFonts w:hint="eastAsia" w:ascii="仿宋" w:hAnsi="仿宋" w:eastAsia="仿宋" w:cs="仿宋"/>
          <w:b/>
          <w:sz w:val="32"/>
          <w:szCs w:val="32"/>
          <w:lang w:eastAsia="zh-CN"/>
        </w:rPr>
      </w:pPr>
      <w:r>
        <w:rPr>
          <w:rFonts w:hint="eastAsia" w:ascii="仿宋" w:hAnsi="仿宋" w:eastAsia="仿宋" w:cs="仿宋"/>
          <w:b/>
          <w:sz w:val="32"/>
          <w:szCs w:val="32"/>
        </w:rPr>
        <w:t>鉴证方：</w:t>
      </w:r>
      <w:r>
        <w:rPr>
          <w:rFonts w:hint="eastAsia" w:ascii="仿宋" w:hAnsi="仿宋" w:eastAsia="仿宋" w:cs="仿宋"/>
          <w:b/>
          <w:sz w:val="32"/>
          <w:szCs w:val="32"/>
          <w:lang w:eastAsia="zh-CN"/>
        </w:rPr>
        <w:t>陕西中技招标有限公司</w:t>
      </w:r>
    </w:p>
    <w:p w14:paraId="660E704A">
      <w:pPr>
        <w:tabs>
          <w:tab w:val="left" w:pos="7938"/>
        </w:tabs>
        <w:adjustRightInd w:val="0"/>
        <w:snapToGrid w:val="0"/>
        <w:spacing w:line="360" w:lineRule="auto"/>
        <w:ind w:firstLine="2021" w:firstLineChars="629"/>
        <w:rPr>
          <w:rFonts w:hint="eastAsia" w:ascii="仿宋" w:hAnsi="仿宋" w:eastAsia="仿宋" w:cs="仿宋"/>
          <w:b/>
          <w:sz w:val="32"/>
          <w:szCs w:val="32"/>
        </w:rPr>
      </w:pPr>
      <w:r>
        <w:rPr>
          <w:rFonts w:hint="eastAsia" w:ascii="仿宋" w:hAnsi="仿宋" w:eastAsia="仿宋" w:cs="仿宋"/>
          <w:b/>
          <w:sz w:val="32"/>
          <w:szCs w:val="32"/>
        </w:rPr>
        <w:t xml:space="preserve"> </w:t>
      </w:r>
    </w:p>
    <w:p w14:paraId="7150E300">
      <w:pPr>
        <w:pStyle w:val="6"/>
        <w:spacing w:line="360" w:lineRule="auto"/>
        <w:ind w:left="0" w:leftChars="0" w:firstLine="0" w:firstLineChars="0"/>
        <w:rPr>
          <w:rFonts w:hint="eastAsia" w:ascii="仿宋" w:hAnsi="仿宋" w:eastAsia="仿宋" w:cs="仿宋"/>
        </w:rPr>
      </w:pPr>
    </w:p>
    <w:p w14:paraId="4D9DCA39">
      <w:pPr>
        <w:pStyle w:val="6"/>
        <w:spacing w:line="360" w:lineRule="auto"/>
        <w:ind w:left="0" w:leftChars="0" w:firstLine="0" w:firstLineChars="0"/>
        <w:rPr>
          <w:rFonts w:hint="eastAsia" w:ascii="仿宋" w:hAnsi="仿宋" w:eastAsia="仿宋" w:cs="仿宋"/>
        </w:rPr>
      </w:pPr>
    </w:p>
    <w:p w14:paraId="4A0CC4B1">
      <w:pPr>
        <w:pStyle w:val="6"/>
        <w:spacing w:line="360" w:lineRule="auto"/>
        <w:ind w:left="0" w:leftChars="0" w:firstLine="0" w:firstLineChars="0"/>
        <w:rPr>
          <w:rFonts w:hint="eastAsia" w:ascii="仿宋" w:hAnsi="仿宋" w:eastAsia="仿宋" w:cs="仿宋"/>
        </w:rPr>
      </w:pPr>
    </w:p>
    <w:p w14:paraId="66CF55F1">
      <w:pPr>
        <w:pStyle w:val="6"/>
        <w:spacing w:line="360" w:lineRule="auto"/>
        <w:rPr>
          <w:rFonts w:hint="eastAsia" w:ascii="仿宋" w:hAnsi="仿宋" w:eastAsia="仿宋" w:cs="仿宋"/>
        </w:rPr>
      </w:pPr>
    </w:p>
    <w:p w14:paraId="3F51C06C">
      <w:pPr>
        <w:tabs>
          <w:tab w:val="left" w:pos="8080"/>
        </w:tabs>
        <w:adjustRightInd w:val="0"/>
        <w:snapToGrid w:val="0"/>
        <w:spacing w:line="360" w:lineRule="auto"/>
        <w:jc w:val="center"/>
        <w:rPr>
          <w:rFonts w:hint="eastAsia" w:ascii="仿宋" w:hAnsi="仿宋" w:eastAsia="仿宋" w:cs="仿宋"/>
          <w:b/>
          <w:spacing w:val="24"/>
          <w:sz w:val="28"/>
          <w:szCs w:val="28"/>
        </w:rPr>
      </w:pPr>
      <w:r>
        <w:rPr>
          <w:rFonts w:hint="eastAsia" w:ascii="仿宋" w:hAnsi="仿宋" w:eastAsia="仿宋" w:cs="仿宋"/>
          <w:b/>
          <w:spacing w:val="24"/>
          <w:sz w:val="28"/>
          <w:szCs w:val="28"/>
        </w:rPr>
        <w:t>2024年</w:t>
      </w:r>
      <w:r>
        <w:rPr>
          <w:rFonts w:hint="eastAsia" w:ascii="仿宋" w:hAnsi="仿宋" w:eastAsia="仿宋" w:cs="仿宋"/>
          <w:b/>
          <w:spacing w:val="24"/>
          <w:sz w:val="28"/>
          <w:szCs w:val="28"/>
          <w:lang w:val="en-US" w:eastAsia="zh-CN"/>
        </w:rPr>
        <w:t>11</w:t>
      </w:r>
      <w:r>
        <w:rPr>
          <w:rFonts w:hint="eastAsia" w:ascii="仿宋" w:hAnsi="仿宋" w:eastAsia="仿宋" w:cs="仿宋"/>
          <w:b/>
          <w:spacing w:val="24"/>
          <w:sz w:val="28"/>
          <w:szCs w:val="28"/>
        </w:rPr>
        <w:t>月</w:t>
      </w:r>
    </w:p>
    <w:p w14:paraId="7B5BDA91">
      <w:pPr>
        <w:tabs>
          <w:tab w:val="left" w:pos="8080"/>
        </w:tabs>
        <w:adjustRightInd w:val="0"/>
        <w:snapToGrid w:val="0"/>
        <w:spacing w:line="360" w:lineRule="auto"/>
        <w:jc w:val="center"/>
        <w:rPr>
          <w:rFonts w:hint="eastAsia" w:ascii="仿宋" w:hAnsi="仿宋" w:eastAsia="仿宋" w:cs="仿宋"/>
          <w:b/>
          <w:spacing w:val="24"/>
          <w:sz w:val="28"/>
          <w:szCs w:val="28"/>
        </w:rPr>
        <w:sectPr>
          <w:pgSz w:w="11910" w:h="16840"/>
          <w:pgMar w:top="1134" w:right="941" w:bottom="998" w:left="1298" w:header="0" w:footer="816" w:gutter="0"/>
          <w:pgNumType w:fmt="decimal"/>
          <w:cols w:space="720" w:num="1"/>
        </w:sectPr>
      </w:pPr>
      <w:r>
        <w:rPr>
          <w:rFonts w:hint="eastAsia" w:ascii="仿宋" w:hAnsi="仿宋" w:eastAsia="仿宋" w:cs="仿宋"/>
          <w:b/>
          <w:spacing w:val="24"/>
          <w:sz w:val="28"/>
          <w:szCs w:val="28"/>
        </w:rPr>
        <w:t>中国  西安</w:t>
      </w:r>
    </w:p>
    <w:tbl>
      <w:tblPr>
        <w:tblStyle w:val="7"/>
        <w:tblpPr w:leftFromText="180" w:rightFromText="180" w:vertAnchor="text" w:horzAnchor="margin" w:tblpXSpec="right" w:tblpY="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032BD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78" w:type="dxa"/>
            <w:noWrap w:val="0"/>
            <w:vAlign w:val="top"/>
          </w:tcPr>
          <w:p w14:paraId="54B9460B">
            <w:pPr>
              <w:adjustRightInd w:val="0"/>
              <w:snapToGrid w:val="0"/>
              <w:spacing w:line="360" w:lineRule="auto"/>
              <w:rPr>
                <w:rFonts w:hint="eastAsia" w:ascii="仿宋" w:hAnsi="仿宋" w:eastAsia="仿宋" w:cs="仿宋"/>
                <w:sz w:val="24"/>
              </w:rPr>
            </w:pPr>
            <w:r>
              <w:rPr>
                <w:rFonts w:hint="eastAsia" w:ascii="仿宋" w:hAnsi="仿宋" w:eastAsia="仿宋" w:cs="仿宋"/>
                <w:b/>
                <w:bCs/>
                <w:sz w:val="24"/>
              </w:rPr>
              <w:t>制式</w:t>
            </w:r>
          </w:p>
        </w:tc>
      </w:tr>
    </w:tbl>
    <w:p w14:paraId="50E5B54B">
      <w:pPr>
        <w:spacing w:before="120" w:beforeLines="50" w:after="120" w:afterLines="50" w:line="36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 xml:space="preserve">  采购合同</w:t>
      </w:r>
    </w:p>
    <w:p w14:paraId="35526BA4">
      <w:pPr>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  方：</w:t>
      </w:r>
      <w:r>
        <w:rPr>
          <w:rFonts w:hint="eastAsia" w:ascii="仿宋" w:hAnsi="仿宋" w:eastAsia="仿宋" w:cs="仿宋"/>
          <w:color w:val="000000"/>
          <w:sz w:val="24"/>
          <w:szCs w:val="24"/>
          <w:u w:val="single"/>
        </w:rPr>
        <w:t xml:space="preserve">                        </w:t>
      </w:r>
    </w:p>
    <w:p w14:paraId="2CA6904E">
      <w:pPr>
        <w:tabs>
          <w:tab w:val="left" w:pos="480"/>
        </w:tabs>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  方：</w:t>
      </w:r>
      <w:r>
        <w:rPr>
          <w:rFonts w:hint="eastAsia" w:ascii="仿宋" w:hAnsi="仿宋" w:eastAsia="仿宋" w:cs="仿宋"/>
          <w:color w:val="000000"/>
          <w:sz w:val="24"/>
          <w:szCs w:val="24"/>
          <w:u w:val="single"/>
        </w:rPr>
        <w:t xml:space="preserve">                        </w:t>
      </w:r>
    </w:p>
    <w:p w14:paraId="6172D096">
      <w:pPr>
        <w:tabs>
          <w:tab w:val="left" w:pos="480"/>
        </w:tabs>
        <w:spacing w:line="360" w:lineRule="auto"/>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鉴证方：</w:t>
      </w:r>
      <w:r>
        <w:rPr>
          <w:rFonts w:hint="eastAsia" w:ascii="仿宋" w:hAnsi="仿宋" w:eastAsia="仿宋" w:cs="仿宋"/>
          <w:color w:val="000000"/>
          <w:sz w:val="24"/>
          <w:szCs w:val="24"/>
          <w:lang w:eastAsia="zh-CN"/>
        </w:rPr>
        <w:t>陕西中技招标有限公司</w:t>
      </w:r>
    </w:p>
    <w:p w14:paraId="25A20304">
      <w:pPr>
        <w:tabs>
          <w:tab w:val="left" w:pos="480"/>
        </w:tabs>
        <w:spacing w:line="360" w:lineRule="auto"/>
        <w:ind w:firstLine="472" w:firstLineChars="200"/>
        <w:jc w:val="left"/>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根据《中华人民共和国政府采购法》、《中华人民共和国民法典》等有关法律法规规定，</w:t>
      </w:r>
      <w:r>
        <w:rPr>
          <w:rFonts w:hint="eastAsia" w:ascii="仿宋" w:hAnsi="仿宋" w:eastAsia="仿宋" w:cs="仿宋"/>
          <w:color w:val="000000"/>
          <w:spacing w:val="-2"/>
          <w:sz w:val="24"/>
          <w:szCs w:val="24"/>
          <w:u w:val="single"/>
        </w:rPr>
        <w:t xml:space="preserve">               </w:t>
      </w:r>
      <w:r>
        <w:rPr>
          <w:rFonts w:hint="eastAsia" w:ascii="仿宋" w:hAnsi="仿宋" w:eastAsia="仿宋" w:cs="仿宋"/>
          <w:color w:val="000000"/>
          <w:spacing w:val="-2"/>
          <w:sz w:val="24"/>
          <w:szCs w:val="24"/>
        </w:rPr>
        <w:t>（采购人名称）(以下简称：“甲方”)项目名称（项目编号：</w:t>
      </w:r>
      <w:r>
        <w:rPr>
          <w:rFonts w:hint="eastAsia" w:ascii="仿宋" w:hAnsi="仿宋" w:eastAsia="仿宋" w:cs="仿宋"/>
          <w:color w:val="000000"/>
          <w:spacing w:val="-2"/>
          <w:sz w:val="24"/>
          <w:szCs w:val="24"/>
          <w:u w:val="single"/>
        </w:rPr>
        <w:t xml:space="preserve">               </w:t>
      </w:r>
      <w:r>
        <w:rPr>
          <w:rFonts w:hint="eastAsia" w:ascii="仿宋" w:hAnsi="仿宋" w:eastAsia="仿宋" w:cs="仿宋"/>
          <w:color w:val="000000"/>
          <w:spacing w:val="-2"/>
          <w:sz w:val="24"/>
          <w:szCs w:val="24"/>
        </w:rPr>
        <w:t>）在由</w:t>
      </w:r>
      <w:r>
        <w:rPr>
          <w:rFonts w:hint="eastAsia" w:ascii="仿宋" w:hAnsi="仿宋" w:eastAsia="仿宋" w:cs="仿宋"/>
          <w:color w:val="000000"/>
          <w:sz w:val="24"/>
          <w:szCs w:val="24"/>
        </w:rPr>
        <w:t>陕西</w:t>
      </w:r>
      <w:r>
        <w:rPr>
          <w:rFonts w:hint="eastAsia" w:ascii="仿宋" w:hAnsi="仿宋" w:eastAsia="仿宋" w:cs="仿宋"/>
          <w:color w:val="000000"/>
          <w:sz w:val="24"/>
          <w:szCs w:val="24"/>
          <w:lang w:val="en-US" w:eastAsia="zh-CN"/>
        </w:rPr>
        <w:t>中技</w:t>
      </w:r>
      <w:r>
        <w:rPr>
          <w:rFonts w:hint="eastAsia" w:ascii="仿宋" w:hAnsi="仿宋" w:eastAsia="仿宋" w:cs="仿宋"/>
          <w:color w:val="000000"/>
          <w:sz w:val="24"/>
          <w:szCs w:val="24"/>
        </w:rPr>
        <w:t>招标有限公司</w:t>
      </w:r>
      <w:r>
        <w:rPr>
          <w:rFonts w:hint="eastAsia" w:ascii="仿宋" w:hAnsi="仿宋" w:eastAsia="仿宋" w:cs="仿宋"/>
          <w:color w:val="000000"/>
          <w:spacing w:val="-2"/>
          <w:sz w:val="24"/>
          <w:szCs w:val="24"/>
        </w:rPr>
        <w:t>组织，通过公开招标采购确定</w:t>
      </w:r>
      <w:r>
        <w:rPr>
          <w:rFonts w:hint="eastAsia" w:ascii="仿宋" w:hAnsi="仿宋" w:eastAsia="仿宋" w:cs="仿宋"/>
          <w:color w:val="000000"/>
          <w:spacing w:val="-2"/>
          <w:sz w:val="24"/>
          <w:szCs w:val="24"/>
          <w:u w:val="single"/>
        </w:rPr>
        <w:t xml:space="preserve">            </w:t>
      </w:r>
      <w:r>
        <w:rPr>
          <w:rFonts w:hint="eastAsia" w:ascii="仿宋" w:hAnsi="仿宋" w:eastAsia="仿宋" w:cs="仿宋"/>
          <w:color w:val="000000"/>
          <w:spacing w:val="-2"/>
          <w:sz w:val="24"/>
          <w:szCs w:val="24"/>
        </w:rPr>
        <w:t>（中标人名称）(以下简称：“乙方”)为</w:t>
      </w:r>
      <w:r>
        <w:rPr>
          <w:rFonts w:hint="eastAsia" w:ascii="仿宋" w:hAnsi="仿宋" w:eastAsia="仿宋" w:cs="仿宋"/>
          <w:color w:val="000000"/>
          <w:spacing w:val="-2"/>
          <w:sz w:val="24"/>
          <w:szCs w:val="24"/>
          <w:u w:val="single"/>
        </w:rPr>
        <w:t xml:space="preserve">               </w:t>
      </w:r>
      <w:r>
        <w:rPr>
          <w:rFonts w:hint="eastAsia" w:ascii="仿宋" w:hAnsi="仿宋" w:eastAsia="仿宋" w:cs="仿宋"/>
          <w:color w:val="000000"/>
          <w:spacing w:val="-2"/>
          <w:sz w:val="24"/>
          <w:szCs w:val="24"/>
        </w:rPr>
        <w:t>项目(项目名称)的乙方。经甲、乙双方同意，鉴证方确认，签署《</w:t>
      </w:r>
      <w:r>
        <w:rPr>
          <w:rFonts w:hint="eastAsia" w:ascii="仿宋" w:hAnsi="仿宋" w:eastAsia="仿宋" w:cs="仿宋"/>
          <w:color w:val="000000"/>
          <w:spacing w:val="-2"/>
          <w:sz w:val="24"/>
          <w:szCs w:val="24"/>
          <w:u w:val="single"/>
        </w:rPr>
        <w:t xml:space="preserve">             </w:t>
      </w:r>
      <w:r>
        <w:rPr>
          <w:rFonts w:hint="eastAsia" w:ascii="仿宋" w:hAnsi="仿宋" w:eastAsia="仿宋" w:cs="仿宋"/>
          <w:color w:val="000000"/>
          <w:spacing w:val="-2"/>
          <w:sz w:val="24"/>
          <w:szCs w:val="24"/>
        </w:rPr>
        <w:t>合同》（合同编号：</w:t>
      </w:r>
      <w:r>
        <w:rPr>
          <w:rFonts w:hint="eastAsia" w:ascii="仿宋" w:hAnsi="仿宋" w:eastAsia="仿宋" w:cs="仿宋"/>
          <w:color w:val="000000"/>
          <w:spacing w:val="-2"/>
          <w:sz w:val="24"/>
          <w:szCs w:val="24"/>
          <w:u w:val="single"/>
        </w:rPr>
        <w:t xml:space="preserve">             </w:t>
      </w:r>
      <w:r>
        <w:rPr>
          <w:rFonts w:hint="eastAsia" w:ascii="仿宋" w:hAnsi="仿宋" w:eastAsia="仿宋" w:cs="仿宋"/>
          <w:color w:val="000000"/>
          <w:spacing w:val="-2"/>
          <w:sz w:val="24"/>
          <w:szCs w:val="24"/>
        </w:rPr>
        <w:t>，以下简称：“合同”）。</w:t>
      </w:r>
    </w:p>
    <w:p w14:paraId="0417ACEA">
      <w:pPr>
        <w:numPr>
          <w:ilvl w:val="0"/>
          <w:numId w:val="1"/>
        </w:numPr>
        <w:snapToGrid w:val="0"/>
        <w:spacing w:line="360" w:lineRule="auto"/>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合同标的物内容及数量（以响应文件正本和澄清表〈函〉为准）</w:t>
      </w:r>
    </w:p>
    <w:p w14:paraId="7BE54E35">
      <w:pPr>
        <w:tabs>
          <w:tab w:val="left" w:pos="480"/>
        </w:tabs>
        <w:spacing w:line="360" w:lineRule="auto"/>
        <w:ind w:firstLine="472" w:firstLineChars="200"/>
        <w:jc w:val="left"/>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乙方应按照合同的规定，提供本项目《招标（采购）文件》中有关要求的产品，包括但不限于以下内容（详细建设内容见附件）：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39"/>
        <w:gridCol w:w="1260"/>
        <w:gridCol w:w="1053"/>
        <w:gridCol w:w="993"/>
        <w:gridCol w:w="1134"/>
        <w:gridCol w:w="992"/>
        <w:gridCol w:w="834"/>
      </w:tblGrid>
      <w:tr w14:paraId="3244F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993" w:type="dxa"/>
            <w:noWrap w:val="0"/>
            <w:vAlign w:val="center"/>
          </w:tcPr>
          <w:p w14:paraId="01AC05D1">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序号</w:t>
            </w:r>
          </w:p>
        </w:tc>
        <w:tc>
          <w:tcPr>
            <w:tcW w:w="1939" w:type="dxa"/>
            <w:noWrap w:val="0"/>
            <w:vAlign w:val="center"/>
          </w:tcPr>
          <w:p w14:paraId="26AD50F6">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产品名称</w:t>
            </w:r>
          </w:p>
        </w:tc>
        <w:tc>
          <w:tcPr>
            <w:tcW w:w="1260" w:type="dxa"/>
            <w:noWrap w:val="0"/>
            <w:vAlign w:val="center"/>
          </w:tcPr>
          <w:p w14:paraId="172F97BD">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型号</w:t>
            </w:r>
          </w:p>
        </w:tc>
        <w:tc>
          <w:tcPr>
            <w:tcW w:w="1053" w:type="dxa"/>
            <w:noWrap w:val="0"/>
            <w:vAlign w:val="center"/>
          </w:tcPr>
          <w:p w14:paraId="47414E2A">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产地</w:t>
            </w:r>
          </w:p>
        </w:tc>
        <w:tc>
          <w:tcPr>
            <w:tcW w:w="993" w:type="dxa"/>
            <w:noWrap w:val="0"/>
            <w:vAlign w:val="center"/>
          </w:tcPr>
          <w:p w14:paraId="7CE516A6">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数量</w:t>
            </w:r>
          </w:p>
        </w:tc>
        <w:tc>
          <w:tcPr>
            <w:tcW w:w="1134" w:type="dxa"/>
            <w:noWrap w:val="0"/>
            <w:vAlign w:val="center"/>
          </w:tcPr>
          <w:p w14:paraId="3008C778">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单价</w:t>
            </w:r>
          </w:p>
        </w:tc>
        <w:tc>
          <w:tcPr>
            <w:tcW w:w="992" w:type="dxa"/>
            <w:noWrap w:val="0"/>
            <w:vAlign w:val="center"/>
          </w:tcPr>
          <w:p w14:paraId="72B18F05">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总价</w:t>
            </w:r>
          </w:p>
        </w:tc>
        <w:tc>
          <w:tcPr>
            <w:tcW w:w="834" w:type="dxa"/>
            <w:noWrap w:val="0"/>
            <w:vAlign w:val="center"/>
          </w:tcPr>
          <w:p w14:paraId="01A5ECFC">
            <w:pPr>
              <w:widowControl/>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备注</w:t>
            </w:r>
          </w:p>
        </w:tc>
      </w:tr>
      <w:tr w14:paraId="616D6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93" w:type="dxa"/>
            <w:noWrap w:val="0"/>
            <w:vAlign w:val="center"/>
          </w:tcPr>
          <w:p w14:paraId="5EE66B46">
            <w:pPr>
              <w:widowControl/>
              <w:adjustRightInd w:val="0"/>
              <w:snapToGrid w:val="0"/>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1</w:t>
            </w:r>
          </w:p>
        </w:tc>
        <w:tc>
          <w:tcPr>
            <w:tcW w:w="1939" w:type="dxa"/>
            <w:noWrap w:val="0"/>
            <w:vAlign w:val="center"/>
          </w:tcPr>
          <w:p w14:paraId="6E5F35FB">
            <w:pPr>
              <w:widowControl/>
              <w:adjustRightInd w:val="0"/>
              <w:snapToGrid w:val="0"/>
              <w:spacing w:line="360" w:lineRule="auto"/>
              <w:jc w:val="center"/>
              <w:rPr>
                <w:rFonts w:hint="eastAsia" w:ascii="仿宋" w:hAnsi="仿宋" w:eastAsia="仿宋" w:cs="仿宋"/>
                <w:bCs/>
                <w:kern w:val="0"/>
                <w:sz w:val="24"/>
                <w:szCs w:val="24"/>
              </w:rPr>
            </w:pPr>
          </w:p>
        </w:tc>
        <w:tc>
          <w:tcPr>
            <w:tcW w:w="1260" w:type="dxa"/>
            <w:noWrap w:val="0"/>
            <w:vAlign w:val="center"/>
          </w:tcPr>
          <w:p w14:paraId="2919EAAC">
            <w:pPr>
              <w:widowControl/>
              <w:spacing w:line="360" w:lineRule="auto"/>
              <w:jc w:val="center"/>
              <w:rPr>
                <w:rFonts w:hint="eastAsia" w:ascii="仿宋" w:hAnsi="仿宋" w:eastAsia="仿宋" w:cs="仿宋"/>
                <w:bCs/>
                <w:kern w:val="0"/>
                <w:sz w:val="24"/>
                <w:szCs w:val="24"/>
              </w:rPr>
            </w:pPr>
          </w:p>
        </w:tc>
        <w:tc>
          <w:tcPr>
            <w:tcW w:w="1053" w:type="dxa"/>
            <w:noWrap w:val="0"/>
            <w:vAlign w:val="center"/>
          </w:tcPr>
          <w:p w14:paraId="6DBFE7DF">
            <w:pPr>
              <w:widowControl/>
              <w:spacing w:line="360" w:lineRule="auto"/>
              <w:jc w:val="center"/>
              <w:rPr>
                <w:rFonts w:hint="eastAsia" w:ascii="仿宋" w:hAnsi="仿宋" w:eastAsia="仿宋" w:cs="仿宋"/>
                <w:bCs/>
                <w:kern w:val="0"/>
                <w:sz w:val="24"/>
                <w:szCs w:val="24"/>
              </w:rPr>
            </w:pPr>
          </w:p>
        </w:tc>
        <w:tc>
          <w:tcPr>
            <w:tcW w:w="993" w:type="dxa"/>
            <w:noWrap w:val="0"/>
            <w:vAlign w:val="center"/>
          </w:tcPr>
          <w:p w14:paraId="474B2BFB">
            <w:pPr>
              <w:widowControl/>
              <w:adjustRightInd w:val="0"/>
              <w:snapToGrid w:val="0"/>
              <w:spacing w:line="360" w:lineRule="auto"/>
              <w:jc w:val="center"/>
              <w:rPr>
                <w:rFonts w:hint="eastAsia" w:ascii="仿宋" w:hAnsi="仿宋" w:eastAsia="仿宋" w:cs="仿宋"/>
                <w:bCs/>
                <w:kern w:val="0"/>
                <w:sz w:val="24"/>
                <w:szCs w:val="24"/>
              </w:rPr>
            </w:pPr>
          </w:p>
        </w:tc>
        <w:tc>
          <w:tcPr>
            <w:tcW w:w="1134" w:type="dxa"/>
            <w:noWrap w:val="0"/>
            <w:vAlign w:val="center"/>
          </w:tcPr>
          <w:p w14:paraId="4FCADC48">
            <w:pPr>
              <w:widowControl/>
              <w:autoSpaceDN w:val="0"/>
              <w:spacing w:line="360" w:lineRule="auto"/>
              <w:jc w:val="center"/>
              <w:textAlignment w:val="center"/>
              <w:rPr>
                <w:rFonts w:hint="eastAsia" w:ascii="仿宋" w:hAnsi="仿宋" w:eastAsia="仿宋" w:cs="仿宋"/>
                <w:bCs/>
                <w:kern w:val="0"/>
                <w:sz w:val="24"/>
                <w:szCs w:val="24"/>
              </w:rPr>
            </w:pPr>
          </w:p>
        </w:tc>
        <w:tc>
          <w:tcPr>
            <w:tcW w:w="992" w:type="dxa"/>
            <w:noWrap w:val="0"/>
            <w:vAlign w:val="center"/>
          </w:tcPr>
          <w:p w14:paraId="17106F1A">
            <w:pPr>
              <w:widowControl/>
              <w:autoSpaceDN w:val="0"/>
              <w:spacing w:line="360" w:lineRule="auto"/>
              <w:jc w:val="center"/>
              <w:textAlignment w:val="center"/>
              <w:rPr>
                <w:rFonts w:hint="eastAsia" w:ascii="仿宋" w:hAnsi="仿宋" w:eastAsia="仿宋" w:cs="仿宋"/>
                <w:bCs/>
                <w:kern w:val="0"/>
                <w:sz w:val="24"/>
                <w:szCs w:val="24"/>
              </w:rPr>
            </w:pPr>
          </w:p>
        </w:tc>
        <w:tc>
          <w:tcPr>
            <w:tcW w:w="834" w:type="dxa"/>
            <w:noWrap w:val="0"/>
            <w:vAlign w:val="center"/>
          </w:tcPr>
          <w:p w14:paraId="58AF0280">
            <w:pPr>
              <w:widowControl/>
              <w:autoSpaceDN w:val="0"/>
              <w:spacing w:line="360" w:lineRule="auto"/>
              <w:jc w:val="center"/>
              <w:textAlignment w:val="center"/>
              <w:rPr>
                <w:rFonts w:hint="eastAsia" w:ascii="仿宋" w:hAnsi="仿宋" w:eastAsia="仿宋" w:cs="仿宋"/>
                <w:bCs/>
                <w:kern w:val="0"/>
                <w:sz w:val="24"/>
                <w:szCs w:val="24"/>
              </w:rPr>
            </w:pPr>
          </w:p>
        </w:tc>
      </w:tr>
      <w:tr w14:paraId="67F2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993" w:type="dxa"/>
            <w:noWrap w:val="0"/>
            <w:vAlign w:val="center"/>
          </w:tcPr>
          <w:p w14:paraId="0AB281BE">
            <w:pPr>
              <w:widowControl/>
              <w:adjustRightInd w:val="0"/>
              <w:snapToGrid w:val="0"/>
              <w:spacing w:line="360" w:lineRule="auto"/>
              <w:jc w:val="center"/>
              <w:rPr>
                <w:rFonts w:hint="eastAsia" w:ascii="仿宋" w:hAnsi="仿宋" w:eastAsia="仿宋" w:cs="仿宋"/>
                <w:bCs/>
                <w:kern w:val="0"/>
                <w:sz w:val="24"/>
                <w:szCs w:val="24"/>
              </w:rPr>
            </w:pPr>
          </w:p>
        </w:tc>
        <w:tc>
          <w:tcPr>
            <w:tcW w:w="1939" w:type="dxa"/>
            <w:noWrap w:val="0"/>
            <w:vAlign w:val="center"/>
          </w:tcPr>
          <w:p w14:paraId="3FA9B152">
            <w:pPr>
              <w:widowControl/>
              <w:adjustRightInd w:val="0"/>
              <w:snapToGrid w:val="0"/>
              <w:spacing w:line="360" w:lineRule="auto"/>
              <w:jc w:val="center"/>
              <w:rPr>
                <w:rFonts w:hint="eastAsia" w:ascii="仿宋" w:hAnsi="仿宋" w:eastAsia="仿宋" w:cs="仿宋"/>
                <w:bCs/>
                <w:kern w:val="0"/>
                <w:sz w:val="24"/>
                <w:szCs w:val="24"/>
              </w:rPr>
            </w:pPr>
          </w:p>
        </w:tc>
        <w:tc>
          <w:tcPr>
            <w:tcW w:w="1260" w:type="dxa"/>
            <w:noWrap w:val="0"/>
            <w:vAlign w:val="center"/>
          </w:tcPr>
          <w:p w14:paraId="1480D000">
            <w:pPr>
              <w:widowControl/>
              <w:spacing w:line="360" w:lineRule="auto"/>
              <w:jc w:val="center"/>
              <w:rPr>
                <w:rFonts w:hint="eastAsia" w:ascii="仿宋" w:hAnsi="仿宋" w:eastAsia="仿宋" w:cs="仿宋"/>
                <w:bCs/>
                <w:kern w:val="0"/>
                <w:sz w:val="24"/>
                <w:szCs w:val="24"/>
              </w:rPr>
            </w:pPr>
          </w:p>
        </w:tc>
        <w:tc>
          <w:tcPr>
            <w:tcW w:w="1053" w:type="dxa"/>
            <w:noWrap w:val="0"/>
            <w:vAlign w:val="center"/>
          </w:tcPr>
          <w:p w14:paraId="48FF71EF">
            <w:pPr>
              <w:widowControl/>
              <w:spacing w:line="360" w:lineRule="auto"/>
              <w:jc w:val="center"/>
              <w:rPr>
                <w:rFonts w:hint="eastAsia" w:ascii="仿宋" w:hAnsi="仿宋" w:eastAsia="仿宋" w:cs="仿宋"/>
                <w:bCs/>
                <w:kern w:val="0"/>
                <w:sz w:val="24"/>
                <w:szCs w:val="24"/>
              </w:rPr>
            </w:pPr>
          </w:p>
        </w:tc>
        <w:tc>
          <w:tcPr>
            <w:tcW w:w="993" w:type="dxa"/>
            <w:noWrap w:val="0"/>
            <w:vAlign w:val="center"/>
          </w:tcPr>
          <w:p w14:paraId="7A87F22B">
            <w:pPr>
              <w:widowControl/>
              <w:adjustRightInd w:val="0"/>
              <w:snapToGrid w:val="0"/>
              <w:spacing w:line="360" w:lineRule="auto"/>
              <w:jc w:val="center"/>
              <w:rPr>
                <w:rFonts w:hint="eastAsia" w:ascii="仿宋" w:hAnsi="仿宋" w:eastAsia="仿宋" w:cs="仿宋"/>
                <w:bCs/>
                <w:kern w:val="0"/>
                <w:sz w:val="24"/>
                <w:szCs w:val="24"/>
              </w:rPr>
            </w:pPr>
          </w:p>
        </w:tc>
        <w:tc>
          <w:tcPr>
            <w:tcW w:w="1134" w:type="dxa"/>
            <w:noWrap w:val="0"/>
            <w:vAlign w:val="center"/>
          </w:tcPr>
          <w:p w14:paraId="6F693C4E">
            <w:pPr>
              <w:widowControl/>
              <w:autoSpaceDN w:val="0"/>
              <w:spacing w:line="360" w:lineRule="auto"/>
              <w:jc w:val="center"/>
              <w:textAlignment w:val="center"/>
              <w:rPr>
                <w:rFonts w:hint="eastAsia" w:ascii="仿宋" w:hAnsi="仿宋" w:eastAsia="仿宋" w:cs="仿宋"/>
                <w:bCs/>
                <w:kern w:val="0"/>
                <w:sz w:val="24"/>
                <w:szCs w:val="24"/>
              </w:rPr>
            </w:pPr>
          </w:p>
        </w:tc>
        <w:tc>
          <w:tcPr>
            <w:tcW w:w="992" w:type="dxa"/>
            <w:noWrap w:val="0"/>
            <w:vAlign w:val="center"/>
          </w:tcPr>
          <w:p w14:paraId="70DA93A7">
            <w:pPr>
              <w:widowControl/>
              <w:autoSpaceDN w:val="0"/>
              <w:spacing w:line="360" w:lineRule="auto"/>
              <w:jc w:val="center"/>
              <w:textAlignment w:val="center"/>
              <w:rPr>
                <w:rFonts w:hint="eastAsia" w:ascii="仿宋" w:hAnsi="仿宋" w:eastAsia="仿宋" w:cs="仿宋"/>
                <w:bCs/>
                <w:kern w:val="0"/>
                <w:sz w:val="24"/>
                <w:szCs w:val="24"/>
              </w:rPr>
            </w:pPr>
          </w:p>
        </w:tc>
        <w:tc>
          <w:tcPr>
            <w:tcW w:w="834" w:type="dxa"/>
            <w:noWrap w:val="0"/>
            <w:vAlign w:val="center"/>
          </w:tcPr>
          <w:p w14:paraId="1BC87579">
            <w:pPr>
              <w:widowControl/>
              <w:autoSpaceDN w:val="0"/>
              <w:spacing w:line="360" w:lineRule="auto"/>
              <w:jc w:val="center"/>
              <w:textAlignment w:val="center"/>
              <w:rPr>
                <w:rFonts w:hint="eastAsia" w:ascii="仿宋" w:hAnsi="仿宋" w:eastAsia="仿宋" w:cs="仿宋"/>
                <w:bCs/>
                <w:kern w:val="0"/>
                <w:sz w:val="24"/>
                <w:szCs w:val="24"/>
              </w:rPr>
            </w:pPr>
          </w:p>
        </w:tc>
      </w:tr>
      <w:tr w14:paraId="43D71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exact"/>
          <w:jc w:val="center"/>
        </w:trPr>
        <w:tc>
          <w:tcPr>
            <w:tcW w:w="2932" w:type="dxa"/>
            <w:gridSpan w:val="2"/>
            <w:noWrap w:val="0"/>
            <w:vAlign w:val="center"/>
          </w:tcPr>
          <w:p w14:paraId="401194AC">
            <w:pPr>
              <w:widowControl/>
              <w:adjustRightInd w:val="0"/>
              <w:snapToGrid w:val="0"/>
              <w:spacing w:line="360" w:lineRule="auto"/>
              <w:jc w:val="center"/>
              <w:rPr>
                <w:rFonts w:hint="eastAsia" w:ascii="仿宋" w:hAnsi="仿宋" w:eastAsia="仿宋" w:cs="仿宋"/>
                <w:bCs/>
                <w:kern w:val="0"/>
                <w:sz w:val="24"/>
                <w:szCs w:val="24"/>
              </w:rPr>
            </w:pPr>
            <w:r>
              <w:rPr>
                <w:rFonts w:hint="eastAsia" w:ascii="仿宋" w:hAnsi="仿宋" w:eastAsia="仿宋" w:cs="仿宋"/>
                <w:bCs/>
                <w:kern w:val="0"/>
                <w:sz w:val="24"/>
                <w:szCs w:val="24"/>
              </w:rPr>
              <w:t>总计（人民币/元）</w:t>
            </w:r>
          </w:p>
        </w:tc>
        <w:tc>
          <w:tcPr>
            <w:tcW w:w="6266" w:type="dxa"/>
            <w:gridSpan w:val="6"/>
            <w:noWrap w:val="0"/>
            <w:vAlign w:val="center"/>
          </w:tcPr>
          <w:p w14:paraId="0F70EF1B">
            <w:pPr>
              <w:widowControl/>
              <w:adjustRightInd w:val="0"/>
              <w:snapToGrid w:val="0"/>
              <w:spacing w:line="360" w:lineRule="auto"/>
              <w:jc w:val="left"/>
              <w:rPr>
                <w:rFonts w:hint="eastAsia" w:ascii="仿宋" w:hAnsi="仿宋" w:eastAsia="仿宋" w:cs="仿宋"/>
                <w:bCs/>
                <w:kern w:val="0"/>
                <w:sz w:val="24"/>
                <w:szCs w:val="24"/>
              </w:rPr>
            </w:pPr>
            <w:r>
              <w:rPr>
                <w:rFonts w:hint="eastAsia" w:ascii="仿宋" w:hAnsi="仿宋" w:eastAsia="仿宋" w:cs="仿宋"/>
                <w:bCs/>
                <w:kern w:val="0"/>
                <w:sz w:val="24"/>
                <w:szCs w:val="24"/>
              </w:rPr>
              <w:t>¥：       （大写）</w:t>
            </w:r>
          </w:p>
        </w:tc>
      </w:tr>
    </w:tbl>
    <w:p w14:paraId="5ACDC868">
      <w:pPr>
        <w:snapToGrid w:val="0"/>
        <w:spacing w:line="360" w:lineRule="auto"/>
        <w:ind w:firstLine="474" w:firstLineChars="200"/>
        <w:outlineLvl w:val="0"/>
        <w:rPr>
          <w:rFonts w:hint="eastAsia" w:ascii="仿宋" w:hAnsi="仿宋" w:eastAsia="仿宋" w:cs="仿宋"/>
          <w:b/>
          <w:color w:val="000000"/>
          <w:spacing w:val="-2"/>
          <w:sz w:val="24"/>
          <w:szCs w:val="24"/>
        </w:rPr>
      </w:pPr>
      <w:bookmarkStart w:id="0" w:name="_Toc54874513"/>
      <w:r>
        <w:rPr>
          <w:rFonts w:hint="eastAsia" w:ascii="仿宋" w:hAnsi="仿宋" w:eastAsia="仿宋" w:cs="仿宋"/>
          <w:b/>
          <w:color w:val="000000"/>
          <w:spacing w:val="-2"/>
          <w:sz w:val="24"/>
          <w:szCs w:val="24"/>
        </w:rPr>
        <w:t>2、交付条件</w:t>
      </w:r>
    </w:p>
    <w:p w14:paraId="0FDEA93F">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（1）交付地点：西安市中医医院</w:t>
      </w:r>
    </w:p>
    <w:p w14:paraId="5BDA19E7">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（2）交付期：本次项目建设周期为</w:t>
      </w:r>
      <w:r>
        <w:rPr>
          <w:rFonts w:hint="default" w:ascii="仿宋" w:hAnsi="仿宋" w:eastAsia="仿宋" w:cs="仿宋"/>
          <w:bCs/>
          <w:sz w:val="24"/>
          <w:szCs w:val="24"/>
          <w:lang w:val="zh-CN" w:eastAsia="zh-CN"/>
        </w:rPr>
        <w:t>90个日历日</w:t>
      </w:r>
      <w:r>
        <w:rPr>
          <w:rFonts w:hint="eastAsia" w:ascii="仿宋" w:hAnsi="仿宋" w:eastAsia="仿宋" w:cs="仿宋"/>
          <w:color w:val="000000"/>
          <w:spacing w:val="-2"/>
          <w:sz w:val="24"/>
          <w:szCs w:val="24"/>
        </w:rPr>
        <w:t>，自合同签订之日起</w:t>
      </w:r>
      <w:r>
        <w:rPr>
          <w:rFonts w:hint="default" w:ascii="仿宋" w:hAnsi="仿宋" w:eastAsia="仿宋" w:cs="仿宋"/>
          <w:bCs/>
          <w:sz w:val="24"/>
          <w:szCs w:val="24"/>
          <w:lang w:val="zh-CN" w:eastAsia="zh-CN"/>
        </w:rPr>
        <w:t>90个日历日</w:t>
      </w:r>
      <w:r>
        <w:rPr>
          <w:rFonts w:hint="eastAsia" w:ascii="仿宋" w:hAnsi="仿宋" w:eastAsia="仿宋" w:cs="仿宋"/>
          <w:color w:val="000000"/>
          <w:spacing w:val="-2"/>
          <w:sz w:val="24"/>
          <w:szCs w:val="24"/>
        </w:rPr>
        <w:t>内完成西安市中医医院</w:t>
      </w:r>
      <w:r>
        <w:rPr>
          <w:rFonts w:hint="eastAsia" w:ascii="仿宋" w:hAnsi="仿宋" w:eastAsia="仿宋" w:cs="仿宋"/>
          <w:color w:val="000000"/>
          <w:spacing w:val="-2"/>
          <w:sz w:val="24"/>
          <w:szCs w:val="24"/>
          <w:lang w:val="en-US" w:eastAsia="zh-CN"/>
        </w:rPr>
        <w:t>中药质量提升</w:t>
      </w:r>
      <w:r>
        <w:rPr>
          <w:rFonts w:hint="eastAsia" w:ascii="仿宋" w:hAnsi="仿宋" w:eastAsia="仿宋" w:cs="仿宋"/>
          <w:color w:val="000000"/>
          <w:spacing w:val="-2"/>
          <w:sz w:val="24"/>
          <w:szCs w:val="24"/>
        </w:rPr>
        <w:t>项目建设内容，交付甲方使用。</w:t>
      </w:r>
    </w:p>
    <w:p w14:paraId="006A724E">
      <w:pPr>
        <w:snapToGrid w:val="0"/>
        <w:spacing w:line="360" w:lineRule="auto"/>
        <w:ind w:firstLine="472" w:firstLineChars="200"/>
        <w:rPr>
          <w:rFonts w:hint="eastAsia" w:ascii="仿宋" w:hAnsi="仿宋" w:eastAsia="仿宋" w:cs="仿宋"/>
          <w:sz w:val="24"/>
          <w:szCs w:val="24"/>
        </w:rPr>
      </w:pPr>
      <w:r>
        <w:rPr>
          <w:rFonts w:hint="eastAsia" w:ascii="仿宋" w:hAnsi="仿宋" w:eastAsia="仿宋" w:cs="仿宋"/>
          <w:color w:val="000000"/>
          <w:spacing w:val="-2"/>
          <w:sz w:val="24"/>
          <w:szCs w:val="24"/>
        </w:rPr>
        <w:t>（3）质保期：</w:t>
      </w:r>
      <w:r>
        <w:rPr>
          <w:rFonts w:hint="eastAsia" w:ascii="仿宋" w:hAnsi="仿宋" w:eastAsia="仿宋" w:cs="仿宋"/>
          <w:color w:val="000000"/>
          <w:spacing w:val="-2"/>
          <w:sz w:val="24"/>
          <w:szCs w:val="24"/>
          <w:lang w:val="en-US" w:eastAsia="zh-CN"/>
        </w:rPr>
        <w:t>硬件设备不少于3年原厂质保</w:t>
      </w:r>
      <w:r>
        <w:rPr>
          <w:rFonts w:hint="eastAsia" w:ascii="仿宋" w:hAnsi="仿宋" w:eastAsia="仿宋" w:cs="仿宋"/>
          <w:color w:val="000000"/>
          <w:spacing w:val="-2"/>
          <w:sz w:val="24"/>
          <w:szCs w:val="24"/>
        </w:rPr>
        <w:t>，</w:t>
      </w:r>
      <w:r>
        <w:rPr>
          <w:rFonts w:hint="eastAsia" w:ascii="仿宋" w:hAnsi="仿宋" w:eastAsia="仿宋" w:cs="仿宋"/>
          <w:color w:val="000000"/>
          <w:spacing w:val="-2"/>
          <w:sz w:val="24"/>
          <w:szCs w:val="24"/>
          <w:lang w:val="en-US" w:eastAsia="zh-CN"/>
        </w:rPr>
        <w:t>软件系统不少于3年原厂技术支持和版本升级服务，</w:t>
      </w:r>
      <w:r>
        <w:rPr>
          <w:rFonts w:hint="eastAsia" w:ascii="仿宋" w:hAnsi="仿宋" w:eastAsia="仿宋" w:cs="仿宋"/>
          <w:color w:val="000000"/>
          <w:spacing w:val="-2"/>
          <w:sz w:val="24"/>
          <w:szCs w:val="24"/>
        </w:rPr>
        <w:t>质保期以项目验收合格之日起算。</w:t>
      </w:r>
    </w:p>
    <w:p w14:paraId="7D2DAB08">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3、合同价款</w:t>
      </w:r>
    </w:p>
    <w:p w14:paraId="46884EEC">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合同总价：人民币大写：</w:t>
      </w:r>
      <w:r>
        <w:rPr>
          <w:rFonts w:hint="eastAsia" w:ascii="仿宋" w:hAnsi="仿宋" w:eastAsia="仿宋" w:cs="仿宋"/>
          <w:color w:val="000000"/>
          <w:spacing w:val="-2"/>
          <w:sz w:val="24"/>
          <w:szCs w:val="24"/>
          <w:u w:val="single"/>
          <w:lang w:val="zh-CN"/>
        </w:rPr>
        <w:t xml:space="preserve">            </w:t>
      </w:r>
      <w:r>
        <w:rPr>
          <w:rFonts w:hint="eastAsia" w:ascii="仿宋" w:hAnsi="仿宋" w:eastAsia="仿宋" w:cs="仿宋"/>
          <w:color w:val="000000"/>
          <w:spacing w:val="-2"/>
          <w:sz w:val="24"/>
          <w:szCs w:val="24"/>
          <w:lang w:val="zh-CN"/>
        </w:rPr>
        <w:t>元；¥</w:t>
      </w:r>
      <w:r>
        <w:rPr>
          <w:rFonts w:hint="eastAsia" w:ascii="仿宋" w:hAnsi="仿宋" w:eastAsia="仿宋" w:cs="仿宋"/>
          <w:color w:val="000000"/>
          <w:spacing w:val="-2"/>
          <w:sz w:val="24"/>
          <w:szCs w:val="24"/>
          <w:u w:val="single"/>
          <w:lang w:val="zh-CN"/>
        </w:rPr>
        <w:t xml:space="preserve">           </w:t>
      </w:r>
      <w:r>
        <w:rPr>
          <w:rFonts w:hint="eastAsia" w:ascii="仿宋" w:hAnsi="仿宋" w:eastAsia="仿宋" w:cs="仿宋"/>
          <w:color w:val="000000"/>
          <w:spacing w:val="-2"/>
          <w:sz w:val="24"/>
          <w:szCs w:val="24"/>
          <w:lang w:val="zh-CN"/>
        </w:rPr>
        <w:t>元。</w:t>
      </w:r>
    </w:p>
    <w:p w14:paraId="2D8DA373">
      <w:pPr>
        <w:snapToGrid w:val="0"/>
        <w:spacing w:line="360" w:lineRule="auto"/>
        <w:ind w:firstLine="472" w:firstLineChars="200"/>
        <w:rPr>
          <w:rFonts w:hint="eastAsia" w:ascii="仿宋" w:hAnsi="仿宋" w:eastAsia="仿宋" w:cs="仿宋"/>
          <w:sz w:val="24"/>
          <w:szCs w:val="24"/>
        </w:rPr>
      </w:pPr>
      <w:r>
        <w:rPr>
          <w:rFonts w:hint="eastAsia" w:ascii="仿宋" w:hAnsi="仿宋" w:eastAsia="仿宋" w:cs="仿宋"/>
          <w:color w:val="000000"/>
          <w:spacing w:val="-2"/>
          <w:sz w:val="24"/>
          <w:szCs w:val="24"/>
          <w:lang w:val="zh-CN"/>
        </w:rPr>
        <w:t>合同总价一次包死，不受市场价变化或实际工作量变化的影响。该价格包括项目需求调研到设计、开发、实施、调试、验收、人员培训、接口开发和质保期等环节涉及到的一切费用，且包含系统所需对接其他系统的接口费用。</w:t>
      </w:r>
    </w:p>
    <w:p w14:paraId="4FD86289">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4、款项结算</w:t>
      </w:r>
    </w:p>
    <w:p w14:paraId="1B78C070">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（一）付款方式：</w:t>
      </w:r>
    </w:p>
    <w:p w14:paraId="720A41AC">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（1）合同签订后，供应商向采购人支付合同总金额10%的履约保证金，出具承诺书;</w:t>
      </w:r>
    </w:p>
    <w:p w14:paraId="35C6F067">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2）合同签订后，供应商向采购人开具正规全额发票，采购人收到发票后，采购人与供应商在三个工作日内共同前往银行开具共管账户，签署资金共管协议。资金共管账户开通后，采购人将合同总金额的100%支付至资金共管账户，待供应商按照招标完成项目的建设且验收合格，并取得采购人签署的书面验收报告后，供应商与采购人共同将资金共管账户中的款项转至供应商账户，将合同款的100%支付给供应商账户</w:t>
      </w:r>
      <w:bookmarkStart w:id="3" w:name="_GoBack"/>
      <w:bookmarkEnd w:id="3"/>
      <w:r>
        <w:rPr>
          <w:rFonts w:hint="eastAsia" w:ascii="仿宋" w:hAnsi="仿宋" w:eastAsia="仿宋" w:cs="仿宋"/>
          <w:color w:val="000000"/>
          <w:spacing w:val="-2"/>
          <w:sz w:val="24"/>
          <w:szCs w:val="24"/>
        </w:rPr>
        <w:t>；</w:t>
      </w:r>
    </w:p>
    <w:p w14:paraId="165CE27B">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（3）供应商按照招标要求完成项目的建设且验收合格并取得采购人签署的书面验收报告后，正常运行满三年期采购人无息退还供应商履约保证金的10%。</w:t>
      </w:r>
    </w:p>
    <w:p w14:paraId="16B58C94">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（二）支付方式：银行转账。</w:t>
      </w:r>
    </w:p>
    <w:p w14:paraId="7377F963">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乙方确认以下信息为收款信息：</w:t>
      </w:r>
    </w:p>
    <w:p w14:paraId="5D81CBD6">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开户名：</w:t>
      </w:r>
    </w:p>
    <w:p w14:paraId="10F1AA9E">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开户行：</w:t>
      </w:r>
    </w:p>
    <w:p w14:paraId="604E11EE">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账  号：</w:t>
      </w:r>
    </w:p>
    <w:p w14:paraId="328998E8">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5、项目权属</w:t>
      </w:r>
    </w:p>
    <w:p w14:paraId="18F2C45A">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本项目所包含的软件系统、系统设计方案、各类文档资料产权均归属甲方所有，乙方不得私自用于其他项目中。如有违反，甲方有权选择要求乙方应按既得利益的双倍价格赔偿甲方，或按照合同总价的10%支付违约金，并追究相关法律责任。</w:t>
      </w:r>
    </w:p>
    <w:p w14:paraId="28968C4F">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2）乙方应保证所供产品及服务不会出现因第三方提出侵犯其专利权、商标权或其它知识产权而引发法律或经济纠纷，否则由乙方承担全部责任。任何被乙方用于未经授权的商业目的行为所造成的违约或侵权责任由乙方承担。</w:t>
      </w:r>
    </w:p>
    <w:p w14:paraId="4EBA3567">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6、双方的权利和义务</w:t>
      </w:r>
    </w:p>
    <w:p w14:paraId="51521C9A">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6.1 甲方的权利和义务</w:t>
      </w:r>
    </w:p>
    <w:p w14:paraId="45E11AAA">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lang w:val="zh-CN"/>
        </w:rPr>
        <w:t>（1）甲方有权对合同规定范围内乙方的行为进行监督和检查，拥有监管权。有权定期核对乙方提供服务所配备的人员数量。对甲方认为不合理的部分有权下达整改通知书，并要求乙方限期整改。</w:t>
      </w:r>
    </w:p>
    <w:p w14:paraId="706912FD">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（2）负责检查监督乙方管理工作的实施及制度的执行情况。</w:t>
      </w:r>
    </w:p>
    <w:p w14:paraId="171A208A">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（3）根据本合同规定，按时向乙方支付应付费用。</w:t>
      </w:r>
    </w:p>
    <w:p w14:paraId="3D7A952E">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（4）国家法律、法规所规定的甲方承担的其他责任。</w:t>
      </w:r>
    </w:p>
    <w:p w14:paraId="2DE19CE5">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（5）甲方负责协助乙方进行需求调研、项目设计和项目调测等，提供有利于项目实施的有关信息、资料及相关职能人员信息等，以便对该项目信息系统进行全面的研究和设计。</w:t>
      </w:r>
    </w:p>
    <w:p w14:paraId="5653BB5D">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6</w:t>
      </w:r>
      <w:r>
        <w:rPr>
          <w:rFonts w:hint="eastAsia" w:ascii="仿宋" w:hAnsi="仿宋" w:eastAsia="仿宋" w:cs="仿宋"/>
          <w:color w:val="000000"/>
          <w:spacing w:val="-2"/>
          <w:sz w:val="24"/>
          <w:szCs w:val="24"/>
          <w:lang w:val="zh-CN"/>
        </w:rPr>
        <w:t>.2</w:t>
      </w:r>
      <w:r>
        <w:rPr>
          <w:rFonts w:hint="eastAsia" w:ascii="仿宋" w:hAnsi="仿宋" w:eastAsia="仿宋" w:cs="仿宋"/>
          <w:color w:val="000000"/>
          <w:spacing w:val="-2"/>
          <w:sz w:val="24"/>
          <w:szCs w:val="24"/>
        </w:rPr>
        <w:t xml:space="preserve"> </w:t>
      </w:r>
      <w:r>
        <w:rPr>
          <w:rFonts w:hint="eastAsia" w:ascii="仿宋" w:hAnsi="仿宋" w:eastAsia="仿宋" w:cs="仿宋"/>
          <w:color w:val="000000"/>
          <w:spacing w:val="-2"/>
          <w:sz w:val="24"/>
          <w:szCs w:val="24"/>
          <w:lang w:val="zh-CN"/>
        </w:rPr>
        <w:t>乙方的权利和义务</w:t>
      </w:r>
    </w:p>
    <w:p w14:paraId="5AAB6B76">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（1）对本合同规定的委托服务范围内的项目享有管理及服务义务。</w:t>
      </w:r>
    </w:p>
    <w:p w14:paraId="7B0A5AD4">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（2）根据本合同的规定向甲方收取相关费用，并有权在本项目管理范围内管理及合理使用。</w:t>
      </w:r>
    </w:p>
    <w:p w14:paraId="6C744C12">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（3）及时向甲方通告本项目服务范围内有关服务的重大事项。</w:t>
      </w:r>
    </w:p>
    <w:p w14:paraId="2EBDA3EB">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（4）接受项目行业管理部门及政府有关部门的指导，接受甲方的监督。</w:t>
      </w:r>
    </w:p>
    <w:p w14:paraId="7701CF57">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（5）国家法律、法规所规定的乙方承担的其他责任。</w:t>
      </w:r>
    </w:p>
    <w:p w14:paraId="08BC116B">
      <w:pPr>
        <w:snapToGrid w:val="0"/>
        <w:spacing w:line="360" w:lineRule="auto"/>
        <w:ind w:firstLine="472" w:firstLineChars="200"/>
        <w:rPr>
          <w:rFonts w:hint="eastAsia" w:ascii="仿宋" w:hAnsi="仿宋" w:eastAsia="仿宋" w:cs="仿宋"/>
          <w:sz w:val="24"/>
          <w:szCs w:val="24"/>
          <w:lang w:val="zh-CN"/>
        </w:rPr>
      </w:pPr>
      <w:r>
        <w:rPr>
          <w:rFonts w:hint="eastAsia" w:ascii="仿宋" w:hAnsi="仿宋" w:eastAsia="仿宋" w:cs="仿宋"/>
          <w:color w:val="000000"/>
          <w:spacing w:val="-2"/>
          <w:sz w:val="24"/>
          <w:szCs w:val="24"/>
          <w:lang w:val="zh-CN"/>
        </w:rPr>
        <w:t>（6）乙方应按时完成双方商定的项目建设内容，并严格按照实施进度计划，保质、保量、及时、可靠地开展项目建设工作，并负责向甲方提供优质、安全的软件产品。</w:t>
      </w:r>
      <w:r>
        <w:rPr>
          <w:rFonts w:hint="eastAsia" w:ascii="仿宋" w:hAnsi="仿宋" w:eastAsia="仿宋" w:cs="仿宋"/>
          <w:color w:val="000000"/>
          <w:spacing w:val="-2"/>
          <w:sz w:val="24"/>
          <w:szCs w:val="24"/>
        </w:rPr>
        <w:t>甲方提出整改要求的，乙方应当按照甲方要求整改。</w:t>
      </w:r>
    </w:p>
    <w:p w14:paraId="68EB5780">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7、质量保证</w:t>
      </w:r>
    </w:p>
    <w:p w14:paraId="3A51AEAE">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lang w:val="zh-CN"/>
        </w:rPr>
        <w:t>（1）</w:t>
      </w:r>
      <w:r>
        <w:rPr>
          <w:rFonts w:hint="eastAsia" w:ascii="仿宋" w:hAnsi="仿宋" w:eastAsia="仿宋" w:cs="仿宋"/>
          <w:color w:val="000000"/>
          <w:spacing w:val="-2"/>
          <w:sz w:val="24"/>
          <w:szCs w:val="24"/>
        </w:rPr>
        <w:t>乙方应当保证所供全部产品的来源渠道正常，且完全符合招标文件规定的质量、规格、指标等要求，并对质量问题负完全责任。</w:t>
      </w:r>
    </w:p>
    <w:p w14:paraId="60514E46">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2</w:t>
      </w: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乙方承诺所提供产品符合国家有关规定，乙方所提供产品及涉及第三方产品具有合法的知识产权，如在本项目范围内使用过程中出现版权或使用权纠纷，应由乙方负责，甲方不承担责任。乙方必须保证解决项目所涉及的技术问题，如因技术原因无法满足甲方需求，由此产生的风险由乙方承担。</w:t>
      </w:r>
    </w:p>
    <w:p w14:paraId="02ABD61D">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lang w:val="zh-CN"/>
        </w:rPr>
        <w:t>（3）自软件上线验收之日起，乙方负责对所提供的产品进行为期3年的免费纠错性维护，保证系统的正常运行。</w:t>
      </w:r>
    </w:p>
    <w:p w14:paraId="0FE3DBEC">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8、项目验收</w:t>
      </w:r>
    </w:p>
    <w:p w14:paraId="2513DBDD">
      <w:pPr>
        <w:pStyle w:val="4"/>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8.1本项目在甲方指定的时间内开发、安装、调试、上线试运行完成后，由甲方组织验收，核对系统建设内容及功能等，经检验无误签署项目交接单后，移交甲方使用，并且必须将全部产品的所有权和使用权一并转移至甲方；</w:t>
      </w:r>
    </w:p>
    <w:p w14:paraId="35D576BB">
      <w:pPr>
        <w:pStyle w:val="4"/>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8.2乙方应当保证</w:t>
      </w:r>
      <w:r>
        <w:rPr>
          <w:rFonts w:hint="eastAsia" w:ascii="仿宋" w:hAnsi="仿宋" w:eastAsia="仿宋" w:cs="仿宋"/>
          <w:color w:val="000000"/>
          <w:spacing w:val="-2"/>
          <w:sz w:val="24"/>
          <w:szCs w:val="24"/>
          <w:lang w:val="zh-CN"/>
        </w:rPr>
        <w:t>所供全部产品的来源渠道正常，且完全</w:t>
      </w:r>
      <w:r>
        <w:rPr>
          <w:rFonts w:hint="eastAsia" w:ascii="仿宋" w:hAnsi="仿宋" w:eastAsia="仿宋" w:cs="仿宋"/>
          <w:color w:val="000000"/>
          <w:spacing w:val="-2"/>
          <w:sz w:val="24"/>
          <w:szCs w:val="24"/>
        </w:rPr>
        <w:t>符合招标文件规定的质量、规格、指标等要求，并对质量问题负完全责任；</w:t>
      </w:r>
    </w:p>
    <w:p w14:paraId="727DA953">
      <w:pPr>
        <w:pStyle w:val="4"/>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8.3</w:t>
      </w:r>
      <w:r>
        <w:rPr>
          <w:rFonts w:hint="eastAsia" w:ascii="仿宋" w:hAnsi="仿宋" w:eastAsia="仿宋" w:cs="仿宋"/>
          <w:color w:val="000000"/>
          <w:spacing w:val="-2"/>
          <w:sz w:val="24"/>
          <w:szCs w:val="24"/>
          <w:lang w:val="zh-CN"/>
        </w:rPr>
        <w:t>验收依据</w:t>
      </w:r>
    </w:p>
    <w:p w14:paraId="0DA93368">
      <w:pPr>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（1）</w:t>
      </w:r>
      <w:r>
        <w:rPr>
          <w:rFonts w:hint="eastAsia" w:ascii="仿宋" w:hAnsi="仿宋" w:eastAsia="仿宋" w:cs="仿宋"/>
          <w:color w:val="000000"/>
          <w:spacing w:val="-2"/>
          <w:sz w:val="24"/>
          <w:szCs w:val="24"/>
          <w:lang w:val="zh-CN"/>
        </w:rPr>
        <w:t>招标文件、中标人的投标文件；</w:t>
      </w:r>
    </w:p>
    <w:p w14:paraId="7B1A3491">
      <w:pPr>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（2）</w:t>
      </w:r>
      <w:r>
        <w:rPr>
          <w:rFonts w:hint="eastAsia" w:ascii="仿宋" w:hAnsi="仿宋" w:eastAsia="仿宋" w:cs="仿宋"/>
          <w:color w:val="000000"/>
          <w:spacing w:val="-2"/>
          <w:sz w:val="24"/>
          <w:szCs w:val="24"/>
          <w:lang w:val="zh-CN"/>
        </w:rPr>
        <w:t>合同及附件文本、澄清表&lt;函&gt;；</w:t>
      </w:r>
    </w:p>
    <w:p w14:paraId="3975AC82">
      <w:pPr>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（3）合同签订时国家及行业现行的标准和技术规范</w:t>
      </w:r>
      <w:r>
        <w:rPr>
          <w:rFonts w:hint="eastAsia" w:ascii="仿宋" w:hAnsi="仿宋" w:eastAsia="仿宋" w:cs="仿宋"/>
          <w:color w:val="000000"/>
          <w:spacing w:val="-2"/>
          <w:sz w:val="24"/>
          <w:szCs w:val="24"/>
          <w:lang w:val="zh-CN"/>
        </w:rPr>
        <w:t>；</w:t>
      </w:r>
    </w:p>
    <w:p w14:paraId="6518DE17">
      <w:pPr>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（4）</w:t>
      </w:r>
      <w:r>
        <w:rPr>
          <w:rFonts w:hint="eastAsia" w:ascii="仿宋" w:hAnsi="仿宋" w:eastAsia="仿宋" w:cs="仿宋"/>
          <w:color w:val="000000"/>
          <w:spacing w:val="-2"/>
          <w:sz w:val="24"/>
          <w:szCs w:val="24"/>
          <w:lang w:val="zh-CN"/>
        </w:rPr>
        <w:t>其他相关资料。</w:t>
      </w:r>
    </w:p>
    <w:p w14:paraId="1940298E">
      <w:pPr>
        <w:pStyle w:val="4"/>
        <w:spacing w:line="360" w:lineRule="auto"/>
        <w:ind w:firstLine="472" w:firstLineChars="200"/>
        <w:rPr>
          <w:rFonts w:hint="eastAsia" w:ascii="仿宋" w:hAnsi="仿宋" w:eastAsia="仿宋" w:cs="仿宋"/>
          <w:color w:val="000000"/>
          <w:spacing w:val="-2"/>
          <w:sz w:val="24"/>
          <w:szCs w:val="24"/>
          <w:lang w:val="zh-CN"/>
        </w:rPr>
      </w:pPr>
      <w:bookmarkStart w:id="1" w:name="_Toc54874515"/>
      <w:r>
        <w:rPr>
          <w:rFonts w:hint="eastAsia" w:ascii="仿宋" w:hAnsi="仿宋" w:eastAsia="仿宋" w:cs="仿宋"/>
          <w:color w:val="000000"/>
          <w:spacing w:val="-2"/>
          <w:sz w:val="24"/>
          <w:szCs w:val="24"/>
        </w:rPr>
        <w:t>8.4</w:t>
      </w:r>
      <w:r>
        <w:rPr>
          <w:rFonts w:hint="eastAsia" w:ascii="仿宋" w:hAnsi="仿宋" w:eastAsia="仿宋" w:cs="仿宋"/>
          <w:color w:val="000000"/>
          <w:spacing w:val="-2"/>
          <w:sz w:val="24"/>
          <w:szCs w:val="24"/>
          <w:lang w:val="zh-CN"/>
        </w:rPr>
        <w:t>组织过程资产交付</w:t>
      </w:r>
    </w:p>
    <w:p w14:paraId="324B3515">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 xml:space="preserve">乙方向甲方提交项目实施过程中的所有资料，交付资料应提供纸质版及电子文档，涵盖以下内容： </w:t>
      </w:r>
    </w:p>
    <w:p w14:paraId="64B29514">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（1）项目实施前：需求分析报告；技术方案、实施方案、项目实施计划、人员安排、进度表；</w:t>
      </w:r>
    </w:p>
    <w:p w14:paraId="0614F49A">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（2）项目实施期间：开工报告、调研报告、项目实施工作单、培训计划、培训签到表、培训会议纪要、用户使用手册、管理员使用手册、项目实施变更、项目实施过程中衍生的其它相关资料；</w:t>
      </w:r>
    </w:p>
    <w:p w14:paraId="5A72E455">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（3）项目实施后：系统试运行和测试报告、常用问题处理手册、工作总结报告；</w:t>
      </w:r>
    </w:p>
    <w:p w14:paraId="4978CCF6">
      <w:pPr>
        <w:pStyle w:val="4"/>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（4）其他需要提交的材料；</w:t>
      </w:r>
    </w:p>
    <w:p w14:paraId="44805D16">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9、售后要求</w:t>
      </w:r>
    </w:p>
    <w:p w14:paraId="1CC22621">
      <w:pPr>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9.1.供应商应具有完善的维保期内及维保期外的售后服务方案。</w:t>
      </w:r>
    </w:p>
    <w:p w14:paraId="4F748AA2">
      <w:pPr>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9.2.维保期3年。维保期以项目验收之日起算。维保期内提供免费的售后服务。供应商须说明维保期外服务内容及收费标准，每年的维保费用不得超过中标价的6%，维保期结束后第二年起维保费可在上一年度维保费用基础上上浮不超过10%。</w:t>
      </w:r>
    </w:p>
    <w:p w14:paraId="4A58979C">
      <w:pPr>
        <w:adjustRightInd w:val="0"/>
        <w:snapToGrid w:val="0"/>
        <w:spacing w:line="360" w:lineRule="auto"/>
        <w:ind w:firstLine="708" w:firstLineChars="3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9.3.</w:t>
      </w:r>
      <w:r>
        <w:rPr>
          <w:rFonts w:hint="eastAsia" w:ascii="仿宋" w:hAnsi="仿宋" w:eastAsia="仿宋" w:cs="仿宋"/>
          <w:color w:val="000000"/>
          <w:spacing w:val="-2"/>
          <w:sz w:val="24"/>
          <w:szCs w:val="24"/>
          <w:lang w:val="zh-CN" w:eastAsia="zh-CN"/>
        </w:rPr>
        <w:t>所提供的技术服务为7×24小时支持维护服务，包括邮件、电话、远程维护、现场服务等方式。必须保证1小时之内响应、4小时内派工程师到达现场、24小时之内解决问题。</w:t>
      </w:r>
    </w:p>
    <w:bookmarkEnd w:id="1"/>
    <w:p w14:paraId="58C1309F">
      <w:pPr>
        <w:snapToGrid w:val="0"/>
        <w:spacing w:line="360" w:lineRule="auto"/>
        <w:ind w:firstLine="474" w:firstLineChars="200"/>
        <w:outlineLvl w:val="0"/>
        <w:rPr>
          <w:rFonts w:hint="eastAsia" w:ascii="仿宋" w:hAnsi="仿宋" w:eastAsia="仿宋" w:cs="仿宋"/>
          <w:b/>
          <w:color w:val="000000"/>
          <w:spacing w:val="-2"/>
          <w:sz w:val="24"/>
          <w:szCs w:val="24"/>
        </w:rPr>
      </w:pPr>
      <w:bookmarkStart w:id="2" w:name="_Toc54874516"/>
      <w:r>
        <w:rPr>
          <w:rFonts w:hint="eastAsia" w:ascii="仿宋" w:hAnsi="仿宋" w:eastAsia="仿宋" w:cs="仿宋"/>
          <w:b/>
          <w:color w:val="000000"/>
          <w:spacing w:val="-2"/>
          <w:sz w:val="24"/>
          <w:szCs w:val="24"/>
        </w:rPr>
        <w:t>10、违约责任</w:t>
      </w:r>
      <w:bookmarkEnd w:id="2"/>
    </w:p>
    <w:p w14:paraId="2EA95BFF">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10</w:t>
      </w: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1</w:t>
      </w:r>
      <w:r>
        <w:rPr>
          <w:rFonts w:hint="eastAsia" w:ascii="仿宋" w:hAnsi="仿宋" w:eastAsia="仿宋" w:cs="仿宋"/>
          <w:color w:val="000000"/>
          <w:spacing w:val="-2"/>
          <w:sz w:val="24"/>
          <w:szCs w:val="24"/>
          <w:lang w:val="zh-CN"/>
        </w:rPr>
        <w:t>违约责任：</w:t>
      </w:r>
    </w:p>
    <w:p w14:paraId="7E8AF3EE">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（1）按《中华人民共和国民法典》中的相关条款执行。</w:t>
      </w:r>
    </w:p>
    <w:p w14:paraId="4969E6D4">
      <w:pPr>
        <w:adjustRightInd w:val="0"/>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（2）经专家论证乙方未按合同要求提供所需系统（货物）或系统（货物）质量不能满足采购的技术要求时，甲方有权解除合同，合同自书面解除通知到达乙方之日起解除，乙方应按照合同总价的30%支付违约金。</w:t>
      </w:r>
    </w:p>
    <w:p w14:paraId="66782020">
      <w:pPr>
        <w:snapToGrid w:val="0"/>
        <w:spacing w:line="360" w:lineRule="auto"/>
        <w:ind w:firstLine="472" w:firstLineChars="200"/>
        <w:jc w:val="left"/>
        <w:rPr>
          <w:rFonts w:hint="eastAsia" w:ascii="仿宋" w:hAnsi="仿宋" w:eastAsia="仿宋" w:cs="仿宋"/>
          <w:sz w:val="24"/>
          <w:szCs w:val="24"/>
        </w:rPr>
      </w:pPr>
      <w:r>
        <w:rPr>
          <w:rFonts w:hint="eastAsia" w:ascii="仿宋" w:hAnsi="仿宋" w:eastAsia="仿宋" w:cs="仿宋"/>
          <w:color w:val="000000"/>
          <w:spacing w:val="-2"/>
          <w:sz w:val="24"/>
          <w:szCs w:val="24"/>
        </w:rPr>
        <w:t>（3）</w:t>
      </w:r>
      <w:r>
        <w:rPr>
          <w:rFonts w:hint="eastAsia" w:ascii="仿宋" w:hAnsi="仿宋" w:eastAsia="仿宋" w:cs="仿宋"/>
          <w:color w:val="000000"/>
          <w:spacing w:val="-2"/>
          <w:sz w:val="24"/>
          <w:szCs w:val="24"/>
          <w:lang w:val="zh-CN"/>
        </w:rPr>
        <w:t>如乙方事先未征得甲方同意并得到甲方的谅解而单方面延迟交货，因延迟交货造成甲方损失由乙方承担。每延期一天，须支付合同总价的0.5%作为违约金，逾期超过30个日历日，甲方有权解除合同并要求乙方按照合同总价的15%支付违约金</w:t>
      </w:r>
      <w:r>
        <w:rPr>
          <w:rFonts w:hint="eastAsia" w:ascii="仿宋" w:hAnsi="仿宋" w:eastAsia="仿宋" w:cs="仿宋"/>
          <w:color w:val="000000"/>
          <w:spacing w:val="-2"/>
          <w:sz w:val="24"/>
          <w:szCs w:val="24"/>
        </w:rPr>
        <w:t>。</w:t>
      </w:r>
    </w:p>
    <w:p w14:paraId="6A88D9F1">
      <w:pPr>
        <w:snapToGrid w:val="0"/>
        <w:spacing w:line="360" w:lineRule="auto"/>
        <w:ind w:firstLine="472" w:firstLineChars="200"/>
        <w:jc w:val="left"/>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（4）未经甲方同意，乙方不得擅自将本合同服务转包第三方承担。否则，甲方有权解除合同，乙方应当按照合同总价的30%支付违约金。</w:t>
      </w:r>
    </w:p>
    <w:p w14:paraId="71C29F1B">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11、保密条款</w:t>
      </w:r>
    </w:p>
    <w:p w14:paraId="2134BD6D">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11</w:t>
      </w: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 xml:space="preserve">1 </w:t>
      </w:r>
      <w:r>
        <w:rPr>
          <w:rFonts w:hint="eastAsia" w:ascii="仿宋" w:hAnsi="仿宋" w:eastAsia="仿宋" w:cs="仿宋"/>
          <w:color w:val="000000"/>
          <w:spacing w:val="-2"/>
          <w:sz w:val="24"/>
          <w:szCs w:val="24"/>
          <w:lang w:val="zh-CN"/>
        </w:rPr>
        <w:t>甲乙双方应当对本合同的内容，以及因履行本合同期间获得的或收到的对方的商务、财务、技术、产品的信息、用户资料或其他标明保密的文件或信息的内容（简称“保密资料”）保守秘密，未经信息披露方书面事先同意，不得向本合同以外的任何第三方披露。资料接受方可向其确有知悉必要的雇员披露对方提供的保密资料，但同时须确保其雇员遵守本条规定的保密及不披露义务。</w:t>
      </w:r>
    </w:p>
    <w:p w14:paraId="12F691A0">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11</w:t>
      </w: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2</w:t>
      </w:r>
      <w:r>
        <w:rPr>
          <w:rFonts w:hint="eastAsia" w:ascii="仿宋" w:hAnsi="仿宋" w:eastAsia="仿宋" w:cs="仿宋"/>
          <w:color w:val="000000"/>
          <w:spacing w:val="-2"/>
          <w:sz w:val="24"/>
          <w:szCs w:val="24"/>
          <w:lang w:val="zh-CN"/>
        </w:rPr>
        <w:t>甲乙双方除非得到另一方的书面许可，甲乙双方均不得将本合同中的内容及在本合同执行过程中获得的对方的商业信息向任何第三方泄露。</w:t>
      </w:r>
    </w:p>
    <w:p w14:paraId="377F72FC">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rPr>
        <w:t>11</w:t>
      </w: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3</w:t>
      </w:r>
      <w:r>
        <w:rPr>
          <w:rFonts w:hint="eastAsia" w:ascii="仿宋" w:hAnsi="仿宋" w:eastAsia="仿宋" w:cs="仿宋"/>
          <w:color w:val="000000"/>
          <w:spacing w:val="-2"/>
          <w:sz w:val="24"/>
          <w:szCs w:val="24"/>
          <w:lang w:val="zh-CN"/>
        </w:rPr>
        <w:t>无论本合同是否发生变更、解除、终止，本条款均长期有效。</w:t>
      </w:r>
    </w:p>
    <w:p w14:paraId="7A87B672">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12、不可抗力</w:t>
      </w:r>
    </w:p>
    <w:p w14:paraId="099FD48A">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12.1当不可抗力因素产生时，导致甲方、乙方不能依约完成合同的，符合法律规定及合同约定时，则可免责。</w:t>
      </w:r>
    </w:p>
    <w:p w14:paraId="29B8CDEF">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12.2不可抗力尚包含：甲方、乙方不可或无法预见、不可控制或克服、不可避免并对一方当事人造成重大影响的客观事件，包括但不限于自然灾害以及社会事件如战争、动乱、国家政策变化、政府行为等。</w:t>
      </w:r>
    </w:p>
    <w:p w14:paraId="06C0F8B6">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lang w:val="zh-CN"/>
        </w:rPr>
        <w:t>12.3因不可抗力导致不能履行合同的，发生不可抗力的一方应当立即将事故情况书面告知另一方，并积极采取合理措施尽可能挽回对方的损失，且应在发生不可抗力之日起3日内，提供发生不可抗力不能履行或需延期履行的证明材料，否则其无权以不可抗力进行抗辩，双方应按照合同继续履行。</w:t>
      </w:r>
    </w:p>
    <w:p w14:paraId="3FF204B5">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13、争议解决</w:t>
      </w:r>
    </w:p>
    <w:p w14:paraId="3E939DF7">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w:t>
      </w:r>
      <w:r>
        <w:rPr>
          <w:rFonts w:hint="eastAsia" w:ascii="仿宋" w:hAnsi="仿宋" w:eastAsia="仿宋" w:cs="仿宋"/>
          <w:color w:val="000000"/>
          <w:spacing w:val="-2"/>
          <w:sz w:val="24"/>
          <w:szCs w:val="24"/>
        </w:rPr>
        <w:t>3</w:t>
      </w:r>
      <w:r>
        <w:rPr>
          <w:rFonts w:hint="eastAsia" w:ascii="仿宋" w:hAnsi="仿宋" w:eastAsia="仿宋" w:cs="仿宋"/>
          <w:color w:val="000000"/>
          <w:spacing w:val="-2"/>
          <w:sz w:val="24"/>
          <w:szCs w:val="24"/>
          <w:lang w:val="zh-CN"/>
        </w:rPr>
        <w:t>.1本合同在履行过程中发生的争议，由甲、乙双方当事人协商解决，协商不成的，依法向甲方所在地人民法院起诉。</w:t>
      </w:r>
    </w:p>
    <w:p w14:paraId="2B7C01EF">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w:t>
      </w:r>
      <w:r>
        <w:rPr>
          <w:rFonts w:hint="eastAsia" w:ascii="仿宋" w:hAnsi="仿宋" w:eastAsia="仿宋" w:cs="仿宋"/>
          <w:color w:val="000000"/>
          <w:spacing w:val="-2"/>
          <w:sz w:val="24"/>
          <w:szCs w:val="24"/>
        </w:rPr>
        <w:t>3</w:t>
      </w:r>
      <w:r>
        <w:rPr>
          <w:rFonts w:hint="eastAsia" w:ascii="仿宋" w:hAnsi="仿宋" w:eastAsia="仿宋" w:cs="仿宋"/>
          <w:color w:val="000000"/>
          <w:spacing w:val="-2"/>
          <w:sz w:val="24"/>
          <w:szCs w:val="24"/>
          <w:lang w:val="zh-CN"/>
        </w:rPr>
        <w:t>.2本条款为独立条款，本合同的无效、变更、解除和终止均不影响本条款的效力。</w:t>
      </w:r>
    </w:p>
    <w:p w14:paraId="7E486DA2">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14、合同变更</w:t>
      </w:r>
    </w:p>
    <w:p w14:paraId="7AACEE63">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在合同的执行期内，双方均不得随意变更或解除合同。如因合同需求情况发生变化，需要项目变更的，应双方协商后签订项目变更协议，并经鉴证方确认后生效（如双方变更事项不能达成一致的，仍按原合同履行，否则视为违约）。</w:t>
      </w:r>
    </w:p>
    <w:p w14:paraId="30B05DF7">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15、合同生效</w:t>
      </w:r>
    </w:p>
    <w:p w14:paraId="1B23B20C">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（1）合同未尽事宜、由甲、乙双方协商，作为合同补充，与原合同具有同等法律效力。</w:t>
      </w:r>
    </w:p>
    <w:p w14:paraId="65964BC6">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（2）本合同一式玖份，甲方执柒份、乙方执壹份、采购代理机构（鉴证方）执壹份。合同经甲、乙双方法定代表人及鉴定方签字并盖章后生效，合同执行完毕自动失效。（合同的服务承诺长期有效）。</w:t>
      </w:r>
    </w:p>
    <w:p w14:paraId="4DB7E25D">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16、合同文件</w:t>
      </w:r>
    </w:p>
    <w:p w14:paraId="3123DF3B">
      <w:pPr>
        <w:snapToGrid w:val="0"/>
        <w:spacing w:line="360" w:lineRule="auto"/>
        <w:ind w:firstLine="474" w:firstLineChars="200"/>
        <w:rPr>
          <w:rFonts w:hint="eastAsia" w:ascii="仿宋" w:hAnsi="仿宋" w:eastAsia="仿宋" w:cs="仿宋"/>
          <w:b/>
          <w:color w:val="000000"/>
          <w:spacing w:val="-2"/>
          <w:sz w:val="24"/>
          <w:szCs w:val="24"/>
        </w:rPr>
      </w:pPr>
      <w:r>
        <w:rPr>
          <w:rFonts w:hint="eastAsia" w:ascii="仿宋" w:hAnsi="仿宋" w:eastAsia="仿宋" w:cs="仿宋"/>
          <w:b/>
          <w:bCs/>
          <w:color w:val="000000"/>
          <w:spacing w:val="-2"/>
          <w:sz w:val="24"/>
          <w:szCs w:val="24"/>
        </w:rPr>
        <w:t>下列文件是构成本合同不可</w:t>
      </w:r>
      <w:r>
        <w:rPr>
          <w:rFonts w:hint="eastAsia" w:ascii="仿宋" w:hAnsi="仿宋" w:eastAsia="仿宋" w:cs="仿宋"/>
          <w:b/>
          <w:color w:val="000000"/>
          <w:spacing w:val="-2"/>
          <w:sz w:val="24"/>
          <w:szCs w:val="24"/>
        </w:rPr>
        <w:t>分割的部分：</w:t>
      </w:r>
    </w:p>
    <w:p w14:paraId="259A84D5">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（1）合同条款；</w:t>
      </w:r>
    </w:p>
    <w:p w14:paraId="085596C9">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2</w:t>
      </w:r>
      <w:r>
        <w:rPr>
          <w:rFonts w:hint="eastAsia" w:ascii="仿宋" w:hAnsi="仿宋" w:eastAsia="仿宋" w:cs="仿宋"/>
          <w:color w:val="000000"/>
          <w:spacing w:val="-2"/>
          <w:sz w:val="24"/>
          <w:szCs w:val="24"/>
          <w:lang w:val="zh-CN"/>
        </w:rPr>
        <w:t>）中标通知书；</w:t>
      </w:r>
    </w:p>
    <w:p w14:paraId="7D6D1DAA">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3</w:t>
      </w:r>
      <w:r>
        <w:rPr>
          <w:rFonts w:hint="eastAsia" w:ascii="仿宋" w:hAnsi="仿宋" w:eastAsia="仿宋" w:cs="仿宋"/>
          <w:color w:val="000000"/>
          <w:spacing w:val="-2"/>
          <w:sz w:val="24"/>
          <w:szCs w:val="24"/>
          <w:lang w:val="zh-CN"/>
        </w:rPr>
        <w:t xml:space="preserve">）招标文件； </w:t>
      </w:r>
    </w:p>
    <w:p w14:paraId="77B35666">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4</w:t>
      </w:r>
      <w:r>
        <w:rPr>
          <w:rFonts w:hint="eastAsia" w:ascii="仿宋" w:hAnsi="仿宋" w:eastAsia="仿宋" w:cs="仿宋"/>
          <w:color w:val="000000"/>
          <w:spacing w:val="-2"/>
          <w:sz w:val="24"/>
          <w:szCs w:val="24"/>
          <w:lang w:val="zh-CN"/>
        </w:rPr>
        <w:t>）投标文件；</w:t>
      </w:r>
    </w:p>
    <w:p w14:paraId="07C79BFD">
      <w:pPr>
        <w:snapToGrid w:val="0"/>
        <w:spacing w:line="360" w:lineRule="auto"/>
        <w:ind w:firstLine="472" w:firstLineChars="20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w:t>
      </w:r>
      <w:r>
        <w:rPr>
          <w:rFonts w:hint="eastAsia" w:ascii="仿宋" w:hAnsi="仿宋" w:eastAsia="仿宋" w:cs="仿宋"/>
          <w:color w:val="000000"/>
          <w:spacing w:val="-2"/>
          <w:sz w:val="24"/>
          <w:szCs w:val="24"/>
        </w:rPr>
        <w:t>5</w:t>
      </w:r>
      <w:r>
        <w:rPr>
          <w:rFonts w:hint="eastAsia" w:ascii="仿宋" w:hAnsi="仿宋" w:eastAsia="仿宋" w:cs="仿宋"/>
          <w:color w:val="000000"/>
          <w:spacing w:val="-2"/>
          <w:sz w:val="24"/>
          <w:szCs w:val="24"/>
          <w:lang w:val="zh-CN"/>
        </w:rPr>
        <w:t>）其他(根据实际情况需要增加的内容)</w:t>
      </w:r>
      <w:r>
        <w:rPr>
          <w:rFonts w:hint="eastAsia" w:ascii="仿宋" w:hAnsi="仿宋" w:eastAsia="仿宋" w:cs="仿宋"/>
          <w:color w:val="000000"/>
          <w:spacing w:val="-2"/>
          <w:sz w:val="24"/>
          <w:szCs w:val="24"/>
        </w:rPr>
        <w:t>,</w:t>
      </w:r>
      <w:r>
        <w:rPr>
          <w:rFonts w:hint="eastAsia" w:ascii="仿宋" w:hAnsi="仿宋" w:eastAsia="仿宋" w:cs="仿宋"/>
          <w:color w:val="000000"/>
          <w:spacing w:val="-2"/>
          <w:sz w:val="24"/>
          <w:szCs w:val="24"/>
          <w:lang w:val="zh-CN"/>
        </w:rPr>
        <w:t>组成合同的各项文件应互相解释，互为说明。合同文件的解释优先顺序以上述文件先后顺序为准。</w:t>
      </w:r>
    </w:p>
    <w:p w14:paraId="5CE81854">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17、项目联系人及方式</w:t>
      </w:r>
    </w:p>
    <w:p w14:paraId="64DCDEFD">
      <w:pPr>
        <w:adjustRightInd w:val="0"/>
        <w:snapToGrid w:val="0"/>
        <w:spacing w:line="360" w:lineRule="auto"/>
        <w:ind w:firstLine="354" w:firstLineChars="15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 xml:space="preserve">甲方项目联系人：              </w:t>
      </w:r>
      <w:r>
        <w:rPr>
          <w:rFonts w:hint="eastAsia" w:ascii="仿宋" w:hAnsi="仿宋" w:eastAsia="仿宋" w:cs="仿宋"/>
          <w:color w:val="000000"/>
          <w:spacing w:val="-2"/>
          <w:sz w:val="24"/>
          <w:szCs w:val="24"/>
        </w:rPr>
        <w:t xml:space="preserve"> </w:t>
      </w:r>
      <w:r>
        <w:rPr>
          <w:rFonts w:hint="eastAsia" w:ascii="仿宋" w:hAnsi="仿宋" w:eastAsia="仿宋" w:cs="仿宋"/>
          <w:color w:val="000000"/>
          <w:spacing w:val="-2"/>
          <w:sz w:val="24"/>
          <w:szCs w:val="24"/>
          <w:lang w:val="zh-CN"/>
        </w:rPr>
        <w:t xml:space="preserve">乙方项目联系人：                </w:t>
      </w:r>
    </w:p>
    <w:p w14:paraId="242FA295">
      <w:pPr>
        <w:adjustRightInd w:val="0"/>
        <w:snapToGrid w:val="0"/>
        <w:spacing w:line="360" w:lineRule="auto"/>
        <w:ind w:firstLine="354" w:firstLineChars="15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 xml:space="preserve">联系电话：                   </w:t>
      </w:r>
      <w:r>
        <w:rPr>
          <w:rFonts w:hint="eastAsia" w:ascii="仿宋" w:hAnsi="仿宋" w:eastAsia="仿宋" w:cs="仿宋"/>
          <w:color w:val="000000"/>
          <w:spacing w:val="-2"/>
          <w:sz w:val="24"/>
          <w:szCs w:val="24"/>
        </w:rPr>
        <w:t xml:space="preserve">  </w:t>
      </w:r>
      <w:r>
        <w:rPr>
          <w:rFonts w:hint="eastAsia" w:ascii="仿宋" w:hAnsi="仿宋" w:eastAsia="仿宋" w:cs="仿宋"/>
          <w:color w:val="000000"/>
          <w:spacing w:val="-2"/>
          <w:sz w:val="24"/>
          <w:szCs w:val="24"/>
          <w:lang w:val="zh-CN"/>
        </w:rPr>
        <w:t xml:space="preserve">联系电话：                      </w:t>
      </w:r>
    </w:p>
    <w:p w14:paraId="53073F77">
      <w:pPr>
        <w:adjustRightInd w:val="0"/>
        <w:snapToGrid w:val="0"/>
        <w:spacing w:line="360" w:lineRule="auto"/>
        <w:ind w:firstLine="354" w:firstLineChars="150"/>
        <w:rPr>
          <w:rFonts w:hint="eastAsia" w:ascii="仿宋" w:hAnsi="仿宋" w:eastAsia="仿宋" w:cs="仿宋"/>
          <w:sz w:val="24"/>
          <w:szCs w:val="24"/>
        </w:rPr>
      </w:pPr>
      <w:r>
        <w:rPr>
          <w:rFonts w:hint="eastAsia" w:ascii="仿宋" w:hAnsi="仿宋" w:eastAsia="仿宋" w:cs="仿宋"/>
          <w:color w:val="000000"/>
          <w:spacing w:val="-2"/>
          <w:sz w:val="24"/>
          <w:szCs w:val="24"/>
          <w:lang w:val="zh-CN"/>
        </w:rPr>
        <w:t xml:space="preserve">联系邮箱：                     联系邮箱：                      </w:t>
      </w:r>
    </w:p>
    <w:p w14:paraId="5C2C60BD">
      <w:pPr>
        <w:adjustRightInd w:val="0"/>
        <w:snapToGrid w:val="0"/>
        <w:spacing w:line="360" w:lineRule="auto"/>
        <w:ind w:firstLine="354" w:firstLineChars="150"/>
        <w:rPr>
          <w:rFonts w:hint="eastAsia" w:ascii="仿宋" w:hAnsi="仿宋" w:eastAsia="仿宋" w:cs="仿宋"/>
          <w:color w:val="000000"/>
          <w:spacing w:val="-2"/>
          <w:sz w:val="24"/>
          <w:szCs w:val="24"/>
          <w:lang w:val="zh-CN"/>
        </w:rPr>
      </w:pPr>
      <w:r>
        <w:rPr>
          <w:rFonts w:hint="eastAsia" w:ascii="仿宋" w:hAnsi="仿宋" w:eastAsia="仿宋" w:cs="仿宋"/>
          <w:color w:val="000000"/>
          <w:spacing w:val="-2"/>
          <w:sz w:val="24"/>
          <w:szCs w:val="24"/>
          <w:lang w:val="zh-CN"/>
        </w:rPr>
        <w:t>在本合同有效期内，一方变更项目联系人的，应当及时以书面形式通知另一方。未及时通知并影响本合同履行或造成损失的，应承担相应的责任。</w:t>
      </w:r>
    </w:p>
    <w:p w14:paraId="3A50779B">
      <w:pPr>
        <w:snapToGrid w:val="0"/>
        <w:spacing w:line="360" w:lineRule="auto"/>
        <w:ind w:firstLine="474" w:firstLineChars="200"/>
        <w:outlineLvl w:val="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18、其他事项</w:t>
      </w:r>
    </w:p>
    <w:p w14:paraId="67AA99B8">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19.1.甲、乙双方做为合同执行的主体，有义务及时完全履行合同。</w:t>
      </w:r>
    </w:p>
    <w:p w14:paraId="7D7B9E5C">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19.2.招标文件、投标文件、澄清表（函）、成交通知书、合同条款，合同附件均成为合同不可分割的部分。</w:t>
      </w:r>
    </w:p>
    <w:p w14:paraId="7EB27C94">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19.3.合同未尽事宜，由甲、乙双方协商并经鉴证方确认后签订政府采购补充合同，与原合同具有同等法律效力。</w:t>
      </w:r>
    </w:p>
    <w:p w14:paraId="3BE4D75B">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19.4.乙方人员在我院发生的任何人身意外，甲方不承担任何责任。</w:t>
      </w:r>
    </w:p>
    <w:p w14:paraId="443E8821">
      <w:pPr>
        <w:pStyle w:val="5"/>
        <w:spacing w:line="360" w:lineRule="auto"/>
        <w:rPr>
          <w:rFonts w:hint="eastAsia" w:ascii="仿宋" w:hAnsi="仿宋" w:eastAsia="仿宋" w:cs="仿宋"/>
          <w:sz w:val="24"/>
          <w:szCs w:val="24"/>
        </w:rPr>
      </w:pPr>
    </w:p>
    <w:p w14:paraId="580A9611">
      <w:pPr>
        <w:snapToGrid w:val="0"/>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本合同按照中华人民共和国的现行法律进行解释。</w:t>
      </w:r>
    </w:p>
    <w:p w14:paraId="5362919D">
      <w:pPr>
        <w:snapToGrid w:val="0"/>
        <w:spacing w:line="360" w:lineRule="auto"/>
        <w:ind w:firstLine="474" w:firstLineChars="200"/>
        <w:rPr>
          <w:rFonts w:hint="eastAsia" w:ascii="仿宋" w:hAnsi="仿宋" w:eastAsia="仿宋" w:cs="仿宋"/>
          <w:b/>
          <w:color w:val="000000"/>
          <w:spacing w:val="-2"/>
          <w:sz w:val="24"/>
          <w:szCs w:val="24"/>
        </w:rPr>
      </w:pPr>
      <w:r>
        <w:rPr>
          <w:rFonts w:hint="eastAsia" w:ascii="仿宋" w:hAnsi="仿宋" w:eastAsia="仿宋" w:cs="仿宋"/>
          <w:b/>
          <w:color w:val="000000"/>
          <w:spacing w:val="-2"/>
          <w:sz w:val="24"/>
          <w:szCs w:val="24"/>
        </w:rPr>
        <w:t>（以下无正文）</w:t>
      </w:r>
    </w:p>
    <w:p w14:paraId="54799EB1">
      <w:pPr>
        <w:pStyle w:val="6"/>
        <w:spacing w:line="360" w:lineRule="auto"/>
        <w:rPr>
          <w:rFonts w:hint="eastAsia" w:ascii="仿宋" w:hAnsi="仿宋" w:eastAsia="仿宋" w:cs="仿宋"/>
          <w:sz w:val="24"/>
          <w:szCs w:val="24"/>
        </w:rPr>
      </w:pPr>
    </w:p>
    <w:p w14:paraId="21D550F6">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甲方：（盖章）                    乙方：（盖章）</w:t>
      </w:r>
    </w:p>
    <w:p w14:paraId="39A76770">
      <w:pPr>
        <w:spacing w:line="360" w:lineRule="auto"/>
        <w:ind w:right="552"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 xml:space="preserve">单位名称：西安市中医医院          单位名称： </w:t>
      </w:r>
    </w:p>
    <w:p w14:paraId="41CB5376">
      <w:pPr>
        <w:spacing w:line="360" w:lineRule="auto"/>
        <w:ind w:right="552"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 xml:space="preserve">地址：西安市凤城八路69号         地址：    </w:t>
      </w:r>
    </w:p>
    <w:p w14:paraId="0CC1AF09">
      <w:pPr>
        <w:spacing w:line="360" w:lineRule="auto"/>
        <w:ind w:firstLine="472" w:firstLineChars="200"/>
        <w:rPr>
          <w:rFonts w:hint="eastAsia" w:ascii="仿宋" w:hAnsi="仿宋" w:eastAsia="仿宋" w:cs="仿宋"/>
          <w:color w:val="000000"/>
          <w:spacing w:val="-2"/>
          <w:sz w:val="24"/>
          <w:szCs w:val="24"/>
        </w:rPr>
      </w:pPr>
    </w:p>
    <w:p w14:paraId="11FB0F20">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法定代表人：（签章）              法定代表人：（签章）</w:t>
      </w:r>
    </w:p>
    <w:p w14:paraId="62BE507E">
      <w:pPr>
        <w:spacing w:line="360" w:lineRule="auto"/>
        <w:ind w:firstLine="472" w:firstLineChars="200"/>
        <w:rPr>
          <w:rFonts w:hint="eastAsia" w:ascii="仿宋" w:hAnsi="仿宋" w:eastAsia="仿宋" w:cs="仿宋"/>
          <w:color w:val="000000"/>
          <w:spacing w:val="-2"/>
          <w:sz w:val="24"/>
          <w:szCs w:val="24"/>
        </w:rPr>
      </w:pPr>
    </w:p>
    <w:p w14:paraId="045F7E3C">
      <w:pPr>
        <w:spacing w:line="360" w:lineRule="auto"/>
        <w:ind w:firstLine="472" w:firstLineChars="200"/>
        <w:rPr>
          <w:rFonts w:hint="eastAsia" w:ascii="仿宋" w:hAnsi="仿宋" w:eastAsia="仿宋" w:cs="仿宋"/>
          <w:color w:val="000000"/>
          <w:spacing w:val="-2"/>
          <w:sz w:val="24"/>
          <w:szCs w:val="24"/>
        </w:rPr>
      </w:pPr>
    </w:p>
    <w:p w14:paraId="626A184D">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主管院长：</w:t>
      </w:r>
    </w:p>
    <w:p w14:paraId="54D08518">
      <w:pPr>
        <w:spacing w:line="360" w:lineRule="auto"/>
        <w:ind w:firstLine="472" w:firstLineChars="200"/>
        <w:rPr>
          <w:rFonts w:hint="eastAsia" w:ascii="仿宋" w:hAnsi="仿宋" w:eastAsia="仿宋" w:cs="仿宋"/>
          <w:color w:val="000000"/>
          <w:spacing w:val="-2"/>
          <w:sz w:val="24"/>
          <w:szCs w:val="24"/>
        </w:rPr>
      </w:pPr>
    </w:p>
    <w:p w14:paraId="1F6AE15D">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代理人：                           代理人：</w:t>
      </w:r>
    </w:p>
    <w:p w14:paraId="47A46E7C">
      <w:pPr>
        <w:spacing w:line="360" w:lineRule="auto"/>
        <w:ind w:firstLine="472" w:firstLineChars="200"/>
        <w:rPr>
          <w:rFonts w:hint="eastAsia" w:ascii="仿宋" w:hAnsi="仿宋" w:eastAsia="仿宋" w:cs="仿宋"/>
          <w:color w:val="000000"/>
          <w:spacing w:val="-2"/>
          <w:sz w:val="24"/>
          <w:szCs w:val="24"/>
        </w:rPr>
      </w:pPr>
    </w:p>
    <w:p w14:paraId="69305917">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经办人：                           经办人：</w:t>
      </w:r>
    </w:p>
    <w:p w14:paraId="4442FBDC">
      <w:pPr>
        <w:spacing w:line="360" w:lineRule="auto"/>
        <w:ind w:firstLine="472" w:firstLineChars="200"/>
        <w:rPr>
          <w:rFonts w:hint="eastAsia" w:ascii="仿宋" w:hAnsi="仿宋" w:eastAsia="仿宋" w:cs="仿宋"/>
          <w:color w:val="000000"/>
          <w:spacing w:val="-2"/>
          <w:sz w:val="24"/>
          <w:szCs w:val="24"/>
        </w:rPr>
      </w:pPr>
    </w:p>
    <w:p w14:paraId="0FDC3DE3">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电话：                             电  话：</w:t>
      </w:r>
    </w:p>
    <w:p w14:paraId="5C99568D">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日期：2024年  月   日              日  期：2024年  月   日</w:t>
      </w:r>
    </w:p>
    <w:p w14:paraId="7E4157FB">
      <w:pPr>
        <w:spacing w:line="360" w:lineRule="auto"/>
        <w:ind w:firstLine="472" w:firstLineChars="200"/>
        <w:rPr>
          <w:rFonts w:hint="eastAsia" w:ascii="仿宋" w:hAnsi="仿宋" w:eastAsia="仿宋" w:cs="仿宋"/>
          <w:color w:val="000000"/>
          <w:spacing w:val="-2"/>
          <w:sz w:val="24"/>
          <w:szCs w:val="24"/>
        </w:rPr>
      </w:pPr>
    </w:p>
    <w:p w14:paraId="1BA182D4">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鉴证方：（盖章）</w:t>
      </w:r>
    </w:p>
    <w:p w14:paraId="41447684">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单位名称：陕西中技招标有限公司</w:t>
      </w:r>
    </w:p>
    <w:p w14:paraId="4580A8F9">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地    址：西安市高新区高新四路1号高科广场A座10楼1001室</w:t>
      </w:r>
    </w:p>
    <w:p w14:paraId="09AE237D">
      <w:pPr>
        <w:spacing w:line="360" w:lineRule="auto"/>
        <w:ind w:firstLine="472" w:firstLineChars="200"/>
        <w:rPr>
          <w:rFonts w:hint="eastAsia" w:ascii="仿宋" w:hAnsi="仿宋" w:eastAsia="仿宋" w:cs="仿宋"/>
          <w:color w:val="000000"/>
          <w:spacing w:val="-2"/>
          <w:sz w:val="24"/>
          <w:szCs w:val="24"/>
        </w:rPr>
      </w:pPr>
    </w:p>
    <w:p w14:paraId="7E491EB1">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法定代表人（签章）：</w:t>
      </w:r>
    </w:p>
    <w:p w14:paraId="0919B922">
      <w:pPr>
        <w:spacing w:line="360" w:lineRule="auto"/>
        <w:ind w:firstLine="472" w:firstLineChars="200"/>
        <w:rPr>
          <w:rFonts w:hint="eastAsia" w:ascii="仿宋" w:hAnsi="仿宋" w:eastAsia="仿宋" w:cs="仿宋"/>
          <w:color w:val="000000"/>
          <w:spacing w:val="-2"/>
          <w:sz w:val="24"/>
          <w:szCs w:val="24"/>
        </w:rPr>
      </w:pPr>
    </w:p>
    <w:p w14:paraId="6ECF548A">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项目授权人：</w:t>
      </w:r>
    </w:p>
    <w:p w14:paraId="195A6971">
      <w:pPr>
        <w:spacing w:line="360" w:lineRule="auto"/>
        <w:ind w:firstLine="472" w:firstLineChars="200"/>
        <w:rPr>
          <w:rFonts w:hint="eastAsia" w:ascii="仿宋" w:hAnsi="仿宋" w:eastAsia="仿宋" w:cs="仿宋"/>
          <w:color w:val="000000"/>
          <w:spacing w:val="-2"/>
          <w:sz w:val="24"/>
          <w:szCs w:val="24"/>
        </w:rPr>
      </w:pPr>
    </w:p>
    <w:p w14:paraId="211CD856">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经办人：</w:t>
      </w:r>
    </w:p>
    <w:p w14:paraId="14B62EDA">
      <w:pPr>
        <w:spacing w:line="360" w:lineRule="auto"/>
        <w:ind w:firstLine="472" w:firstLineChars="200"/>
        <w:rPr>
          <w:rFonts w:hint="eastAsia" w:ascii="仿宋" w:hAnsi="仿宋" w:eastAsia="仿宋" w:cs="仿宋"/>
          <w:color w:val="000000"/>
          <w:spacing w:val="-2"/>
          <w:sz w:val="24"/>
          <w:szCs w:val="24"/>
        </w:rPr>
      </w:pPr>
    </w:p>
    <w:p w14:paraId="209E86E6">
      <w:pPr>
        <w:spacing w:line="360" w:lineRule="auto"/>
        <w:ind w:firstLine="472" w:firstLineChars="200"/>
        <w:rPr>
          <w:rFonts w:hint="eastAsia" w:ascii="仿宋" w:hAnsi="仿宋" w:eastAsia="仿宋" w:cs="仿宋"/>
          <w:color w:val="000000"/>
          <w:spacing w:val="-2"/>
          <w:sz w:val="24"/>
          <w:szCs w:val="24"/>
        </w:rPr>
      </w:pPr>
      <w:r>
        <w:rPr>
          <w:rFonts w:hint="eastAsia" w:ascii="仿宋" w:hAnsi="仿宋" w:eastAsia="仿宋" w:cs="仿宋"/>
          <w:color w:val="000000"/>
          <w:spacing w:val="-2"/>
          <w:sz w:val="24"/>
          <w:szCs w:val="24"/>
        </w:rPr>
        <w:t>联系电话：</w:t>
      </w:r>
    </w:p>
    <w:p w14:paraId="5E042F48">
      <w:r>
        <w:rPr>
          <w:rFonts w:hint="eastAsia" w:ascii="仿宋" w:hAnsi="仿宋" w:eastAsia="仿宋" w:cs="仿宋"/>
          <w:color w:val="000000"/>
          <w:spacing w:val="-2"/>
          <w:sz w:val="24"/>
          <w:szCs w:val="24"/>
        </w:rPr>
        <w:t>日期：2024年   月   日</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B35AB3"/>
    <w:multiLevelType w:val="multilevel"/>
    <w:tmpl w:val="2DB35AB3"/>
    <w:lvl w:ilvl="0" w:tentative="0">
      <w:start w:val="1"/>
      <w:numFmt w:val="decimal"/>
      <w:lvlText w:val="%1、"/>
      <w:lvlJc w:val="left"/>
      <w:pPr>
        <w:ind w:left="1004" w:hanging="450"/>
      </w:pPr>
      <w:rPr>
        <w:rFonts w:hint="default"/>
      </w:rPr>
    </w:lvl>
    <w:lvl w:ilvl="1" w:tentative="0">
      <w:start w:val="1"/>
      <w:numFmt w:val="lowerLetter"/>
      <w:lvlText w:val="%2)"/>
      <w:lvlJc w:val="left"/>
      <w:pPr>
        <w:ind w:left="1394" w:hanging="420"/>
      </w:pPr>
    </w:lvl>
    <w:lvl w:ilvl="2" w:tentative="0">
      <w:start w:val="1"/>
      <w:numFmt w:val="lowerRoman"/>
      <w:lvlText w:val="%3."/>
      <w:lvlJc w:val="right"/>
      <w:pPr>
        <w:ind w:left="1814" w:hanging="420"/>
      </w:pPr>
    </w:lvl>
    <w:lvl w:ilvl="3" w:tentative="0">
      <w:start w:val="1"/>
      <w:numFmt w:val="decimal"/>
      <w:lvlText w:val="%4."/>
      <w:lvlJc w:val="left"/>
      <w:pPr>
        <w:ind w:left="2234" w:hanging="420"/>
      </w:pPr>
    </w:lvl>
    <w:lvl w:ilvl="4" w:tentative="0">
      <w:start w:val="1"/>
      <w:numFmt w:val="lowerLetter"/>
      <w:lvlText w:val="%5)"/>
      <w:lvlJc w:val="left"/>
      <w:pPr>
        <w:ind w:left="2654" w:hanging="420"/>
      </w:pPr>
    </w:lvl>
    <w:lvl w:ilvl="5" w:tentative="0">
      <w:start w:val="1"/>
      <w:numFmt w:val="lowerRoman"/>
      <w:lvlText w:val="%6."/>
      <w:lvlJc w:val="right"/>
      <w:pPr>
        <w:ind w:left="3074" w:hanging="420"/>
      </w:pPr>
    </w:lvl>
    <w:lvl w:ilvl="6" w:tentative="0">
      <w:start w:val="1"/>
      <w:numFmt w:val="decimal"/>
      <w:lvlText w:val="%7."/>
      <w:lvlJc w:val="left"/>
      <w:pPr>
        <w:ind w:left="3494" w:hanging="420"/>
      </w:pPr>
    </w:lvl>
    <w:lvl w:ilvl="7" w:tentative="0">
      <w:start w:val="1"/>
      <w:numFmt w:val="lowerLetter"/>
      <w:lvlText w:val="%8)"/>
      <w:lvlJc w:val="left"/>
      <w:pPr>
        <w:ind w:left="3914" w:hanging="420"/>
      </w:pPr>
    </w:lvl>
    <w:lvl w:ilvl="8" w:tentative="0">
      <w:start w:val="1"/>
      <w:numFmt w:val="lowerRoman"/>
      <w:lvlText w:val="%9."/>
      <w:lvlJc w:val="right"/>
      <w:pPr>
        <w:ind w:left="433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266EA2"/>
    <w:rsid w:val="1A774E7A"/>
    <w:rsid w:val="51266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9"/>
      <w:szCs w:val="19"/>
      <w:lang w:eastAsia="en-US"/>
    </w:rPr>
  </w:style>
  <w:style w:type="paragraph" w:styleId="3">
    <w:name w:val="Body Text Indent"/>
    <w:basedOn w:val="1"/>
    <w:unhideWhenUsed/>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rFonts w:ascii="Times New Roman" w:hAnsi="Times New Roman" w:eastAsia="宋体"/>
      <w:sz w:val="18"/>
      <w:szCs w:val="18"/>
    </w:rPr>
  </w:style>
  <w:style w:type="paragraph" w:styleId="5">
    <w:name w:val="HTML Preformatted"/>
    <w:basedOn w:val="1"/>
    <w:unhideWhenUsed/>
    <w:qFormat/>
    <w:uiPriority w:val="99"/>
    <w:pPr>
      <w:widowControl/>
      <w:jc w:val="left"/>
    </w:pPr>
    <w:rPr>
      <w:rFonts w:ascii="黑体" w:hAnsi="Courier New" w:eastAsia="黑体" w:cs="宋体"/>
      <w:kern w:val="0"/>
      <w:sz w:val="20"/>
    </w:rPr>
  </w:style>
  <w:style w:type="paragraph" w:styleId="6">
    <w:name w:val="Body Text First Indent 2"/>
    <w:basedOn w:val="3"/>
    <w:unhideWhenUsed/>
    <w:qFormat/>
    <w:uiPriority w:val="99"/>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2024-11-05T13:42:00Z</dcterms:created>
  <dc:creator>陕西中技招标有限公司</dc:creator>
  <cp:lastModifiedBy>陕西中技招标有限公司</cp:lastModifiedBy>
  <dcterms:modified xsi:type="dcterms:W3CDTF">2024-11-05T13:44:57Z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59E73F6F7F0143D3820BDC1642A6559E_11</vt:lpwstr>
  </property>
</Properties>
</file>