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警务哨兵系统视频场景化智能应用升级项目</w:t>
      </w:r>
    </w:p>
    <w:p>
      <w:pPr>
        <w:pStyle w:val="null3"/>
        <w:jc w:val="center"/>
        <w:outlineLvl w:val="2"/>
      </w:pPr>
      <w:r>
        <w:rPr>
          <w:sz w:val="28"/>
          <w:b/>
        </w:rPr>
        <w:t>采购项目编号：</w:t>
      </w:r>
      <w:r>
        <w:rPr>
          <w:sz w:val="28"/>
          <w:b/>
        </w:rPr>
        <w:t>SZT2024-SN-QC-ZC-FW-1228</w:t>
      </w:r>
      <w:r>
        <w:br/>
      </w:r>
      <w:r>
        <w:br/>
      </w:r>
      <w:r>
        <w:br/>
      </w:r>
    </w:p>
    <w:p>
      <w:pPr>
        <w:pStyle w:val="null3"/>
        <w:jc w:val="center"/>
        <w:outlineLvl w:val="2"/>
      </w:pPr>
      <w:r>
        <w:rPr>
          <w:sz w:val="28"/>
          <w:b/>
        </w:rPr>
        <w:t>西安市公安局站前分局</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西安市公安局站前分局</w:t>
      </w:r>
      <w:r>
        <w:rPr/>
        <w:t>委托，拟对</w:t>
      </w:r>
      <w:r>
        <w:rPr/>
        <w:t>警务哨兵系统视频场景化智能应用升级项目</w:t>
      </w:r>
      <w:r>
        <w:rPr/>
        <w:t>采用竞争性磋商采购方式进行采购，兹邀请供应商参加本项目的竞争性磋商。</w:t>
      </w:r>
    </w:p>
    <w:p>
      <w:pPr>
        <w:pStyle w:val="null3"/>
        <w:outlineLvl w:val="2"/>
      </w:pPr>
      <w:r>
        <w:rPr>
          <w:sz w:val="28"/>
          <w:b/>
        </w:rPr>
        <w:t>一、项目编号：</w:t>
      </w:r>
      <w:r>
        <w:rPr>
          <w:sz w:val="28"/>
          <w:b/>
        </w:rPr>
        <w:t>SZT2024-SN-QC-ZC-FW-1228</w:t>
      </w:r>
    </w:p>
    <w:p>
      <w:pPr>
        <w:pStyle w:val="null3"/>
        <w:outlineLvl w:val="2"/>
      </w:pPr>
      <w:r>
        <w:rPr>
          <w:sz w:val="28"/>
          <w:b/>
        </w:rPr>
        <w:t>二、项目名称：</w:t>
      </w:r>
      <w:r>
        <w:rPr>
          <w:sz w:val="28"/>
          <w:b/>
        </w:rPr>
        <w:t>警务哨兵系统视频场景化智能应用升级项目</w:t>
      </w:r>
    </w:p>
    <w:p>
      <w:pPr>
        <w:pStyle w:val="null3"/>
        <w:outlineLvl w:val="2"/>
      </w:pPr>
      <w:r>
        <w:rPr>
          <w:sz w:val="28"/>
          <w:b/>
        </w:rPr>
        <w:t>三、磋商项目简介</w:t>
      </w:r>
    </w:p>
    <w:p>
      <w:pPr>
        <w:pStyle w:val="null3"/>
        <w:ind w:firstLine="480"/>
      </w:pPr>
      <w:r>
        <w:rPr/>
        <w:t>警务哨兵系统视频场景化智能应用升级项目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直接参加的，须出示身份证；法定代表人授权他人参加的，须提供法定代表人授权委托书、被授权人提供响应文件截止时间前一年内任意一个月在供应商单位缴纳社会保障资金（养老保险或医疗保险）的缴纳证明及被授权人身份证</w:t>
      </w:r>
    </w:p>
    <w:p>
      <w:pPr>
        <w:pStyle w:val="null3"/>
      </w:pPr>
      <w:r>
        <w:rPr/>
        <w:t>2、本项目不接受联合体投标：本项目不接受联合体投标。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西安市公安局站前分局</w:t>
      </w:r>
    </w:p>
    <w:p>
      <w:pPr>
        <w:pStyle w:val="null3"/>
      </w:pPr>
      <w:r>
        <w:rPr/>
        <w:t xml:space="preserve"> 地址： </w:t>
      </w:r>
      <w:r>
        <w:rPr/>
        <w:t>西安市新城区解放路101号</w:t>
      </w:r>
    </w:p>
    <w:p>
      <w:pPr>
        <w:pStyle w:val="null3"/>
      </w:pPr>
      <w:r>
        <w:rPr/>
        <w:t xml:space="preserve"> 邮编： </w:t>
      </w:r>
      <w:r>
        <w:rPr/>
        <w:t>710000</w:t>
      </w:r>
    </w:p>
    <w:p>
      <w:pPr>
        <w:pStyle w:val="null3"/>
      </w:pPr>
      <w:r>
        <w:rPr/>
        <w:t xml:space="preserve"> 联系人： </w:t>
      </w:r>
      <w:r>
        <w:rPr/>
        <w:t>郭志斌</w:t>
      </w:r>
    </w:p>
    <w:p>
      <w:pPr>
        <w:pStyle w:val="null3"/>
      </w:pPr>
      <w:r>
        <w:rPr/>
        <w:t xml:space="preserve"> 联系电话： </w:t>
      </w:r>
      <w:r>
        <w:rPr/>
        <w:t>029-86753526</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710000</w:t>
      </w:r>
    </w:p>
    <w:p>
      <w:pPr>
        <w:pStyle w:val="null3"/>
      </w:pPr>
      <w:r>
        <w:rPr/>
        <w:t xml:space="preserve"> 联系人： </w:t>
      </w:r>
      <w:r>
        <w:rPr/>
        <w:t>张志翰、马帅、单博</w:t>
      </w:r>
    </w:p>
    <w:p>
      <w:pPr>
        <w:pStyle w:val="null3"/>
      </w:pPr>
      <w:r>
        <w:rPr/>
        <w:t xml:space="preserve"> 联系电话： </w:t>
      </w:r>
      <w:r>
        <w:rPr/>
        <w:t>029-88364979-833</w:t>
      </w:r>
    </w:p>
    <w:p>
      <w:pPr>
        <w:pStyle w:val="null3"/>
        <w:outlineLvl w:val="3"/>
      </w:pPr>
      <w:r>
        <w:rPr>
          <w:sz w:val="24"/>
          <w:b/>
        </w:rPr>
        <w:t>采购监督机构：</w:t>
      </w:r>
      <w:r>
        <w:rPr>
          <w:sz w:val="24"/>
          <w:b/>
        </w:rPr>
        <w:t>西安市新城区政府采购管理股</w:t>
      </w:r>
    </w:p>
    <w:p>
      <w:pPr>
        <w:pStyle w:val="null3"/>
        <w:ind w:firstLine="480"/>
      </w:pPr>
      <w:r>
        <w:rPr/>
        <w:t>联系人：</w:t>
      </w:r>
      <w:r>
        <w:rPr/>
        <w:t>刘婷</w:t>
      </w:r>
    </w:p>
    <w:p>
      <w:pPr>
        <w:pStyle w:val="null3"/>
        <w:ind w:firstLine="480"/>
      </w:pPr>
      <w:r>
        <w:rPr/>
        <w:t>联系电话：</w:t>
      </w:r>
      <w:r>
        <w:rPr/>
        <w:t>87438480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采购包1：885,000.00元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发改价格[2011]534号文件及《国家发展改革委关于进一步放开建设项目专业服务价格的通知》（发改价格〔2015〕299号）文的规定标准收取。由成交供应商支付。此采购代理服务费应计入报价中，但不需要单独开列。在领取成交通知书时向采购代理机构一次性交纳。开户银行：招商银行西安分行营业部；银行账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西安市公安局站前分局</w:t>
      </w:r>
      <w:r>
        <w:rPr/>
        <w:t>和</w:t>
      </w:r>
      <w:r>
        <w:rPr/>
        <w:t>陕西中技招标有限公司</w:t>
      </w:r>
      <w:r>
        <w:rPr/>
        <w:t>享有。对磋商文件中供应商参加本次政府采购活动应当具备的条件，磋商项目技术、服务、商务及其他要求，评审细则及标准由</w:t>
      </w:r>
      <w:r>
        <w:rPr/>
        <w:t>西安市公安局站前分局</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根据合同规定的软硬件产品实际功能、技术参数和验收标准进行验收，经检验无误后出具验收合格证明。</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警务哨兵系统视频场景化智能应用升级项目</w:t>
      </w:r>
    </w:p>
    <w:p>
      <w:pPr>
        <w:pStyle w:val="null3"/>
        <w:outlineLvl w:val="2"/>
      </w:pPr>
      <w:r>
        <w:rPr>
          <w:sz w:val="28"/>
          <w:b/>
        </w:rPr>
        <w:t>3.2采购内容</w:t>
      </w:r>
    </w:p>
    <w:p>
      <w:pPr>
        <w:pStyle w:val="null3"/>
      </w:pPr>
      <w:r>
        <w:rPr/>
        <w:t>采购包1：</w:t>
      </w:r>
    </w:p>
    <w:p>
      <w:pPr>
        <w:pStyle w:val="null3"/>
      </w:pPr>
      <w:r>
        <w:rPr/>
        <w:t>采购包预算金额（元）: 885,000.00</w:t>
      </w:r>
    </w:p>
    <w:p>
      <w:pPr>
        <w:pStyle w:val="null3"/>
      </w:pPr>
      <w:r>
        <w:rPr/>
        <w:t>采购包最高限价（元）: 885,000.00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警务哨兵系统视频场景化智能应用升级系统</w:t>
            </w:r>
          </w:p>
        </w:tc>
        <w:tc>
          <w:tcPr>
            <w:tcW w:type="dxa" w:w="831"/>
          </w:tcPr>
          <w:p>
            <w:pPr>
              <w:pStyle w:val="null3"/>
              <w:jc w:val="right"/>
            </w:pPr>
            <w:r>
              <w:rPr/>
              <w:t>1.00</w:t>
            </w:r>
          </w:p>
        </w:tc>
        <w:tc>
          <w:tcPr>
            <w:tcW w:type="dxa" w:w="831"/>
          </w:tcPr>
          <w:p>
            <w:pPr>
              <w:pStyle w:val="null3"/>
              <w:jc w:val="right"/>
            </w:pPr>
            <w:r>
              <w:rPr/>
              <w:t>885,000.00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标的名称：警务哨兵系统视频场景化智能应用升级系统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0"/>
                <w:b/>
              </w:rPr>
              <w:t>采购内容及技术要求</w:t>
            </w:r>
          </w:p>
          <w:p>
            <w:pPr>
              <w:pStyle w:val="null3"/>
              <w:numPr>
                <w:ilvl w:val="0"/>
                <w:numId w:val="1"/>
              </w:numPr>
              <w:jc w:val="left"/>
            </w:pPr>
            <w:r>
              <w:rPr>
                <w:rFonts w:ascii="宋体" w:hAnsi="宋体" w:cs="宋体" w:eastAsia="宋体"/>
                <w:sz w:val="20"/>
                <w:b/>
              </w:rPr>
              <w:t>项目背景与现状</w:t>
            </w:r>
          </w:p>
          <w:p>
            <w:pPr>
              <w:pStyle w:val="null3"/>
              <w:ind w:firstLine="400"/>
              <w:jc w:val="left"/>
            </w:pPr>
            <w:r>
              <w:rPr>
                <w:rFonts w:ascii="宋体" w:hAnsi="宋体" w:cs="宋体" w:eastAsia="宋体"/>
                <w:sz w:val="20"/>
              </w:rPr>
              <w:t>公安站前分局以市局党委</w:t>
            </w:r>
            <w:r>
              <w:rPr>
                <w:rFonts w:ascii="宋体" w:hAnsi="宋体" w:cs="宋体" w:eastAsia="宋体"/>
                <w:sz w:val="20"/>
              </w:rPr>
              <w:t>“三五五五三”总体思路和政治建警“三个三”工程为引领，以“双优五品一提升”为工作目标，结合辖区实际，积极践行主动警务、预防警务在站前地区落实落地，坚持科技兴警，向科技要警力、要战斗力，着力构建“专业+机制+大数据”新型警务模式，以“打击最精准、防范最严密、管控最精细、服务最便捷、队伍最活力”实战应用需求为导向，创新打造了赋能一线实战的“警务哨兵系统”。该系统以图数融合、智能化应用为突破口，针对西安火车站地区特定行为、特定场景、突发案事件等应用实际，聚合联动刑侦、治安、交警、巡特警快处快反，突出可视化、扁平化指挥特点，全面提升主动预防能力，打造“一图管全域、一键通全警”的警务哨兵系统，全力创建具有站前特色的“警务哨兵”新品牌，不断提升新时代站前公安新质战斗力。</w:t>
            </w:r>
          </w:p>
          <w:p>
            <w:pPr>
              <w:pStyle w:val="null3"/>
              <w:ind w:firstLine="400"/>
              <w:jc w:val="left"/>
            </w:pPr>
            <w:r>
              <w:rPr>
                <w:rFonts w:ascii="宋体" w:hAnsi="宋体" w:cs="宋体" w:eastAsia="宋体"/>
                <w:sz w:val="20"/>
              </w:rPr>
              <w:t>站前分局</w:t>
            </w:r>
            <w:r>
              <w:rPr>
                <w:rFonts w:ascii="宋体" w:hAnsi="宋体" w:cs="宋体" w:eastAsia="宋体"/>
                <w:sz w:val="20"/>
              </w:rPr>
              <w:t>警务哨兵系统拟基于站前场景化实战需求，拟对原系统中视频场景化智能应用进行提档升级，建设本地场景微调模型软件平台，借助本地场景微调模型</w:t>
            </w:r>
            <w:r>
              <w:rPr>
                <w:rFonts w:ascii="宋体" w:hAnsi="宋体" w:cs="宋体" w:eastAsia="宋体"/>
                <w:sz w:val="20"/>
              </w:rPr>
              <w:t>“可对话、会思考、能进化”的能力优势，通过算法生产训练、算力算法管理、视频语义化搜索、场景算法推理布控以满足场景覆盖全、算法迭代快、复杂场景识别准，实现视频图像资源服务各警种业务实战场景。</w:t>
            </w:r>
          </w:p>
          <w:p>
            <w:pPr>
              <w:pStyle w:val="null3"/>
              <w:ind w:firstLine="400"/>
              <w:jc w:val="left"/>
            </w:pPr>
            <w:r>
              <w:rPr>
                <w:rFonts w:ascii="宋体" w:hAnsi="宋体" w:cs="宋体" w:eastAsia="宋体"/>
                <w:sz w:val="20"/>
              </w:rPr>
              <w:t>警务哨兵系统采用双网双平台架构建设，公安视频专网实现视频解析和以图搜图、智能检索等部分视频应用，公安信息网侧进行视频图像技战法功能应用及存储。本项目是在原有系统的基础上结合实战需求，在公安视频网侧，扩展视频解析能力、优化模型能力、扩展模型识别能力、扩展本地模型场景理解与行为识别能力，助力实战应用。</w:t>
            </w:r>
          </w:p>
          <w:p>
            <w:pPr>
              <w:pStyle w:val="null3"/>
              <w:ind w:firstLine="400"/>
              <w:jc w:val="left"/>
            </w:pPr>
            <w:r>
              <w:rPr>
                <w:rFonts w:ascii="宋体" w:hAnsi="宋体" w:cs="宋体" w:eastAsia="宋体"/>
                <w:sz w:val="20"/>
              </w:rPr>
              <w:t>西安市公安局站前分局警务哨兵系统视频场景化智能应用升级项目系统架构图</w:t>
            </w:r>
          </w:p>
          <w:p>
            <w:pPr>
              <w:pStyle w:val="null3"/>
              <w:ind w:firstLine="400"/>
              <w:jc w:val="left"/>
            </w:pPr>
            <w:r>
              <w:rPr>
                <w:rFonts w:ascii="宋体" w:hAnsi="宋体" w:cs="宋体" w:eastAsia="宋体"/>
                <w:sz w:val="20"/>
              </w:rPr>
              <w:t>详见附件1</w:t>
            </w:r>
          </w:p>
          <w:p>
            <w:pPr>
              <w:pStyle w:val="null3"/>
              <w:numPr>
                <w:ilvl w:val="0"/>
                <w:numId w:val="1"/>
              </w:numPr>
              <w:jc w:val="left"/>
            </w:pPr>
            <w:r>
              <w:rPr>
                <w:rFonts w:ascii="宋体" w:hAnsi="宋体" w:cs="宋体" w:eastAsia="宋体"/>
                <w:sz w:val="20"/>
                <w:b/>
              </w:rPr>
              <w:t>主要采购内容及技术指标要求</w:t>
            </w:r>
          </w:p>
          <w:p>
            <w:pPr>
              <w:pStyle w:val="null3"/>
              <w:numPr>
                <w:ilvl w:val="0"/>
                <w:numId w:val="1"/>
              </w:numPr>
              <w:jc w:val="left"/>
            </w:pPr>
            <w:r>
              <w:rPr>
                <w:rFonts w:ascii="宋体" w:hAnsi="宋体" w:cs="宋体" w:eastAsia="宋体"/>
                <w:sz w:val="20"/>
              </w:rPr>
              <w:t>技术总体要求</w:t>
            </w:r>
          </w:p>
          <w:p>
            <w:pPr>
              <w:pStyle w:val="null3"/>
              <w:numPr>
                <w:ilvl w:val="0"/>
                <w:numId w:val="2"/>
              </w:numPr>
              <w:ind w:left="645"/>
              <w:jc w:val="left"/>
            </w:pPr>
            <w:r>
              <w:rPr>
                <w:rFonts w:ascii="宋体" w:hAnsi="宋体" w:cs="宋体" w:eastAsia="宋体"/>
                <w:sz w:val="20"/>
              </w:rPr>
              <w:t>兼容性要求：在站前分局协调已建系统数据和接口可用的情况下，</w:t>
            </w:r>
            <w:r>
              <w:rPr>
                <w:rFonts w:ascii="宋体" w:hAnsi="宋体" w:cs="宋体" w:eastAsia="宋体"/>
                <w:sz w:val="20"/>
              </w:rPr>
              <w:t>供应商</w:t>
            </w:r>
            <w:r>
              <w:rPr>
                <w:rFonts w:ascii="宋体" w:hAnsi="宋体" w:cs="宋体" w:eastAsia="宋体"/>
                <w:sz w:val="20"/>
              </w:rPr>
              <w:t>应承诺本次新建系统、升级功能必须与已建系统实现兼容。</w:t>
            </w:r>
          </w:p>
          <w:p>
            <w:pPr>
              <w:pStyle w:val="null3"/>
              <w:numPr>
                <w:ilvl w:val="0"/>
                <w:numId w:val="2"/>
              </w:numPr>
              <w:ind w:left="645"/>
              <w:jc w:val="left"/>
            </w:pPr>
            <w:r>
              <w:rPr>
                <w:rFonts w:ascii="calibri" w:hAnsi="calibri" w:cs="calibri" w:eastAsia="calibri"/>
                <w:sz w:val="28"/>
              </w:rPr>
              <w:t>★</w:t>
            </w:r>
            <w:r>
              <w:rPr>
                <w:rFonts w:ascii="宋体" w:hAnsi="宋体" w:cs="宋体" w:eastAsia="宋体"/>
                <w:sz w:val="20"/>
              </w:rPr>
              <w:t>国产化要求：项目所采购软硬件产品应满足自主可控国产化要求，</w:t>
            </w:r>
            <w:r>
              <w:rPr>
                <w:rFonts w:ascii="宋体" w:hAnsi="宋体" w:cs="宋体" w:eastAsia="宋体"/>
                <w:sz w:val="20"/>
              </w:rPr>
              <w:t>供应商</w:t>
            </w:r>
            <w:r>
              <w:rPr>
                <w:rFonts w:ascii="宋体" w:hAnsi="宋体" w:cs="宋体" w:eastAsia="宋体"/>
                <w:sz w:val="20"/>
              </w:rPr>
              <w:t>需针对此项出具承诺函，格式自拟。</w:t>
            </w:r>
          </w:p>
          <w:p>
            <w:pPr>
              <w:pStyle w:val="null3"/>
              <w:numPr>
                <w:ilvl w:val="0"/>
                <w:numId w:val="1"/>
              </w:numPr>
              <w:jc w:val="left"/>
            </w:pPr>
            <w:r>
              <w:rPr>
                <w:rFonts w:ascii="宋体" w:hAnsi="宋体" w:cs="宋体" w:eastAsia="宋体"/>
                <w:sz w:val="20"/>
              </w:rPr>
              <w:t>采购内容</w:t>
            </w:r>
          </w:p>
          <w:p>
            <w:pPr>
              <w:pStyle w:val="null3"/>
              <w:numPr>
                <w:ilvl w:val="0"/>
                <w:numId w:val="2"/>
              </w:numPr>
              <w:ind w:left="435"/>
              <w:jc w:val="left"/>
            </w:pPr>
            <w:r>
              <w:rPr>
                <w:rFonts w:ascii="宋体" w:hAnsi="宋体" w:cs="宋体" w:eastAsia="宋体"/>
                <w:sz w:val="20"/>
              </w:rPr>
              <w:t>扩展视频解析功能。</w:t>
            </w:r>
          </w:p>
          <w:p>
            <w:pPr>
              <w:pStyle w:val="null3"/>
              <w:ind w:firstLine="400"/>
              <w:jc w:val="left"/>
            </w:pPr>
            <w:r>
              <w:rPr>
                <w:rFonts w:ascii="宋体" w:hAnsi="宋体" w:cs="宋体" w:eastAsia="宋体"/>
                <w:sz w:val="20"/>
              </w:rPr>
              <w:t>在现有系统基础上，扩展视频解析能力。将接入摄像头从原有</w:t>
            </w:r>
            <w:r>
              <w:rPr>
                <w:rFonts w:ascii="宋体" w:hAnsi="宋体" w:cs="宋体" w:eastAsia="宋体"/>
                <w:sz w:val="20"/>
              </w:rPr>
              <w:t>20路扩展至150路全量视频解析。</w:t>
            </w:r>
          </w:p>
          <w:p>
            <w:pPr>
              <w:pStyle w:val="null3"/>
              <w:numPr>
                <w:ilvl w:val="0"/>
                <w:numId w:val="2"/>
              </w:numPr>
              <w:ind w:left="435"/>
              <w:jc w:val="left"/>
            </w:pPr>
            <w:r>
              <w:rPr>
                <w:rFonts w:ascii="宋体" w:hAnsi="宋体" w:cs="宋体" w:eastAsia="宋体"/>
                <w:sz w:val="20"/>
              </w:rPr>
              <w:t>优化模型能力</w:t>
            </w:r>
          </w:p>
          <w:p>
            <w:pPr>
              <w:pStyle w:val="null3"/>
              <w:ind w:firstLine="400"/>
              <w:jc w:val="left"/>
            </w:pPr>
            <w:r>
              <w:rPr>
                <w:rFonts w:ascii="宋体" w:hAnsi="宋体" w:cs="宋体" w:eastAsia="宋体"/>
                <w:sz w:val="20"/>
              </w:rPr>
              <w:t>在现有系统基础上，优化模型结构与性能。对原有系统的人群聚集、人员逆流、拉横幅、人员徘徊四个行为算法进行微调或重新设计。以提高模型的性能和效率，且识别率率不低于</w:t>
            </w:r>
            <w:r>
              <w:rPr>
                <w:rFonts w:ascii="宋体" w:hAnsi="宋体" w:cs="宋体" w:eastAsia="宋体"/>
                <w:sz w:val="20"/>
              </w:rPr>
              <w:t>80%。</w:t>
            </w:r>
          </w:p>
          <w:p>
            <w:pPr>
              <w:pStyle w:val="null3"/>
              <w:numPr>
                <w:ilvl w:val="0"/>
                <w:numId w:val="2"/>
              </w:numPr>
              <w:ind w:left="435"/>
              <w:jc w:val="left"/>
            </w:pPr>
            <w:r>
              <w:rPr>
                <w:rFonts w:ascii="宋体" w:hAnsi="宋体" w:cs="宋体" w:eastAsia="宋体"/>
                <w:sz w:val="20"/>
              </w:rPr>
              <w:t>扩展模型识别能力</w:t>
            </w:r>
          </w:p>
          <w:p>
            <w:pPr>
              <w:pStyle w:val="null3"/>
              <w:ind w:firstLine="400"/>
              <w:jc w:val="left"/>
            </w:pPr>
            <w:r>
              <w:rPr>
                <w:rFonts w:ascii="宋体" w:hAnsi="宋体" w:cs="宋体" w:eastAsia="宋体"/>
                <w:sz w:val="20"/>
              </w:rPr>
              <w:t>拓展模型识别能力，扩展电瓶车不带头盔、车辆违停滞留（停在网格线内）、打架、区域人数统计、举标语识别、墙壁倒塌、着火冒烟、路面积水共</w:t>
            </w:r>
            <w:r>
              <w:rPr>
                <w:rFonts w:ascii="宋体" w:hAnsi="宋体" w:cs="宋体" w:eastAsia="宋体"/>
                <w:sz w:val="20"/>
              </w:rPr>
              <w:t>8个场景识别模型，且识别率率不低于80%。</w:t>
            </w:r>
          </w:p>
          <w:p>
            <w:pPr>
              <w:pStyle w:val="null3"/>
              <w:numPr>
                <w:ilvl w:val="0"/>
                <w:numId w:val="2"/>
              </w:numPr>
              <w:ind w:left="435"/>
              <w:jc w:val="left"/>
            </w:pPr>
            <w:r>
              <w:rPr>
                <w:rFonts w:ascii="宋体" w:hAnsi="宋体" w:cs="宋体" w:eastAsia="宋体"/>
                <w:sz w:val="20"/>
              </w:rPr>
              <w:t>扩展本地模型场景理解与行为识别能力（新增本地场景微调模型软件平台）</w:t>
            </w:r>
          </w:p>
          <w:p>
            <w:pPr>
              <w:pStyle w:val="null3"/>
              <w:ind w:firstLine="400"/>
              <w:jc w:val="left"/>
            </w:pPr>
            <w:r>
              <w:rPr>
                <w:rFonts w:ascii="宋体" w:hAnsi="宋体" w:cs="宋体" w:eastAsia="宋体"/>
                <w:sz w:val="20"/>
              </w:rPr>
              <w:t>本地场景微调模型平台涵盖了数据平台、训练平台、推理平台和向量库模块，可以为不同业务场景提供定制化的算法服务，满足零样本算法冷启动、少样本训练等需求，提升模型的泛化能力和适应性，增强对异常行为的监测能力和事件预警功能。同时，视频语义搜索功能使用户能够通过自然语言输入快速定位视频中的目标对象，实现对大规模视频数据的高效检索。此外，平台还具备智能化的算力管理功能，利用容器化技术实现算力的弹性分配与管理，保证资源的高效利用。通过智能算力的精细化管理，平台能够在多任务并行时降低资源开销，并支持分时复用，显著提升系统的总体性能。</w:t>
            </w:r>
          </w:p>
          <w:p>
            <w:pPr>
              <w:pStyle w:val="null3"/>
              <w:numPr>
                <w:ilvl w:val="0"/>
                <w:numId w:val="2"/>
              </w:numPr>
              <w:ind w:left="435"/>
              <w:jc w:val="left"/>
            </w:pPr>
            <w:r>
              <w:rPr>
                <w:rFonts w:ascii="宋体" w:hAnsi="宋体" w:cs="宋体" w:eastAsia="宋体"/>
                <w:sz w:val="20"/>
              </w:rPr>
              <w:t>硬件资源扩容</w:t>
            </w:r>
          </w:p>
          <w:p>
            <w:pPr>
              <w:pStyle w:val="null3"/>
              <w:ind w:firstLine="400"/>
              <w:jc w:val="left"/>
            </w:pPr>
            <w:r>
              <w:rPr>
                <w:rFonts w:ascii="宋体" w:hAnsi="宋体" w:cs="宋体" w:eastAsia="宋体"/>
                <w:sz w:val="20"/>
              </w:rPr>
              <w:t>针对前端摄象头从原有</w:t>
            </w:r>
            <w:r>
              <w:rPr>
                <w:rFonts w:ascii="宋体" w:hAnsi="宋体" w:cs="宋体" w:eastAsia="宋体"/>
                <w:sz w:val="20"/>
              </w:rPr>
              <w:t>20路扩展至150路，需增加一台AI服务器用于视频解析能力的扩容，同时增加一台训推搜一体机用于本地场景微调模型软件平台部署。</w:t>
            </w:r>
          </w:p>
          <w:p>
            <w:pPr>
              <w:pStyle w:val="null3"/>
              <w:numPr>
                <w:ilvl w:val="0"/>
                <w:numId w:val="1"/>
              </w:numPr>
              <w:jc w:val="left"/>
            </w:pPr>
            <w:r>
              <w:rPr>
                <w:rFonts w:ascii="宋体" w:hAnsi="宋体" w:cs="宋体" w:eastAsia="宋体"/>
                <w:sz w:val="20"/>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260"/>
              <w:gridCol w:w="265"/>
              <w:gridCol w:w="125"/>
              <w:gridCol w:w="233"/>
              <w:gridCol w:w="1411"/>
              <w:gridCol w:w="126"/>
              <w:gridCol w:w="134"/>
            </w:tblGrid>
            <w:tr>
              <w:tc>
                <w:tcPr>
                  <w:tcW w:type="dxa" w:w="2554"/>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技术服务要求清单</w:t>
                  </w:r>
                </w:p>
              </w:tc>
            </w:tr>
            <w:tr>
              <w:tc>
                <w:tcPr>
                  <w:tcW w:type="dxa" w:w="260"/>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sz w:val="20"/>
                      <w:b/>
                    </w:rPr>
                    <w:t>软硬件</w:t>
                  </w:r>
                </w:p>
              </w:tc>
              <w:tc>
                <w:tcPr>
                  <w:tcW w:type="dxa" w:w="26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sz w:val="20"/>
                      <w:b/>
                    </w:rPr>
                    <w:t>模块</w:t>
                  </w:r>
                </w:p>
              </w:tc>
              <w:tc>
                <w:tcPr>
                  <w:tcW w:type="dxa" w:w="12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sz w:val="20"/>
                      <w:b/>
                    </w:rPr>
                    <w:t>一级功能</w:t>
                  </w:r>
                </w:p>
              </w:tc>
              <w:tc>
                <w:tcPr>
                  <w:tcW w:type="dxa" w:w="233"/>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sz w:val="20"/>
                      <w:b/>
                    </w:rPr>
                    <w:t>二级功能</w:t>
                  </w:r>
                </w:p>
              </w:tc>
              <w:tc>
                <w:tcPr>
                  <w:tcW w:type="dxa" w:w="1411"/>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sz w:val="20"/>
                      <w:b/>
                    </w:rPr>
                    <w:t>功能描述</w:t>
                  </w:r>
                </w:p>
              </w:tc>
              <w:tc>
                <w:tcPr>
                  <w:tcW w:type="dxa" w:w="12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sz w:val="20"/>
                      <w:b/>
                    </w:rPr>
                    <w:t>数量</w:t>
                  </w:r>
                </w:p>
              </w:tc>
              <w:tc>
                <w:tcPr>
                  <w:tcW w:type="dxa" w:w="134"/>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sz w:val="20"/>
                      <w:b/>
                    </w:rPr>
                    <w:t>单位</w:t>
                  </w:r>
                </w:p>
              </w:tc>
            </w:tr>
            <w:tr>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扩展本地模型场景理解与行为识别能力（新增本地场景微调模型平台软件功能清单）</w:t>
                  </w: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首页功能</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中台基础</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能力平台</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能力平台作为本地场景微调模型平台的基础，涵盖了数据平台、训练平台、推理平台和向量库模块，数据平台支持对所有数据集进行纳管，在数据平台标注完成的数据进入训练平台启动模型训练，训练完成的模型进入推理平台，将算法配置到摄像头上，进行实时解析，解析产生的全量数据进入向量库，进行数据特征存储和比对，辅助进行高效数据检索。</w:t>
                  </w:r>
                  <w:r>
                    <w:br/>
                  </w:r>
                  <w:r>
                    <w:rPr>
                      <w:rFonts w:ascii="宋体" w:hAnsi="宋体" w:cs="宋体" w:eastAsia="宋体"/>
                      <w:sz w:val="20"/>
                    </w:rPr>
                    <w:t>▲两级架构检查：需具有前置算法、后置算法两级架构。前置算法采用人、机动车、非机动车、物品、行为、场景等模型进行初筛，后置算法采用基于大模型、微模型以及大模型创建的零样本算法进行精筛。提供证明材料包括但不限于：</w:t>
                  </w:r>
                  <w:r>
                    <w:rPr>
                      <w:rFonts w:ascii="宋体" w:hAnsi="宋体" w:cs="宋体" w:eastAsia="宋体"/>
                      <w:sz w:val="20"/>
                    </w:rPr>
                    <w:t>产品彩页、官网截图或第三方检测机构出具的检测报告。</w:t>
                  </w:r>
                </w:p>
              </w:tc>
              <w:tc>
                <w:tcPr>
                  <w:tcW w:type="dxa" w:w="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基础应用</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基础应用模块，支撑视频搜索、事件中心和视频广场三大基础应用。视频搜索，通过输入自然语言搜索符合要求数据，同时告警数据全量展示在事件中心支持按时间、事件等字段进行检索，视频广场展示接入平台的摄像头视频情况，辅助查看当前摄像头实时画面。</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场景应用</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场景应用模块主要为行业应用，如重点区域监控、场景行为识别等；算力资源管理模块展示的底层算力资源及接入的摄像头资源情况。包含</w:t>
                  </w:r>
                  <w:r>
                    <w:rPr>
                      <w:rFonts w:ascii="宋体" w:hAnsi="宋体" w:cs="宋体" w:eastAsia="宋体"/>
                      <w:sz w:val="20"/>
                    </w:rPr>
                    <w:t>AI服务器、GPU等计算资源和摄像头资源。</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宏观态势</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宏观态势大屏提供宏观指标整体概览，包含数据平台数据集情况、训练任务以及推理告警产生情况。</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数据平台</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数据管理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数据集列表</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数据集列表信息包含数据集名称、版本号、继承版本，标注类型、数据来源等字段。</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目录管理</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系统提供目录管理功能，对数据集进行分类管理，包括编辑和删除等功能。</w:t>
                  </w:r>
                  <w:r>
                    <w:br/>
                  </w:r>
                  <w:r>
                    <w:rPr>
                      <w:rFonts w:ascii="宋体" w:hAnsi="宋体" w:cs="宋体" w:eastAsia="宋体"/>
                      <w:sz w:val="20"/>
                    </w:rPr>
                    <w:t>目录管理功能支持数据集的新建、移动等操作。</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数据集操作</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系统支持对数据集的操作，包括特征抽取、数据标注、版本提交、数据集详情、数据拆分、数据复制、数据删除等功能</w:t>
                  </w:r>
                  <w:r>
                    <w:br/>
                  </w:r>
                  <w:r>
                    <w:rPr>
                      <w:rFonts w:ascii="宋体" w:hAnsi="宋体" w:cs="宋体" w:eastAsia="宋体"/>
                      <w:sz w:val="20"/>
                    </w:rPr>
                    <w:t>▲数据集操作检查：支持查看数据集详细信息，包括数据集名称、版本、标注类型、数据量、已标注和版本提交状态。支持点击查看标注进入数据标注页面。提供证明材料包括但不限于：</w:t>
                  </w:r>
                  <w:r>
                    <w:rPr>
                      <w:rFonts w:ascii="宋体" w:hAnsi="宋体" w:cs="宋体" w:eastAsia="宋体"/>
                      <w:sz w:val="20"/>
                    </w:rPr>
                    <w:t>产品彩页、官网截图或第三方检测机构出具的检测报告。</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数据检索</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结构化检索</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平台中数据拥有的数据源、数据目录、事件类型等多种结构化标签，结合平台数据标签，基于结构化检索，可输入多条件比如时间、事件类型、图片类型等字段进行组合查询。</w:t>
                  </w:r>
                  <w:r>
                    <w:br/>
                  </w:r>
                  <w:r>
                    <w:rPr>
                      <w:rFonts w:ascii="宋体" w:hAnsi="宋体" w:cs="宋体" w:eastAsia="宋体"/>
                      <w:sz w:val="20"/>
                    </w:rPr>
                    <w:t>▲结构化检索功能检查：支持 1 亿数据结构化检索，结构化检索的平均响应时间≤1s。提供证明材料包括但不限于：</w:t>
                  </w:r>
                  <w:r>
                    <w:rPr>
                      <w:rFonts w:ascii="宋体" w:hAnsi="宋体" w:cs="宋体" w:eastAsia="宋体"/>
                      <w:sz w:val="20"/>
                    </w:rPr>
                    <w:t>产品彩页、官网截图或第三方检测机构出具的检测报告。</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特征检索</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为数据建立特征检索库，输入自然语义进行按数据集检索，找出满足文本描述匹配的数据。基于本地场景微调模型中特征抽取服务，方便实现指定数据集抽取特征，经过特征抽取后的数据集所有的图片都有特征值，结合特征比对服务，实现文本语义的理解和图片文本快速比对。同一个数据集可以拥有多个特征版本，一张图片可以有多种特征值。</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数据标注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图片分类标注</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标注界面标签栏新建并选定标签并保存即可</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目标检测标注</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在标注页面找到框选工具，点击框选按钮，在图片上点击即可开始拖拽，再次点击即完成目标的圈定；针对圈定的目标框选择标签。展示目标框的</w:t>
                  </w:r>
                  <w:r>
                    <w:rPr>
                      <w:rFonts w:ascii="宋体" w:hAnsi="宋体" w:cs="宋体" w:eastAsia="宋体"/>
                      <w:sz w:val="20"/>
                    </w:rPr>
                    <w:t>id以及对应的标签名称。</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训练平台</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模型服务</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模型列表</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模型列表管理所有创建的模型，以模型版本作为最小管理单位，模型列表包含模型名称、模型版本、模型训练状态、训练时长、模型效果等数据，其中模型版本默认从</w:t>
                  </w:r>
                  <w:r>
                    <w:rPr>
                      <w:rFonts w:ascii="宋体" w:hAnsi="宋体" w:cs="宋体" w:eastAsia="宋体"/>
                      <w:sz w:val="20"/>
                    </w:rPr>
                    <w:t>V0开始，针对同一个模型，通过选择新数据集即可重新训练，每次训练会新增一个版本。模型训练状态包含未开始、训练中、已完成、训练失败四种状态。</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创建模型</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支持通过输入模型名称、选择本地场景微调模型，新增模型标签并选择数据集进行模型创建并训练。</w:t>
                  </w:r>
                  <w:r>
                    <w:br/>
                  </w:r>
                  <w:r>
                    <w:rPr>
                      <w:rFonts w:ascii="宋体" w:hAnsi="宋体" w:cs="宋体" w:eastAsia="宋体"/>
                      <w:sz w:val="20"/>
                    </w:rPr>
                    <w:t>▲模型训练功能检查：需支持选择目录、模型类别、模型名称、功能描述、模型标签、训练数据集、测试数据集等创建模型。需满足在数据样本大于3000张时，模型训练时长≤60s。提供证明材料包括但不限于：</w:t>
                  </w:r>
                  <w:r>
                    <w:rPr>
                      <w:rFonts w:ascii="宋体" w:hAnsi="宋体" w:cs="宋体" w:eastAsia="宋体"/>
                      <w:sz w:val="20"/>
                    </w:rPr>
                    <w:t>产品彩页、官网截图或第三方检测机构出具的检测报告。</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重新训练</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针对同一个模型，当需要持续积累数据进行重新训练，调整或新增标注数据后，可通过选择新数据集即可重新训练，每次训练会新增一个版本，默认页面展示最新版本。</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模型上传下载</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支持微模型迁移，在</w:t>
                  </w:r>
                  <w:r>
                    <w:rPr>
                      <w:rFonts w:ascii="宋体" w:hAnsi="宋体" w:cs="宋体" w:eastAsia="宋体"/>
                      <w:sz w:val="20"/>
                    </w:rPr>
                    <w:t>A地训练后的微模型，可上传到B地进行发布使用。</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查看详情</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查看模型训练的标签数量及相关标签性能指标，以及模型训练基础信息。</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查看日志</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模型训练完成或训练失败的模型，支持点击查看日志图标，帮助定位排查问题。</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模型发布</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针对较为理想的模型，支持一键点击模型发布，推送到算法包管理页面。</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模型评估</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模型评估目标是客观评估训练完成模型在其他数据集模型性能表现，利用数据平台已标注完成的数据集进行评估，展示对应标签的评估指标，判定模型不同标签的推理结果和标注结果区别，方便快速分析定位模型推理性能。</w:t>
                  </w:r>
                  <w:r>
                    <w:br/>
                  </w:r>
                  <w:r>
                    <w:rPr>
                      <w:rFonts w:ascii="宋体" w:hAnsi="宋体" w:cs="宋体" w:eastAsia="宋体"/>
                      <w:sz w:val="20"/>
                    </w:rPr>
                    <w:t>▲模型评估功能检查：支持选择已抽取特征的数据集进行模型评估，可展示评估结果，包括模型准确率和召回率，及数据集中每张图片的识别结果和标注结果，并以不同颜色展示识别错误结果。支持按检验标签、匹配标签检索评估结果。提供证明材料包括但不限于：</w:t>
                  </w:r>
                  <w:r>
                    <w:rPr>
                      <w:rFonts w:ascii="宋体" w:hAnsi="宋体" w:cs="宋体" w:eastAsia="宋体"/>
                      <w:sz w:val="20"/>
                    </w:rPr>
                    <w:t>产品彩页、官网截图或第三方检测机构出具的检测报告。</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算法包管理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算法可视化编排</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算法可视化编排支持增加多文本分类算法和微模型组合，输入算法包名称和输出描述，选择初始化算法，比如检测人员，检测车辆等算法，将视频流生成告警图片，选择文本分类算法或者微模型，支持多选，也可只选择其中一种，最后生成组合算法包。</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零样本算法创建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当有新算法需求要求快速上线，并且没有数据支撑情况，系统支持创建文本算法满足业务需求，通过定义文本标签，对标签进行文本描述，来判断图片和语言描述是否匹配，设置阈值后即可创建生成一个算法包。实现</w:t>
                  </w:r>
                  <w:r>
                    <w:rPr>
                      <w:rFonts w:ascii="宋体" w:hAnsi="宋体" w:cs="宋体" w:eastAsia="宋体"/>
                      <w:sz w:val="20"/>
                    </w:rPr>
                    <w:t>0数据冷启动算法，帮助客户解决长尾算法冷启动问题。</w:t>
                  </w:r>
                  <w:r>
                    <w:br/>
                  </w:r>
                  <w:r>
                    <w:rPr>
                      <w:rFonts w:ascii="宋体" w:hAnsi="宋体" w:cs="宋体" w:eastAsia="宋体"/>
                      <w:sz w:val="20"/>
                    </w:rPr>
                    <w:t>▲零样本算法创建功能检查：支持在 1 分钟内零样本创建检测/分类算法，设置标签、输入标签描述、输入算法阈值创建并生成算法包。提供证明材料包括但不限于：产品彩页、官网截图或第三方检测机构出具的检测报告。</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推理平台功能</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算法仓库</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算法仓库</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算法仓库内展示本地场景微调模型平台所有可支持的事件算法和全解析算法。</w:t>
                  </w:r>
                  <w:r>
                    <w:br/>
                  </w:r>
                  <w:r>
                    <w:rPr>
                      <w:rFonts w:ascii="宋体" w:hAnsi="宋体" w:cs="宋体" w:eastAsia="宋体"/>
                      <w:sz w:val="20"/>
                    </w:rPr>
                    <w:t>包括所有算法分场景集中展示，包含算法状态（最近一周新增或更新），支持算法任务情况及应用场景</w:t>
                  </w:r>
                  <w:r>
                    <w:br/>
                  </w:r>
                  <w:r>
                    <w:rPr>
                      <w:rFonts w:ascii="宋体" w:hAnsi="宋体" w:cs="宋体" w:eastAsia="宋体"/>
                      <w:sz w:val="20"/>
                    </w:rPr>
                    <w:t>支持展示算法详细信息，包含算法编号、算法名称、功能描述、算法厂家、应用场景、分类、算力要求</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任务管理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算法任务创建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算法任务创建，一般是建立行为事件解析任务，满足城市治理不同场景的事件分析需要，在任务创建时，需要添加任务名称、任务关联的算力单元、任务等级、任务执行周期、任务对应事件类型等信息。</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算法任务列表</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算法任务列表，以列表方式管理所有算法任务，主要的算法任务展示字段包括任务名称、关联事件类型、使用算力情况、任务分级、执行周期、关联设备数量、关联事件预警、任务状态开关等。</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算法任务筛选</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算法任务筛选，支持通过任务名称检索任务，以及通过关联事件类型、任务关联设备所属区域、任务关联事件预警等级以及任务的具体状态进行任务快速筛选查看，方便用户便捷查找算法任务。</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算法任务详情</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算法任务详情，可以查看算法任务具体名称、关联的算力资源、任务具体等级、任务具体执行周期、事件类型以及关联设备，针对视频解析任务，还可以查看视频场景图，方便用户进行任务类型的判断，创建合适的算法任务。</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规则管理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规则列表</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规则列表，以列表形式管理所有的规则条目，主要规则列表展示的字段包含规则名称、事件名称、关联任务、关联设备等字段。</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规则创建</w:t>
                  </w:r>
                </w:p>
              </w:tc>
              <w:tc>
                <w:tcPr>
                  <w:tcW w:type="dxa" w:w="14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系统支持按需求创建规则，以满足业务场景需求，规则创建，一般是要求摄像头已经配置行为解析任务，在根据业务需求配置不同规则，在规则创建时，需要添加规则名称、定义对应的算力单元、选择合适事件名称、摄像头以及摄像头对应的主、子算法任务等信息。</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向量库</w:t>
                  </w:r>
                </w:p>
              </w:tc>
              <w:tc>
                <w:tcPr>
                  <w:tcW w:type="dxa" w:w="3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向量库管理</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向量库管理将全量的数据分门别类管理，一般会根据实际场景进行命名，如人体库、事件库、车辆库、场景库等，通过卡片形式进行管理，方便了解当前每个库实际情况，包含库名称、库的数据总量、以及每天更新数据情况。</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基础应用</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视频搜索</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视频语义搜索</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语义搜索结果默认展示不少于</w:t>
                  </w:r>
                  <w:r>
                    <w:rPr>
                      <w:rFonts w:ascii="宋体" w:hAnsi="宋体" w:cs="宋体" w:eastAsia="宋体"/>
                      <w:sz w:val="20"/>
                    </w:rPr>
                    <w:t>top200条数据，由和文本匹配度从高到低展示，一页默认展示不少于50条数据；支持查看场景图+小图。</w:t>
                  </w:r>
                  <w:r>
                    <w:br/>
                  </w:r>
                  <w:r>
                    <w:rPr>
                      <w:rFonts w:ascii="宋体" w:hAnsi="宋体" w:cs="宋体" w:eastAsia="宋体"/>
                      <w:sz w:val="20"/>
                    </w:rPr>
                    <w:t>▲自然语言检索平均响应时间试验：支持输入自然语言检索图片， 单台训练/搜索/推理服务器支持不少于1亿图像的全量特征检索，检索平均响应时间≤1s。全量特征需包括场景、人脸、人体、车辆、非机动车、物品、结构化属性、行为，单个全量特征向量需大小≥3KB。提供证明材料包括但不限于：</w:t>
                  </w:r>
                  <w:r>
                    <w:rPr>
                      <w:rFonts w:ascii="宋体" w:hAnsi="宋体" w:cs="宋体" w:eastAsia="宋体"/>
                      <w:sz w:val="20"/>
                    </w:rPr>
                    <w:t>产品彩页、官网截图或第三方检测机构出具的检测报告。</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二次搜索</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基于输入自然语义搜索的结果数据，支持勾选比较符合要求的结果数据进行二次搜索。根据搜索结果进行二次搜索，找到更精准匹配的搜索结果。支持多张图片勾选，可以选择多张图片进行更精确的二次搜索。</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历史记录</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默认展示最新</w:t>
                  </w:r>
                  <w:r>
                    <w:rPr>
                      <w:rFonts w:ascii="宋体" w:hAnsi="宋体" w:cs="宋体" w:eastAsia="宋体"/>
                      <w:sz w:val="20"/>
                    </w:rPr>
                    <w:t>5条历史记录数据，使用户能够迅速回顾和访问之前的搜索，支持用户通过点击任意一条历史记录来快速启动自然语言搜索。每次用户进行新的搜索时，系统都会自动更新并展示最新的5条记录。</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推荐词条</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根据用户自然语言搜索关键词，根据文本特征进行推荐，推荐和搜索自然语言相近的关键词联想，默认展示最匹配搜索关键词的</w:t>
                  </w:r>
                  <w:r>
                    <w:rPr>
                      <w:rFonts w:ascii="宋体" w:hAnsi="宋体" w:cs="宋体" w:eastAsia="宋体"/>
                      <w:sz w:val="20"/>
                    </w:rPr>
                    <w:t>5条推荐词条。同时系统右侧默认展示与用户搜索关键词最为匹配的5条推荐词条。</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语音识别搜索</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语音识别搜索是通过说话的方式，系统可以自动识别并转换成语言进行检索，找到匹配说话内容的视频监控场景和告警图片。</w:t>
                  </w:r>
                  <w:r>
                    <w:br/>
                  </w:r>
                  <w:r>
                    <w:rPr>
                      <w:rFonts w:ascii="宋体" w:hAnsi="宋体" w:cs="宋体" w:eastAsia="宋体"/>
                      <w:sz w:val="20"/>
                    </w:rPr>
                    <w:t>▲语音检索功能试验：支持输入语音检索图片。 语音请求响应时间≤3s。提供证明材料包括但不限于：</w:t>
                  </w:r>
                  <w:r>
                    <w:rPr>
                      <w:rFonts w:ascii="宋体" w:hAnsi="宋体" w:cs="宋体" w:eastAsia="宋体"/>
                      <w:sz w:val="20"/>
                    </w:rPr>
                    <w:t>产品彩页、官网截图或第三方检测机构出具的检测报告。</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快速训练</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当搜索的结果不满足预期实，可直接对搜索结果数据进行简单标注，比如可通过点击错误、不正确按钮给机器做信息反馈，系统可根据这个反馈进行快速的训练，训练后的模型可立即进行搜索，从而得到更准确的搜索结果。</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全部预警</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搜索预警</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支持按任务名称、时间、区域、任务等级、事件类型等参数进行预警检索。</w:t>
                  </w:r>
                  <w:r>
                    <w:br/>
                  </w:r>
                  <w:r>
                    <w:rPr>
                      <w:rFonts w:ascii="宋体" w:hAnsi="宋体" w:cs="宋体" w:eastAsia="宋体"/>
                      <w:sz w:val="20"/>
                    </w:rPr>
                    <w:t>检索完成后，在预警信息区会显示所有符合检索条件的预警。预警可以由卡片形式或列表形式展示。展示的信息有：预警任务名称、事件类型、预警等级、预警时间、预警地点、图片。</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查看预警详情</w:t>
                  </w:r>
                </w:p>
              </w:tc>
              <w:tc>
                <w:tcPr>
                  <w:tcW w:type="dxa" w:w="14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单击任意预警结果卡片或列表中的查看详情，进入预警详情页，展示事件预警图片、任务名称、事件类型、时间和预警地点；支持删除预警事件。</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3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实时预警</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实时预警界面以地图形式实时展示了预警的分布，当有新的事件产生时，在地图和预警列表上跳出预警卡片，延迟</w:t>
                  </w:r>
                  <w:r>
                    <w:rPr>
                      <w:rFonts w:ascii="宋体" w:hAnsi="宋体" w:cs="宋体" w:eastAsia="宋体"/>
                      <w:sz w:val="20"/>
                    </w:rPr>
                    <w:t>2s以内。</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3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综合流量分析</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支持对人流量、车流量、区域人数统计等统计类算法通过配置重点展示人数变化趋势，通过报表统计方式能详细展示人流量、车流量当前以及历史变化趋势。</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3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Drawer</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对某一路视频流画面中的人、物、车、非机动车进行实时解析和预警规则的判断，将符合预警条件的目标直观的绘制在实时播放的视频画面上，可直观看到实时解析结果的展示。</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算力资源管理功能</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Domain管理</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Domain管理，可以添加Domain名称，以及该Domain关联的解析算力集群，包括场所区域所关联的终端设备。</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摄像头管理</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针对不同厂商所建设的视频终端设备，设备管理模块提供标准化的接口，从已建的各类视频汇聚平台或者</w:t>
                  </w:r>
                  <w:r>
                    <w:rPr>
                      <w:rFonts w:ascii="宋体" w:hAnsi="宋体" w:cs="宋体" w:eastAsia="宋体"/>
                      <w:sz w:val="20"/>
                    </w:rPr>
                    <w:t>NVR设备获取视频终端设备的各类信息，例如设备类型、设备名称、设备位置信息等；并且支持GB28281、RTSP等主流标准，从视频汇聚平台、NVR等获取实时视频流数据。</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算力分配管理</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算力分配管理，目的是实现算力资源的精细化管理和分配，根据实际业务场景和需求，可以将算力资源按照</w:t>
                  </w:r>
                  <w:r>
                    <w:rPr>
                      <w:rFonts w:ascii="宋体" w:hAnsi="宋体" w:cs="宋体" w:eastAsia="宋体"/>
                      <w:sz w:val="20"/>
                    </w:rPr>
                    <w:t>AI标准化算力单元进行灵活分配，满足算力资源的精细化管理和使用需要。</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解析集群管理</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智能算力为不同类型的、大量算法任务实际运行，产生各类事件告警提供基础的计算环境。通过人工智能算力的统一管控，可以在全局角度，实时掌握</w:t>
                  </w:r>
                  <w:r>
                    <w:rPr>
                      <w:rFonts w:ascii="宋体" w:hAnsi="宋体" w:cs="宋体" w:eastAsia="宋体"/>
                      <w:sz w:val="20"/>
                    </w:rPr>
                    <w:t>AI算力资源的使用情况、剩余情况等信息，实现AI算力灵活调度和算力价值最大化。算力的新增或者减少，具有弹性平滑的特性，算力管理本身不能影响上层应用服务的正常运行。</w:t>
                  </w:r>
                  <w:r>
                    <w:br/>
                  </w:r>
                  <w:r>
                    <w:rPr>
                      <w:rFonts w:ascii="宋体" w:hAnsi="宋体" w:cs="宋体" w:eastAsia="宋体"/>
                      <w:sz w:val="20"/>
                    </w:rPr>
                    <w:t>▲解析集群管理功能检查：支持解析服务器、边缘解析盒子等解析集群管理。支持按所属 Domain 检索解析集群管理列表，列表展示内容包括对应集群映射后端口、版本号、最近升级时间以及运行状态。支持输入升级包链接和 SHA256 值对边缘解析盒子的算法模型进行一键批量升级。支持对边缘解析盒子进行批量重启操作。提供证明材料包括但不限于：</w:t>
                  </w:r>
                  <w:r>
                    <w:rPr>
                      <w:rFonts w:ascii="宋体" w:hAnsi="宋体" w:cs="宋体" w:eastAsia="宋体"/>
                      <w:sz w:val="20"/>
                    </w:rPr>
                    <w:t>产品彩页、官网截图或第三方检测机构出具的检测报告。</w:t>
                  </w:r>
                </w:p>
              </w:tc>
              <w:tc>
                <w:tcPr>
                  <w:tcW w:type="dxa" w:w="126"/>
                  <w:vMerge/>
                  <w:tcBorders>
                    <w:top w:val="none" w:color="000000" w:sz="4"/>
                    <w:left w:val="none" w:color="000000" w:sz="4"/>
                    <w:bottom w:val="single" w:color="000000" w:sz="4"/>
                    <w:right w:val="single" w:color="000000" w:sz="4"/>
                  </w:tcBorders>
                </w:tcPr>
                <w:p/>
              </w:tc>
              <w:tc>
                <w:tcPr>
                  <w:tcW w:type="dxa" w:w="134"/>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3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用户管理</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支持按照不同的角色权限创建、管理用户。</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4"/>
                  <w:vMerge/>
                  <w:tcBorders>
                    <w:top w:val="none" w:color="000000" w:sz="4"/>
                    <w:left w:val="none" w:color="000000" w:sz="4"/>
                    <w:bottom w:val="single" w:color="000000" w:sz="4"/>
                    <w:right w:val="single" w:color="000000" w:sz="4"/>
                  </w:tcBorders>
                </w:tcPr>
                <w:p/>
              </w:tc>
            </w:tr>
            <w:tr>
              <w:tc>
                <w:tcPr>
                  <w:tcW w:type="dxa" w:w="26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技术服务</w:t>
                  </w:r>
                </w:p>
              </w:tc>
              <w:tc>
                <w:tcPr>
                  <w:tcW w:type="dxa" w:w="62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扩展视频解析功能</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扩展视频解析接入数量。将接入摄像头从原有</w:t>
                  </w:r>
                  <w:r>
                    <w:rPr>
                      <w:rFonts w:ascii="宋体" w:hAnsi="宋体" w:cs="宋体" w:eastAsia="宋体"/>
                      <w:sz w:val="20"/>
                    </w:rPr>
                    <w:t>20路扩展至150路全量视频解析。</w:t>
                  </w:r>
                </w:p>
              </w:tc>
              <w:tc>
                <w:tcPr>
                  <w:tcW w:type="dxa" w:w="1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r>
            <w:tr>
              <w:tc>
                <w:tcPr>
                  <w:tcW w:type="dxa" w:w="260"/>
                  <w:vMerge/>
                  <w:tcBorders>
                    <w:top w:val="none" w:color="000000" w:sz="4"/>
                    <w:left w:val="single" w:color="000000" w:sz="4"/>
                    <w:bottom w:val="none" w:color="000000" w:sz="4"/>
                    <w:right w:val="single" w:color="000000" w:sz="4"/>
                  </w:tcBorders>
                </w:tcPr>
                <w:p/>
              </w:tc>
              <w:tc>
                <w:tcPr>
                  <w:tcW w:type="dxa" w:w="62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优化模型功能</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优化原有聚集、逆流、拉横幅、徘徊</w:t>
                  </w:r>
                  <w:r>
                    <w:rPr>
                      <w:rFonts w:ascii="宋体" w:hAnsi="宋体" w:cs="宋体" w:eastAsia="宋体"/>
                      <w:sz w:val="20"/>
                    </w:rPr>
                    <w:t>4个算法，升级为基于本地场景微调模型行为识别、场景理解能力的场景微调模型。</w:t>
                  </w:r>
                </w:p>
              </w:tc>
              <w:tc>
                <w:tcPr>
                  <w:tcW w:type="dxa" w:w="126"/>
                  <w:vMerge/>
                  <w:tcBorders>
                    <w:top w:val="none" w:color="000000" w:sz="4"/>
                    <w:left w:val="none" w:color="000000" w:sz="4"/>
                    <w:bottom w:val="none" w:color="000000" w:sz="4"/>
                    <w:right w:val="single" w:color="000000" w:sz="4"/>
                  </w:tcBorders>
                </w:tcPr>
                <w:p/>
              </w:tc>
              <w:tc>
                <w:tcPr>
                  <w:tcW w:type="dxa" w:w="134"/>
                  <w:vMerge/>
                  <w:tcBorders>
                    <w:top w:val="none" w:color="000000" w:sz="4"/>
                    <w:left w:val="none" w:color="000000" w:sz="4"/>
                    <w:bottom w:val="none" w:color="000000" w:sz="4"/>
                    <w:right w:val="single" w:color="000000" w:sz="4"/>
                  </w:tcBorders>
                </w:tcPr>
                <w:p/>
              </w:tc>
            </w:tr>
            <w:tr>
              <w:tc>
                <w:tcPr>
                  <w:tcW w:type="dxa" w:w="260"/>
                  <w:vMerge/>
                  <w:tcBorders>
                    <w:top w:val="none" w:color="000000" w:sz="4"/>
                    <w:left w:val="single" w:color="000000" w:sz="4"/>
                    <w:bottom w:val="none" w:color="000000" w:sz="4"/>
                    <w:right w:val="single" w:color="000000" w:sz="4"/>
                  </w:tcBorders>
                </w:tcPr>
                <w:p/>
              </w:tc>
              <w:tc>
                <w:tcPr>
                  <w:tcW w:type="dxa" w:w="62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扩展模型识别功能</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基于本地场景微调模型能力，扩展电瓶车不带头盔、车辆违停滞留（停在网格线内）、打架、区域人数统计、举标语识别、墙壁倒塌、着火冒烟、路面积水共</w:t>
                  </w:r>
                  <w:r>
                    <w:rPr>
                      <w:rFonts w:ascii="宋体" w:hAnsi="宋体" w:cs="宋体" w:eastAsia="宋体"/>
                      <w:sz w:val="20"/>
                    </w:rPr>
                    <w:t>8个场景识别模型</w:t>
                  </w:r>
                </w:p>
              </w:tc>
              <w:tc>
                <w:tcPr>
                  <w:tcW w:type="dxa" w:w="126"/>
                  <w:vMerge/>
                  <w:tcBorders>
                    <w:top w:val="none" w:color="000000" w:sz="4"/>
                    <w:left w:val="none" w:color="000000" w:sz="4"/>
                    <w:bottom w:val="none" w:color="000000" w:sz="4"/>
                    <w:right w:val="single" w:color="000000" w:sz="4"/>
                  </w:tcBorders>
                </w:tcPr>
                <w:p/>
              </w:tc>
              <w:tc>
                <w:tcPr>
                  <w:tcW w:type="dxa" w:w="134"/>
                  <w:vMerge/>
                  <w:tcBorders>
                    <w:top w:val="none" w:color="000000" w:sz="4"/>
                    <w:left w:val="none" w:color="000000" w:sz="4"/>
                    <w:bottom w:val="none" w:color="000000" w:sz="4"/>
                    <w:right w:val="single" w:color="000000" w:sz="4"/>
                  </w:tcBorders>
                </w:tcPr>
                <w:p/>
              </w:tc>
            </w:tr>
            <w:tr>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硬件设备</w:t>
                  </w:r>
                </w:p>
              </w:tc>
              <w:tc>
                <w:tcPr>
                  <w:tcW w:type="dxa" w:w="62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AI解析服务器</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处理器：</w:t>
                  </w:r>
                  <w:r>
                    <w:rPr>
                      <w:rFonts w:ascii="宋体" w:hAnsi="宋体" w:cs="宋体" w:eastAsia="宋体"/>
                      <w:sz w:val="20"/>
                    </w:rPr>
                    <w:t>≥6颗计算单元芯片</w:t>
                  </w:r>
                  <w:r>
                    <w:br/>
                  </w:r>
                  <w:r>
                    <w:rPr>
                      <w:rFonts w:ascii="宋体" w:hAnsi="宋体" w:cs="宋体" w:eastAsia="宋体"/>
                      <w:sz w:val="20"/>
                    </w:rPr>
                    <w:t>单个计算单元：</w:t>
                  </w:r>
                  <w:r>
                    <w:rPr>
                      <w:rFonts w:ascii="宋体" w:hAnsi="宋体" w:cs="宋体" w:eastAsia="宋体"/>
                      <w:sz w:val="20"/>
                    </w:rPr>
                    <w:t>≥20 核、计算内存≥16GB、峰值算力不小于15TOPS</w:t>
                  </w:r>
                  <w:r>
                    <w:br/>
                  </w:r>
                  <w:r>
                    <w:rPr>
                      <w:rFonts w:ascii="宋体" w:hAnsi="宋体" w:cs="宋体" w:eastAsia="宋体"/>
                      <w:sz w:val="20"/>
                    </w:rPr>
                    <w:t>网络接口：</w:t>
                  </w:r>
                  <w:r>
                    <w:rPr>
                      <w:rFonts w:ascii="宋体" w:hAnsi="宋体" w:cs="宋体" w:eastAsia="宋体"/>
                      <w:sz w:val="20"/>
                    </w:rPr>
                    <w:t>≥2个千兆以太口；</w:t>
                  </w:r>
                  <w:r>
                    <w:br/>
                  </w:r>
                  <w:r>
                    <w:rPr>
                      <w:rFonts w:ascii="宋体" w:hAnsi="宋体" w:cs="宋体" w:eastAsia="宋体"/>
                      <w:sz w:val="20"/>
                    </w:rPr>
                    <w:t>供电</w:t>
                  </w:r>
                  <w:r>
                    <w:rPr>
                      <w:rFonts w:ascii="宋体" w:hAnsi="宋体" w:cs="宋体" w:eastAsia="宋体"/>
                      <w:sz w:val="20"/>
                    </w:rPr>
                    <w:t>≥2个交流电源模块，1+1冗余，热插拔；</w:t>
                  </w:r>
                  <w:r>
                    <w:br/>
                  </w:r>
                  <w:r>
                    <w:rPr>
                      <w:rFonts w:ascii="宋体" w:hAnsi="宋体" w:cs="宋体" w:eastAsia="宋体"/>
                      <w:sz w:val="20"/>
                    </w:rPr>
                    <w:t>功耗：</w:t>
                  </w:r>
                  <w:r>
                    <w:rPr>
                      <w:rFonts w:ascii="宋体" w:hAnsi="宋体" w:cs="宋体" w:eastAsia="宋体"/>
                      <w:sz w:val="20"/>
                    </w:rPr>
                    <w:t>≤ 200W；</w:t>
                  </w:r>
                  <w:r>
                    <w:br/>
                  </w:r>
                  <w:r>
                    <w:rPr>
                      <w:rFonts w:ascii="宋体" w:hAnsi="宋体" w:cs="宋体" w:eastAsia="宋体"/>
                      <w:sz w:val="20"/>
                    </w:rPr>
                    <w:t>USB接口≥1个，预留；</w:t>
                  </w:r>
                  <w:r>
                    <w:br/>
                  </w:r>
                  <w:r>
                    <w:rPr>
                      <w:rFonts w:ascii="宋体" w:hAnsi="宋体" w:cs="宋体" w:eastAsia="宋体"/>
                      <w:sz w:val="20"/>
                    </w:rPr>
                    <w:t>BMC智能管理≥1个BMC带外管理接口。</w:t>
                  </w:r>
                  <w:r>
                    <w:br/>
                  </w:r>
                  <w:r>
                    <w:rPr>
                      <w:rFonts w:ascii="宋体" w:hAnsi="宋体" w:cs="宋体" w:eastAsia="宋体"/>
                      <w:sz w:val="20"/>
                    </w:rPr>
                    <w:t>▲支持对不少于200路、1920× 1080、2Mbps、25fps 的视频流进行解析， 解析内容包括场景、人脸、人体、机动车、非机动车、物品、结构化属性、行为。单台智能事件解析原子服务器的最大功耗≤150W。提供证明材料包括但不限于：</w:t>
                  </w:r>
                  <w:r>
                    <w:rPr>
                      <w:rFonts w:ascii="宋体" w:hAnsi="宋体" w:cs="宋体" w:eastAsia="宋体"/>
                      <w:sz w:val="20"/>
                    </w:rPr>
                    <w:t>产品彩页、官网截图或第三方检测机构出具的检测报告。</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260"/>
                  <w:vMerge/>
                  <w:tcBorders>
                    <w:top w:val="none" w:color="000000" w:sz="4"/>
                    <w:left w:val="single" w:color="000000" w:sz="4"/>
                    <w:bottom w:val="single" w:color="000000" w:sz="4"/>
                    <w:right w:val="single" w:color="000000" w:sz="4"/>
                  </w:tcBorders>
                </w:tcPr>
                <w:p/>
              </w:tc>
              <w:tc>
                <w:tcPr>
                  <w:tcW w:type="dxa" w:w="62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本地场景微调模型训推搜一体机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处理器：</w:t>
                  </w:r>
                  <w:r>
                    <w:rPr>
                      <w:rFonts w:ascii="宋体" w:hAnsi="宋体" w:cs="宋体" w:eastAsia="宋体"/>
                      <w:sz w:val="20"/>
                    </w:rPr>
                    <w:t>≥2*CPU (单颗芯片 ≥40核心 ARM架构 INT8 AI算力 ≥40T )</w:t>
                  </w:r>
                  <w:r>
                    <w:br/>
                  </w:r>
                  <w:r>
                    <w:rPr>
                      <w:rFonts w:ascii="宋体" w:hAnsi="宋体" w:cs="宋体" w:eastAsia="宋体"/>
                      <w:sz w:val="20"/>
                    </w:rPr>
                    <w:t>GPU：≥485TOPS（IN8）</w:t>
                  </w:r>
                  <w:r>
                    <w:br/>
                  </w:r>
                  <w:r>
                    <w:rPr>
                      <w:rFonts w:ascii="宋体" w:hAnsi="宋体" w:cs="宋体" w:eastAsia="宋体"/>
                      <w:sz w:val="20"/>
                    </w:rPr>
                    <w:t>内存：</w:t>
                  </w:r>
                  <w:r>
                    <w:rPr>
                      <w:rFonts w:ascii="宋体" w:hAnsi="宋体" w:cs="宋体" w:eastAsia="宋体"/>
                      <w:sz w:val="20"/>
                    </w:rPr>
                    <w:t>≥512G</w:t>
                  </w:r>
                  <w:r>
                    <w:br/>
                  </w:r>
                  <w:r>
                    <w:rPr>
                      <w:rFonts w:ascii="宋体" w:hAnsi="宋体" w:cs="宋体" w:eastAsia="宋体"/>
                      <w:sz w:val="20"/>
                    </w:rPr>
                    <w:t>系统盘：</w:t>
                  </w:r>
                  <w:r>
                    <w:rPr>
                      <w:rFonts w:ascii="宋体" w:hAnsi="宋体" w:cs="宋体" w:eastAsia="宋体"/>
                      <w:sz w:val="20"/>
                    </w:rPr>
                    <w:t>≥480GB SSD</w:t>
                  </w:r>
                  <w:r>
                    <w:br/>
                  </w:r>
                  <w:r>
                    <w:rPr>
                      <w:rFonts w:ascii="宋体" w:hAnsi="宋体" w:cs="宋体" w:eastAsia="宋体"/>
                      <w:sz w:val="20"/>
                    </w:rPr>
                    <w:t>数据盘</w:t>
                  </w:r>
                  <w:r>
                    <w:rPr>
                      <w:rFonts w:ascii="宋体" w:hAnsi="宋体" w:cs="宋体" w:eastAsia="宋体"/>
                      <w:sz w:val="20"/>
                    </w:rPr>
                    <w:t>1：≥2*3.84T (RAID1)</w:t>
                  </w:r>
                  <w:r>
                    <w:br/>
                  </w:r>
                  <w:r>
                    <w:rPr>
                      <w:rFonts w:ascii="宋体" w:hAnsi="宋体" w:cs="宋体" w:eastAsia="宋体"/>
                      <w:sz w:val="20"/>
                    </w:rPr>
                    <w:t>RAID卡：支持RAID 0，1，5，6，10，50，60</w:t>
                  </w:r>
                  <w:r>
                    <w:br/>
                  </w:r>
                  <w:r>
                    <w:rPr>
                      <w:rFonts w:ascii="宋体" w:hAnsi="宋体" w:cs="宋体" w:eastAsia="宋体"/>
                      <w:sz w:val="20"/>
                    </w:rPr>
                    <w:t>网络：</w:t>
                  </w:r>
                  <w:r>
                    <w:rPr>
                      <w:rFonts w:ascii="宋体" w:hAnsi="宋体" w:cs="宋体" w:eastAsia="宋体"/>
                      <w:sz w:val="20"/>
                    </w:rPr>
                    <w:t>2x 10GE</w:t>
                  </w:r>
                  <w:r>
                    <w:br/>
                  </w:r>
                  <w:r>
                    <w:rPr>
                      <w:rFonts w:ascii="宋体" w:hAnsi="宋体" w:cs="宋体" w:eastAsia="宋体"/>
                      <w:sz w:val="20"/>
                    </w:rPr>
                    <w:t>电源：</w:t>
                  </w:r>
                  <w:r>
                    <w:rPr>
                      <w:rFonts w:ascii="宋体" w:hAnsi="宋体" w:cs="宋体" w:eastAsia="宋体"/>
                      <w:sz w:val="20"/>
                    </w:rPr>
                    <w:t>≥2个AC热插拔电源模块</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bl>
          <w:p>
            <w:pPr>
              <w:pStyle w:val="null3"/>
              <w:numPr>
                <w:ilvl w:val="0"/>
                <w:numId w:val="1"/>
              </w:numPr>
              <w:jc w:val="both"/>
            </w:pPr>
            <w:r>
              <w:rPr>
                <w:rFonts w:ascii="宋体" w:hAnsi="宋体" w:cs="宋体" w:eastAsia="宋体"/>
                <w:sz w:val="20"/>
                <w:b/>
              </w:rPr>
              <w:t>其他要求</w:t>
            </w:r>
          </w:p>
          <w:p>
            <w:pPr>
              <w:pStyle w:val="null3"/>
              <w:numPr>
                <w:ilvl w:val="0"/>
                <w:numId w:val="1"/>
              </w:numPr>
              <w:jc w:val="left"/>
            </w:pPr>
            <w:r>
              <w:rPr>
                <w:rFonts w:ascii="宋体" w:hAnsi="宋体" w:cs="宋体" w:eastAsia="宋体"/>
                <w:sz w:val="20"/>
                <w:b/>
              </w:rPr>
              <w:t>实施要求</w:t>
            </w:r>
          </w:p>
          <w:p>
            <w:pPr>
              <w:pStyle w:val="null3"/>
              <w:numPr>
                <w:ilvl w:val="0"/>
                <w:numId w:val="2"/>
              </w:numPr>
              <w:ind w:left="315"/>
              <w:jc w:val="left"/>
            </w:pPr>
            <w:r>
              <w:rPr>
                <w:rFonts w:ascii="宋体" w:hAnsi="宋体" w:cs="宋体" w:eastAsia="宋体"/>
                <w:sz w:val="20"/>
                <w:b/>
              </w:rPr>
              <w:t>项目管理总体要求</w:t>
            </w:r>
          </w:p>
          <w:p>
            <w:pPr>
              <w:pStyle w:val="null3"/>
              <w:ind w:firstLine="400"/>
              <w:jc w:val="left"/>
            </w:pPr>
            <w:r>
              <w:rPr>
                <w:rFonts w:ascii="宋体" w:hAnsi="宋体" w:cs="宋体" w:eastAsia="宋体"/>
                <w:sz w:val="20"/>
              </w:rPr>
              <w:t>1)项目管理要求</w:t>
            </w:r>
          </w:p>
          <w:p>
            <w:pPr>
              <w:pStyle w:val="null3"/>
              <w:ind w:firstLine="400"/>
              <w:jc w:val="left"/>
            </w:pPr>
            <w:r>
              <w:rPr>
                <w:rFonts w:ascii="宋体" w:hAnsi="宋体" w:cs="宋体" w:eastAsia="宋体"/>
                <w:sz w:val="20"/>
              </w:rPr>
              <w:t>质量目标。实施有效的兼顾效率的质量保证方法、管理措施和技术方法，确保项目质量达到设计要求，并圆满通过组织的验收；</w:t>
            </w:r>
          </w:p>
          <w:p>
            <w:pPr>
              <w:pStyle w:val="null3"/>
              <w:ind w:firstLine="400"/>
              <w:jc w:val="left"/>
            </w:pPr>
            <w:r>
              <w:rPr>
                <w:rFonts w:ascii="宋体" w:hAnsi="宋体" w:cs="宋体" w:eastAsia="宋体"/>
                <w:sz w:val="20"/>
              </w:rPr>
              <w:t>进度目标。项目实施工作安排科学有序、任务清晰，任务进度规划合理，确保项目在预定的时间内完成。提供项目建设过程管理、风险控制规范、有效的进度控制管理手段。</w:t>
            </w:r>
          </w:p>
          <w:p>
            <w:pPr>
              <w:pStyle w:val="null3"/>
              <w:ind w:firstLine="400"/>
              <w:jc w:val="left"/>
            </w:pPr>
            <w:r>
              <w:rPr>
                <w:rFonts w:ascii="宋体" w:hAnsi="宋体" w:cs="宋体" w:eastAsia="宋体"/>
                <w:sz w:val="20"/>
              </w:rPr>
              <w:t>2)项目管理工作内容</w:t>
            </w:r>
          </w:p>
          <w:p>
            <w:pPr>
              <w:pStyle w:val="null3"/>
              <w:ind w:firstLine="400"/>
              <w:jc w:val="left"/>
            </w:pPr>
            <w:r>
              <w:rPr>
                <w:rFonts w:ascii="宋体" w:hAnsi="宋体" w:cs="宋体" w:eastAsia="宋体"/>
                <w:sz w:val="20"/>
              </w:rPr>
              <w:t>在本项目建设过程中，本项目</w:t>
            </w:r>
            <w:r>
              <w:rPr>
                <w:rFonts w:ascii="宋体" w:hAnsi="宋体" w:cs="宋体" w:eastAsia="宋体"/>
                <w:sz w:val="20"/>
              </w:rPr>
              <w:t>供应商</w:t>
            </w:r>
            <w:r>
              <w:rPr>
                <w:rFonts w:ascii="宋体" w:hAnsi="宋体" w:cs="宋体" w:eastAsia="宋体"/>
                <w:sz w:val="20"/>
              </w:rPr>
              <w:t>应在项目管理领域需要完成的工作主要包括：</w:t>
            </w:r>
          </w:p>
          <w:p>
            <w:pPr>
              <w:pStyle w:val="null3"/>
              <w:ind w:firstLine="400"/>
              <w:jc w:val="left"/>
            </w:pPr>
            <w:r>
              <w:rPr>
                <w:rFonts w:ascii="宋体" w:hAnsi="宋体" w:cs="宋体" w:eastAsia="宋体"/>
                <w:sz w:val="20"/>
              </w:rPr>
              <w:t>对整体项目进度和各分项目进度进行控制，保证项目按时提交；</w:t>
            </w:r>
          </w:p>
          <w:p>
            <w:pPr>
              <w:pStyle w:val="null3"/>
              <w:ind w:firstLine="400"/>
              <w:jc w:val="left"/>
            </w:pPr>
            <w:r>
              <w:rPr>
                <w:rFonts w:ascii="宋体" w:hAnsi="宋体" w:cs="宋体" w:eastAsia="宋体"/>
                <w:sz w:val="20"/>
              </w:rPr>
              <w:t>组织协调项目各环节工作，保证项目顺利推进；</w:t>
            </w:r>
          </w:p>
          <w:p>
            <w:pPr>
              <w:pStyle w:val="null3"/>
              <w:ind w:firstLine="400"/>
              <w:jc w:val="left"/>
            </w:pPr>
            <w:r>
              <w:rPr>
                <w:rFonts w:ascii="宋体" w:hAnsi="宋体" w:cs="宋体" w:eastAsia="宋体"/>
                <w:sz w:val="20"/>
              </w:rPr>
              <w:t>制定整体项目目标、分阶段目标和分项目目标，规避各类项目风险保证项目质量；</w:t>
            </w:r>
          </w:p>
          <w:p>
            <w:pPr>
              <w:pStyle w:val="null3"/>
              <w:ind w:firstLine="400"/>
              <w:jc w:val="left"/>
            </w:pPr>
            <w:r>
              <w:rPr>
                <w:rFonts w:ascii="宋体" w:hAnsi="宋体" w:cs="宋体" w:eastAsia="宋体"/>
                <w:sz w:val="20"/>
              </w:rPr>
              <w:t>管理项目团队的组织和人员，为项目提供组织保障。</w:t>
            </w:r>
          </w:p>
          <w:p>
            <w:pPr>
              <w:pStyle w:val="null3"/>
              <w:ind w:firstLine="400"/>
              <w:jc w:val="left"/>
            </w:pPr>
            <w:r>
              <w:rPr>
                <w:rFonts w:ascii="宋体" w:hAnsi="宋体" w:cs="宋体" w:eastAsia="宋体"/>
                <w:sz w:val="20"/>
              </w:rPr>
              <w:t>3)编制实施进度计划并组织实施</w:t>
            </w:r>
          </w:p>
          <w:p>
            <w:pPr>
              <w:pStyle w:val="null3"/>
              <w:ind w:firstLine="400"/>
              <w:jc w:val="left"/>
            </w:pPr>
            <w:r>
              <w:rPr>
                <w:rFonts w:ascii="宋体" w:hAnsi="宋体" w:cs="宋体" w:eastAsia="宋体"/>
                <w:sz w:val="20"/>
              </w:rPr>
              <w:t>提供实施详细计划；每周向采购人提供工作实施进展情况，并提出相关建议；解决实施过程中出现的各种技术问题；有规范的整体项目管理、项目质量管理和进度管理机制。</w:t>
            </w:r>
          </w:p>
          <w:p>
            <w:pPr>
              <w:pStyle w:val="null3"/>
              <w:ind w:firstLine="400"/>
              <w:jc w:val="left"/>
            </w:pPr>
            <w:r>
              <w:rPr>
                <w:rFonts w:ascii="宋体" w:hAnsi="宋体" w:cs="宋体" w:eastAsia="宋体"/>
                <w:sz w:val="20"/>
              </w:rPr>
              <w:t>4)进行项目的日常组织、管理、协调</w:t>
            </w:r>
          </w:p>
          <w:p>
            <w:pPr>
              <w:pStyle w:val="null3"/>
              <w:ind w:firstLine="400"/>
              <w:jc w:val="left"/>
            </w:pPr>
            <w:r>
              <w:rPr>
                <w:rFonts w:ascii="宋体" w:hAnsi="宋体" w:cs="宋体" w:eastAsia="宋体"/>
                <w:sz w:val="20"/>
              </w:rPr>
              <w:t>供应商</w:t>
            </w:r>
            <w:r>
              <w:rPr>
                <w:rFonts w:ascii="宋体" w:hAnsi="宋体" w:cs="宋体" w:eastAsia="宋体"/>
                <w:sz w:val="20"/>
              </w:rPr>
              <w:t>需要参加采购人组织的与项目建设有关的各类会议；</w:t>
            </w:r>
            <w:r>
              <w:rPr>
                <w:rFonts w:ascii="宋体" w:hAnsi="宋体" w:cs="宋体" w:eastAsia="宋体"/>
                <w:sz w:val="20"/>
              </w:rPr>
              <w:t>供应商</w:t>
            </w:r>
            <w:r>
              <w:rPr>
                <w:rFonts w:ascii="宋体" w:hAnsi="宋体" w:cs="宋体" w:eastAsia="宋体"/>
                <w:sz w:val="20"/>
              </w:rPr>
              <w:t>需完全遵循相应的项目管理规范，并有相应的项目管理文档。</w:t>
            </w:r>
          </w:p>
          <w:p>
            <w:pPr>
              <w:pStyle w:val="null3"/>
              <w:numPr>
                <w:ilvl w:val="0"/>
                <w:numId w:val="2"/>
              </w:numPr>
              <w:ind w:left="315"/>
              <w:jc w:val="left"/>
            </w:pPr>
            <w:r>
              <w:rPr>
                <w:rFonts w:ascii="宋体" w:hAnsi="宋体" w:cs="宋体" w:eastAsia="宋体"/>
                <w:sz w:val="20"/>
                <w:b/>
              </w:rPr>
              <w:t>项目管理实施保障措施要求</w:t>
            </w:r>
          </w:p>
          <w:p>
            <w:pPr>
              <w:pStyle w:val="null3"/>
              <w:ind w:firstLine="400"/>
              <w:jc w:val="left"/>
            </w:pPr>
            <w:r>
              <w:rPr>
                <w:rFonts w:ascii="宋体" w:hAnsi="宋体" w:cs="宋体" w:eastAsia="宋体"/>
                <w:sz w:val="20"/>
              </w:rPr>
              <w:t>针对本项目，</w:t>
            </w:r>
            <w:r>
              <w:rPr>
                <w:rFonts w:ascii="宋体" w:hAnsi="宋体" w:cs="宋体" w:eastAsia="宋体"/>
                <w:sz w:val="20"/>
              </w:rPr>
              <w:t>供应商</w:t>
            </w:r>
            <w:r>
              <w:rPr>
                <w:rFonts w:ascii="宋体" w:hAnsi="宋体" w:cs="宋体" w:eastAsia="宋体"/>
                <w:sz w:val="20"/>
              </w:rPr>
              <w:t>需提出项目管理的实施方案和措施：</w:t>
            </w:r>
          </w:p>
          <w:p>
            <w:pPr>
              <w:pStyle w:val="null3"/>
              <w:ind w:firstLine="400"/>
              <w:jc w:val="left"/>
            </w:pPr>
            <w:r>
              <w:rPr>
                <w:rFonts w:ascii="宋体" w:hAnsi="宋体" w:cs="宋体" w:eastAsia="宋体"/>
                <w:sz w:val="20"/>
              </w:rPr>
              <w:t>1)范围管理措施</w:t>
            </w:r>
          </w:p>
          <w:p>
            <w:pPr>
              <w:pStyle w:val="null3"/>
              <w:ind w:firstLine="400"/>
              <w:jc w:val="left"/>
            </w:pPr>
            <w:r>
              <w:rPr>
                <w:rFonts w:ascii="宋体" w:hAnsi="宋体" w:cs="宋体" w:eastAsia="宋体"/>
                <w:sz w:val="20"/>
              </w:rPr>
              <w:t>供应商</w:t>
            </w:r>
            <w:r>
              <w:rPr>
                <w:rFonts w:ascii="宋体" w:hAnsi="宋体" w:cs="宋体" w:eastAsia="宋体"/>
                <w:sz w:val="20"/>
              </w:rPr>
              <w:t>应通过</w:t>
            </w:r>
            <w:r>
              <w:rPr>
                <w:rFonts w:ascii="宋体" w:hAnsi="宋体" w:cs="宋体" w:eastAsia="宋体"/>
                <w:sz w:val="20"/>
              </w:rPr>
              <w:t>磋商文件</w:t>
            </w:r>
            <w:r>
              <w:rPr>
                <w:rFonts w:ascii="宋体" w:hAnsi="宋体" w:cs="宋体" w:eastAsia="宋体"/>
                <w:sz w:val="20"/>
              </w:rPr>
              <w:t>要求确认工作边界。</w:t>
            </w:r>
          </w:p>
          <w:p>
            <w:pPr>
              <w:pStyle w:val="null3"/>
              <w:ind w:firstLine="400"/>
              <w:jc w:val="left"/>
            </w:pPr>
            <w:r>
              <w:rPr>
                <w:rFonts w:ascii="宋体" w:hAnsi="宋体" w:cs="宋体" w:eastAsia="宋体"/>
                <w:sz w:val="20"/>
              </w:rPr>
              <w:t>2)进度控制与过程管理措施</w:t>
            </w:r>
          </w:p>
          <w:p>
            <w:pPr>
              <w:pStyle w:val="null3"/>
              <w:ind w:firstLine="400"/>
              <w:jc w:val="left"/>
            </w:pPr>
            <w:r>
              <w:rPr>
                <w:rFonts w:ascii="宋体" w:hAnsi="宋体" w:cs="宋体" w:eastAsia="宋体"/>
                <w:sz w:val="20"/>
              </w:rPr>
              <w:t>供应商</w:t>
            </w:r>
            <w:r>
              <w:rPr>
                <w:rFonts w:ascii="宋体" w:hAnsi="宋体" w:cs="宋体" w:eastAsia="宋体"/>
                <w:sz w:val="20"/>
              </w:rPr>
              <w:t>应提供本项目进度控制和过程管理措施，对进度控制、过程管理的体系，进度偏差的管理方式和过程管理方式提供相应措施。</w:t>
            </w:r>
          </w:p>
          <w:p>
            <w:pPr>
              <w:pStyle w:val="null3"/>
              <w:ind w:firstLine="400"/>
              <w:jc w:val="left"/>
            </w:pPr>
            <w:r>
              <w:rPr>
                <w:rFonts w:ascii="宋体" w:hAnsi="宋体" w:cs="宋体" w:eastAsia="宋体"/>
                <w:sz w:val="20"/>
              </w:rPr>
              <w:t>3)质量控制措施</w:t>
            </w:r>
          </w:p>
          <w:p>
            <w:pPr>
              <w:pStyle w:val="null3"/>
              <w:ind w:firstLine="400"/>
              <w:jc w:val="left"/>
            </w:pPr>
            <w:r>
              <w:rPr>
                <w:rFonts w:ascii="宋体" w:hAnsi="宋体" w:cs="宋体" w:eastAsia="宋体"/>
                <w:sz w:val="20"/>
              </w:rPr>
              <w:t>供应商</w:t>
            </w:r>
            <w:r>
              <w:rPr>
                <w:rFonts w:ascii="宋体" w:hAnsi="宋体" w:cs="宋体" w:eastAsia="宋体"/>
                <w:sz w:val="20"/>
              </w:rPr>
              <w:t>应对质量控制任务和质量职责进行划分；为执行质量控制任务提供参考资料和指导。</w:t>
            </w:r>
          </w:p>
          <w:p>
            <w:pPr>
              <w:pStyle w:val="null3"/>
              <w:ind w:firstLine="400"/>
              <w:jc w:val="left"/>
            </w:pPr>
            <w:r>
              <w:rPr>
                <w:rFonts w:ascii="宋体" w:hAnsi="宋体" w:cs="宋体" w:eastAsia="宋体"/>
                <w:sz w:val="20"/>
              </w:rPr>
              <w:t>4)风险管理措施</w:t>
            </w:r>
          </w:p>
          <w:p>
            <w:pPr>
              <w:pStyle w:val="null3"/>
              <w:ind w:firstLine="400"/>
              <w:jc w:val="left"/>
            </w:pPr>
            <w:r>
              <w:rPr>
                <w:rFonts w:ascii="宋体" w:hAnsi="宋体" w:cs="宋体" w:eastAsia="宋体"/>
                <w:sz w:val="20"/>
              </w:rPr>
              <w:t>供应商</w:t>
            </w:r>
            <w:r>
              <w:rPr>
                <w:rFonts w:ascii="宋体" w:hAnsi="宋体" w:cs="宋体" w:eastAsia="宋体"/>
                <w:sz w:val="20"/>
              </w:rPr>
              <w:t>应建立风险管理机制，提供风险管理与控制策略。</w:t>
            </w:r>
          </w:p>
          <w:p>
            <w:pPr>
              <w:pStyle w:val="null3"/>
              <w:numPr>
                <w:ilvl w:val="0"/>
                <w:numId w:val="2"/>
              </w:numPr>
              <w:ind w:left="315"/>
              <w:jc w:val="left"/>
            </w:pPr>
            <w:r>
              <w:rPr>
                <w:rFonts w:ascii="宋体" w:hAnsi="宋体" w:cs="宋体" w:eastAsia="宋体"/>
                <w:sz w:val="20"/>
                <w:b/>
              </w:rPr>
              <w:t>项目组织机构要求</w:t>
            </w:r>
          </w:p>
          <w:p>
            <w:pPr>
              <w:pStyle w:val="null3"/>
              <w:ind w:firstLine="400"/>
              <w:jc w:val="left"/>
            </w:pPr>
            <w:r>
              <w:rPr>
                <w:rFonts w:ascii="宋体" w:hAnsi="宋体" w:cs="宋体" w:eastAsia="宋体"/>
                <w:sz w:val="20"/>
              </w:rPr>
              <w:t>供应商</w:t>
            </w:r>
            <w:r>
              <w:rPr>
                <w:rFonts w:ascii="宋体" w:hAnsi="宋体" w:cs="宋体" w:eastAsia="宋体"/>
                <w:sz w:val="20"/>
              </w:rPr>
              <w:t>应根据本项目的具体情况及实际特点组成项目团队，合理配置技术支持人员负责本项目的实施，选择有丰富经验的培训人员进行相关培训。</w:t>
            </w:r>
          </w:p>
          <w:p>
            <w:pPr>
              <w:pStyle w:val="null3"/>
              <w:ind w:firstLine="400"/>
              <w:jc w:val="left"/>
            </w:pPr>
            <w:r>
              <w:rPr>
                <w:rFonts w:ascii="宋体" w:hAnsi="宋体" w:cs="宋体" w:eastAsia="宋体"/>
                <w:sz w:val="20"/>
              </w:rPr>
              <w:t>需成立合理的组织机构，建立健全保障项目顺利实施的各项管理制度和质量保证体系，安排足够的人员参加本项目的建设。</w:t>
            </w:r>
          </w:p>
          <w:p>
            <w:pPr>
              <w:pStyle w:val="null3"/>
              <w:ind w:firstLine="400"/>
              <w:jc w:val="left"/>
            </w:pPr>
            <w:r>
              <w:rPr>
                <w:rFonts w:ascii="宋体" w:hAnsi="宋体" w:cs="宋体" w:eastAsia="宋体"/>
                <w:sz w:val="20"/>
              </w:rPr>
              <w:t>同时，</w:t>
            </w:r>
            <w:r>
              <w:rPr>
                <w:rFonts w:ascii="宋体" w:hAnsi="宋体" w:cs="宋体" w:eastAsia="宋体"/>
                <w:sz w:val="20"/>
              </w:rPr>
              <w:t>供应商</w:t>
            </w:r>
            <w:r>
              <w:rPr>
                <w:rFonts w:ascii="宋体" w:hAnsi="宋体" w:cs="宋体" w:eastAsia="宋体"/>
                <w:sz w:val="20"/>
              </w:rPr>
              <w:t>项目团队还应满足以下要求：</w:t>
            </w:r>
          </w:p>
          <w:p>
            <w:pPr>
              <w:pStyle w:val="null3"/>
              <w:numPr>
                <w:ilvl w:val="0"/>
                <w:numId w:val="1"/>
              </w:numPr>
              <w:jc w:val="left"/>
            </w:pPr>
            <w:r>
              <w:rPr>
                <w:rFonts w:ascii="宋体" w:hAnsi="宋体" w:cs="宋体" w:eastAsia="宋体"/>
                <w:sz w:val="20"/>
              </w:rPr>
              <w:t>项目组人员组织结构需分工合理、层次清晰且分工要与实施项目细项匹配，项目组成员必须全职参与本项目。</w:t>
            </w:r>
          </w:p>
          <w:p>
            <w:pPr>
              <w:pStyle w:val="null3"/>
              <w:numPr>
                <w:ilvl w:val="0"/>
                <w:numId w:val="1"/>
              </w:numPr>
              <w:jc w:val="left"/>
            </w:pPr>
            <w:r>
              <w:rPr>
                <w:rFonts w:ascii="宋体" w:hAnsi="宋体" w:cs="宋体" w:eastAsia="宋体"/>
                <w:sz w:val="20"/>
              </w:rPr>
              <w:t>项目组人员应遵循采购人的工作流程和管理规定。</w:t>
            </w:r>
          </w:p>
          <w:p>
            <w:pPr>
              <w:pStyle w:val="null3"/>
              <w:numPr>
                <w:ilvl w:val="0"/>
                <w:numId w:val="1"/>
              </w:numPr>
              <w:jc w:val="left"/>
            </w:pPr>
            <w:r>
              <w:rPr>
                <w:rFonts w:ascii="宋体" w:hAnsi="宋体" w:cs="宋体" w:eastAsia="宋体"/>
                <w:sz w:val="20"/>
              </w:rPr>
              <w:t>在服务期间，项目经理和主要技术服务人员必须提供</w:t>
            </w:r>
            <w:r>
              <w:rPr>
                <w:rFonts w:ascii="宋体" w:hAnsi="宋体" w:cs="宋体" w:eastAsia="宋体"/>
                <w:sz w:val="20"/>
              </w:rPr>
              <w:t>7×24小时联系方式，并保证联系渠道畅通。</w:t>
            </w:r>
          </w:p>
          <w:p>
            <w:pPr>
              <w:pStyle w:val="null3"/>
              <w:numPr>
                <w:ilvl w:val="0"/>
                <w:numId w:val="2"/>
              </w:numPr>
              <w:ind w:left="315"/>
              <w:jc w:val="left"/>
            </w:pPr>
            <w:r>
              <w:rPr>
                <w:rFonts w:ascii="宋体" w:hAnsi="宋体" w:cs="宋体" w:eastAsia="宋体"/>
                <w:sz w:val="20"/>
                <w:b/>
              </w:rPr>
              <w:t>项目团队要求</w:t>
            </w:r>
          </w:p>
          <w:p>
            <w:pPr>
              <w:pStyle w:val="null3"/>
              <w:ind w:firstLine="400"/>
              <w:jc w:val="left"/>
            </w:pPr>
            <w:r>
              <w:rPr>
                <w:rFonts w:ascii="宋体" w:hAnsi="宋体" w:cs="宋体" w:eastAsia="宋体"/>
                <w:sz w:val="20"/>
              </w:rPr>
              <w:t>投标方须保障对本项目有充分的技术力量投入。需为本项目配备专门的项目服务团队，团队人员技术能力需能充分满足本项目的实施需求。</w:t>
            </w:r>
          </w:p>
          <w:p>
            <w:pPr>
              <w:pStyle w:val="null3"/>
              <w:numPr>
                <w:ilvl w:val="0"/>
                <w:numId w:val="1"/>
              </w:numPr>
              <w:jc w:val="left"/>
            </w:pPr>
            <w:r>
              <w:rPr>
                <w:rFonts w:ascii="宋体" w:hAnsi="宋体" w:cs="宋体" w:eastAsia="宋体"/>
                <w:sz w:val="20"/>
                <w:b/>
              </w:rPr>
              <w:t>培训要求</w:t>
            </w:r>
          </w:p>
          <w:p>
            <w:pPr>
              <w:pStyle w:val="null3"/>
              <w:ind w:firstLine="400"/>
              <w:jc w:val="left"/>
            </w:pPr>
            <w:r>
              <w:rPr>
                <w:rFonts w:ascii="宋体" w:hAnsi="宋体" w:cs="宋体" w:eastAsia="宋体"/>
                <w:sz w:val="20"/>
              </w:rPr>
              <w:t>应免费为采购方操作人员和技术人员提供集中培训，并负责提供培训资料的准备；评估培训的效果，建设单位需收集培训人员关于培训的反馈，可根据反馈的意见来调整培训内容、方式，再次安排培训，直至完成整个培训工作。</w:t>
            </w:r>
          </w:p>
          <w:p>
            <w:pPr>
              <w:pStyle w:val="null3"/>
              <w:numPr>
                <w:ilvl w:val="0"/>
                <w:numId w:val="1"/>
              </w:numPr>
              <w:jc w:val="left"/>
            </w:pPr>
            <w:r>
              <w:rPr>
                <w:rFonts w:ascii="宋体" w:hAnsi="宋体" w:cs="宋体" w:eastAsia="宋体"/>
                <w:sz w:val="20"/>
                <w:b/>
              </w:rPr>
              <w:t>售后服务要求</w:t>
            </w:r>
          </w:p>
          <w:p>
            <w:pPr>
              <w:pStyle w:val="null3"/>
              <w:ind w:firstLine="400"/>
              <w:jc w:val="left"/>
            </w:pPr>
            <w:r>
              <w:rPr>
                <w:rFonts w:ascii="宋体" w:hAnsi="宋体" w:cs="宋体" w:eastAsia="宋体"/>
                <w:sz w:val="20"/>
              </w:rPr>
              <w:t>结合站前分局的实际业务需求，为获得最大力度的</w:t>
            </w:r>
            <w:r>
              <w:rPr>
                <w:rFonts w:ascii="宋体" w:hAnsi="宋体" w:cs="宋体" w:eastAsia="宋体"/>
                <w:sz w:val="20"/>
              </w:rPr>
              <w:t>运维</w:t>
            </w:r>
            <w:r>
              <w:rPr>
                <w:rFonts w:ascii="宋体" w:hAnsi="宋体" w:cs="宋体" w:eastAsia="宋体"/>
                <w:sz w:val="20"/>
              </w:rPr>
              <w:t>支撑能力，本项目需由中标供应商提供运维服务，运维期自项目验收之日起一年。在运维期间应严格按照相关标准及双方的约定做好维保服务工作。</w:t>
            </w:r>
          </w:p>
          <w:p>
            <w:pPr>
              <w:pStyle w:val="null3"/>
              <w:ind w:firstLine="400"/>
              <w:jc w:val="left"/>
            </w:pPr>
            <w:r>
              <w:rPr>
                <w:rFonts w:ascii="宋体" w:hAnsi="宋体" w:cs="宋体" w:eastAsia="宋体"/>
                <w:sz w:val="20"/>
              </w:rPr>
              <w:t>中标供应商需建立详实可行运维方案、制度以及应急措施；建立专业运维团队，每季度进行一次巡检，并建立巡检台帐，每半年对各系统进行一次全系统调试；建立运行维护汇报制度，每季形成运维季报和每年形成运维年报。</w:t>
            </w:r>
          </w:p>
          <w:p>
            <w:pPr>
              <w:pStyle w:val="null3"/>
              <w:ind w:firstLine="400"/>
              <w:jc w:val="left"/>
            </w:pPr>
            <w:r>
              <w:rPr>
                <w:rFonts w:ascii="宋体" w:hAnsi="宋体" w:cs="宋体" w:eastAsia="宋体"/>
                <w:sz w:val="20"/>
              </w:rPr>
              <w:t>提供</w:t>
            </w:r>
            <w:r>
              <w:rPr>
                <w:rFonts w:ascii="宋体" w:hAnsi="宋体" w:cs="宋体" w:eastAsia="宋体"/>
                <w:sz w:val="20"/>
              </w:rPr>
              <w:t>7*24小时的热线服务，2小时内到达现场，对于影响系统正常运行的故障修复时间不超过24小时，其他系统故障修复时间不超过48小时。服务方式包括但不限于：远程技术服务、现场技术服务、巡检服务等，对系统提供售后保障服务。</w:t>
            </w:r>
          </w:p>
          <w:p>
            <w:pPr>
              <w:pStyle w:val="null3"/>
              <w:numPr>
                <w:ilvl w:val="0"/>
                <w:numId w:val="1"/>
              </w:numPr>
              <w:jc w:val="both"/>
            </w:pPr>
            <w:r>
              <w:rPr>
                <w:rFonts w:ascii="宋体" w:hAnsi="宋体" w:cs="宋体" w:eastAsia="宋体"/>
                <w:sz w:val="20"/>
                <w:b/>
              </w:rPr>
              <w:t>商务要求</w:t>
            </w:r>
          </w:p>
          <w:p>
            <w:pPr>
              <w:pStyle w:val="null3"/>
              <w:numPr>
                <w:ilvl w:val="0"/>
                <w:numId w:val="2"/>
              </w:numPr>
              <w:ind w:left="315"/>
              <w:jc w:val="left"/>
            </w:pPr>
            <w:r>
              <w:rPr>
                <w:rFonts w:ascii="宋体" w:hAnsi="宋体" w:cs="宋体" w:eastAsia="宋体"/>
                <w:sz w:val="20"/>
              </w:rPr>
              <w:t>交付期限</w:t>
            </w:r>
          </w:p>
          <w:p>
            <w:pPr>
              <w:pStyle w:val="null3"/>
              <w:ind w:firstLine="400"/>
              <w:jc w:val="left"/>
            </w:pPr>
            <w:r>
              <w:rPr>
                <w:rFonts w:ascii="宋体" w:hAnsi="宋体" w:cs="宋体" w:eastAsia="宋体"/>
                <w:sz w:val="20"/>
              </w:rPr>
              <w:t>本项目为交付期限要求合同签订后</w:t>
            </w:r>
            <w:r>
              <w:rPr>
                <w:rFonts w:ascii="宋体" w:hAnsi="宋体" w:cs="宋体" w:eastAsia="宋体"/>
                <w:sz w:val="20"/>
              </w:rPr>
              <w:t>90日内。</w:t>
            </w:r>
          </w:p>
          <w:p>
            <w:pPr>
              <w:pStyle w:val="null3"/>
              <w:numPr>
                <w:ilvl w:val="0"/>
                <w:numId w:val="2"/>
              </w:numPr>
              <w:ind w:left="315"/>
              <w:jc w:val="left"/>
            </w:pPr>
            <w:r>
              <w:rPr>
                <w:rFonts w:ascii="宋体" w:hAnsi="宋体" w:cs="宋体" w:eastAsia="宋体"/>
                <w:sz w:val="20"/>
              </w:rPr>
              <w:t>交货、项目实施地点</w:t>
            </w:r>
          </w:p>
          <w:p>
            <w:pPr>
              <w:pStyle w:val="null3"/>
              <w:ind w:firstLine="400"/>
              <w:jc w:val="left"/>
            </w:pPr>
            <w:r>
              <w:rPr>
                <w:rFonts w:ascii="宋体" w:hAnsi="宋体" w:cs="宋体" w:eastAsia="宋体"/>
                <w:sz w:val="20"/>
              </w:rPr>
              <w:t>采购人指定地点。</w:t>
            </w:r>
          </w:p>
          <w:p>
            <w:pPr>
              <w:pStyle w:val="null3"/>
              <w:numPr>
                <w:ilvl w:val="0"/>
                <w:numId w:val="2"/>
              </w:numPr>
              <w:ind w:left="315"/>
              <w:jc w:val="left"/>
            </w:pPr>
            <w:r>
              <w:rPr>
                <w:rFonts w:ascii="宋体" w:hAnsi="宋体" w:cs="宋体" w:eastAsia="宋体"/>
                <w:sz w:val="20"/>
              </w:rPr>
              <w:t>付款方式</w:t>
            </w:r>
          </w:p>
          <w:p>
            <w:pPr>
              <w:pStyle w:val="null3"/>
              <w:ind w:firstLine="400"/>
              <w:jc w:val="left"/>
            </w:pPr>
            <w:r>
              <w:rPr>
                <w:rFonts w:ascii="宋体" w:hAnsi="宋体" w:cs="宋体" w:eastAsia="宋体"/>
                <w:sz w:val="20"/>
              </w:rPr>
              <w:t>本项目为分期分期付款，合同签订后</w:t>
            </w:r>
            <w:r>
              <w:rPr>
                <w:rFonts w:ascii="宋体" w:hAnsi="宋体" w:cs="宋体" w:eastAsia="宋体"/>
                <w:sz w:val="20"/>
              </w:rPr>
              <w:t>30日内支付合同总价款的40%，安装、调试、试运行结束经验收合格后支付剩余60%。</w:t>
            </w:r>
          </w:p>
          <w:p>
            <w:pPr>
              <w:pStyle w:val="null3"/>
              <w:numPr>
                <w:ilvl w:val="0"/>
                <w:numId w:val="2"/>
              </w:numPr>
              <w:ind w:left="315"/>
              <w:jc w:val="left"/>
            </w:pPr>
            <w:r>
              <w:rPr>
                <w:rFonts w:ascii="宋体" w:hAnsi="宋体" w:cs="宋体" w:eastAsia="宋体"/>
                <w:sz w:val="20"/>
              </w:rPr>
              <w:t>安全保密要求</w:t>
            </w:r>
          </w:p>
          <w:p>
            <w:pPr>
              <w:pStyle w:val="null3"/>
              <w:ind w:firstLine="400"/>
              <w:jc w:val="left"/>
            </w:pPr>
            <w:r>
              <w:rPr>
                <w:rFonts w:ascii="宋体" w:hAnsi="宋体" w:cs="宋体" w:eastAsia="宋体"/>
                <w:sz w:val="20"/>
              </w:rPr>
              <w:t>供应商</w:t>
            </w:r>
            <w:r>
              <w:rPr>
                <w:rFonts w:ascii="宋体" w:hAnsi="宋体" w:cs="宋体" w:eastAsia="宋体"/>
                <w:sz w:val="20"/>
              </w:rPr>
              <w:t>必须对项目技术文件以及由采购人提供的所有内部材料、技术文档和信息予以保密。</w:t>
            </w:r>
            <w:r>
              <w:rPr>
                <w:rFonts w:ascii="宋体" w:hAnsi="宋体" w:cs="宋体" w:eastAsia="宋体"/>
                <w:sz w:val="20"/>
              </w:rPr>
              <w:t>供应商</w:t>
            </w:r>
            <w:r>
              <w:rPr>
                <w:rFonts w:ascii="宋体" w:hAnsi="宋体" w:cs="宋体" w:eastAsia="宋体"/>
                <w:sz w:val="20"/>
              </w:rPr>
              <w:t>必须遵守与采购人签订的保密协议，未经采购人书面许可，</w:t>
            </w:r>
            <w:r>
              <w:rPr>
                <w:rFonts w:ascii="宋体" w:hAnsi="宋体" w:cs="宋体" w:eastAsia="宋体"/>
                <w:sz w:val="20"/>
              </w:rPr>
              <w:t>供应商</w:t>
            </w:r>
            <w:r>
              <w:rPr>
                <w:rFonts w:ascii="宋体" w:hAnsi="宋体" w:cs="宋体" w:eastAsia="宋体"/>
                <w:sz w:val="20"/>
              </w:rPr>
              <w:t>不得以任何形式向第三方透露本项目标书以及本项目的任何内容。</w:t>
            </w:r>
          </w:p>
          <w:p>
            <w:pPr>
              <w:pStyle w:val="null3"/>
              <w:numPr>
                <w:ilvl w:val="0"/>
                <w:numId w:val="2"/>
              </w:numPr>
              <w:ind w:left="315"/>
              <w:jc w:val="left"/>
            </w:pPr>
            <w:r>
              <w:rPr>
                <w:rFonts w:ascii="宋体" w:hAnsi="宋体" w:cs="宋体" w:eastAsia="宋体"/>
                <w:sz w:val="20"/>
              </w:rPr>
              <w:t>成果交付要求</w:t>
            </w:r>
          </w:p>
          <w:p>
            <w:pPr>
              <w:pStyle w:val="null3"/>
              <w:ind w:firstLine="400"/>
              <w:jc w:val="left"/>
            </w:pPr>
            <w:r>
              <w:rPr>
                <w:rFonts w:ascii="宋体" w:hAnsi="宋体" w:cs="宋体" w:eastAsia="宋体"/>
                <w:sz w:val="20"/>
              </w:rPr>
              <w:t>成交供应商</w:t>
            </w:r>
            <w:r>
              <w:rPr>
                <w:rFonts w:ascii="宋体" w:hAnsi="宋体" w:cs="宋体" w:eastAsia="宋体"/>
                <w:sz w:val="20"/>
              </w:rPr>
              <w:t>应按</w:t>
            </w:r>
            <w:r>
              <w:rPr>
                <w:rFonts w:ascii="宋体" w:hAnsi="宋体" w:cs="宋体" w:eastAsia="宋体"/>
                <w:sz w:val="20"/>
              </w:rPr>
              <w:t>磋商文件</w:t>
            </w:r>
            <w:r>
              <w:rPr>
                <w:rFonts w:ascii="宋体" w:hAnsi="宋体" w:cs="宋体" w:eastAsia="宋体"/>
                <w:sz w:val="20"/>
              </w:rPr>
              <w:t>规定的服务及货物、质量标准向采购人提供未经使用的全新产品。</w:t>
            </w:r>
          </w:p>
          <w:p>
            <w:pPr>
              <w:pStyle w:val="null3"/>
              <w:ind w:firstLine="400"/>
              <w:jc w:val="left"/>
            </w:pPr>
            <w:r>
              <w:rPr>
                <w:rFonts w:ascii="宋体" w:hAnsi="宋体" w:cs="宋体" w:eastAsia="宋体"/>
                <w:sz w:val="20"/>
              </w:rPr>
              <w:t>成交供应商</w:t>
            </w:r>
            <w:r>
              <w:rPr>
                <w:rFonts w:ascii="宋体" w:hAnsi="宋体" w:cs="宋体" w:eastAsia="宋体"/>
                <w:sz w:val="20"/>
              </w:rPr>
              <w:t>需要为采购人提供与本项目集成实施及</w:t>
            </w:r>
            <w:r>
              <w:rPr>
                <w:rFonts w:ascii="宋体" w:hAnsi="宋体" w:cs="宋体" w:eastAsia="宋体"/>
                <w:sz w:val="20"/>
              </w:rPr>
              <w:t>磋商文件</w:t>
            </w:r>
            <w:r>
              <w:rPr>
                <w:rFonts w:ascii="宋体" w:hAnsi="宋体" w:cs="宋体" w:eastAsia="宋体"/>
                <w:sz w:val="20"/>
              </w:rPr>
              <w:t>中约定的交付成果；提供各类技术咨询服务，协助采购人预见本项目工作中和项目其他建设工作中可能发生的问题和困难，并向采购人提出解决的办法或建议。</w:t>
            </w:r>
          </w:p>
          <w:p>
            <w:pPr>
              <w:pStyle w:val="null3"/>
              <w:numPr>
                <w:ilvl w:val="0"/>
                <w:numId w:val="2"/>
              </w:numPr>
              <w:ind w:left="315"/>
              <w:jc w:val="left"/>
            </w:pPr>
            <w:r>
              <w:rPr>
                <w:rFonts w:ascii="宋体" w:hAnsi="宋体" w:cs="宋体" w:eastAsia="宋体"/>
                <w:sz w:val="20"/>
              </w:rPr>
              <w:t>知识产权</w:t>
            </w:r>
          </w:p>
          <w:p>
            <w:pPr>
              <w:pStyle w:val="null3"/>
              <w:ind w:firstLine="400"/>
              <w:jc w:val="left"/>
            </w:pPr>
            <w:r>
              <w:rPr>
                <w:rFonts w:ascii="宋体" w:hAnsi="宋体" w:cs="宋体" w:eastAsia="宋体"/>
                <w:sz w:val="20"/>
              </w:rPr>
              <w:t>采购人在中华人民共和国境内使用</w:t>
            </w:r>
            <w:r>
              <w:rPr>
                <w:rFonts w:ascii="宋体" w:hAnsi="宋体" w:cs="宋体" w:eastAsia="宋体"/>
                <w:sz w:val="20"/>
              </w:rPr>
              <w:t>供应商</w:t>
            </w:r>
            <w:r>
              <w:rPr>
                <w:rFonts w:ascii="宋体" w:hAnsi="宋体" w:cs="宋体" w:eastAsia="宋体"/>
                <w:sz w:val="20"/>
              </w:rPr>
              <w:t>提供的货物及服务时，免受第三方提出的侵犯其专利权或其它知识产权的起诉。如果第三方提出侵权指控，</w:t>
            </w:r>
            <w:r>
              <w:rPr>
                <w:rFonts w:ascii="宋体" w:hAnsi="宋体" w:cs="宋体" w:eastAsia="宋体"/>
                <w:sz w:val="20"/>
              </w:rPr>
              <w:t>成交供应商</w:t>
            </w:r>
            <w:r>
              <w:rPr>
                <w:rFonts w:ascii="宋体" w:hAnsi="宋体" w:cs="宋体" w:eastAsia="宋体"/>
                <w:sz w:val="20"/>
              </w:rPr>
              <w:t>应承担由此而引起的一切法律责任和费用。</w:t>
            </w:r>
          </w:p>
          <w:p>
            <w:pPr>
              <w:pStyle w:val="null3"/>
              <w:numPr>
                <w:ilvl w:val="0"/>
                <w:numId w:val="2"/>
              </w:numPr>
              <w:ind w:left="315"/>
              <w:jc w:val="left"/>
            </w:pPr>
            <w:r>
              <w:rPr>
                <w:rFonts w:ascii="宋体" w:hAnsi="宋体" w:cs="宋体" w:eastAsia="宋体"/>
                <w:sz w:val="20"/>
              </w:rPr>
              <w:t>验收标准或规范</w:t>
            </w:r>
          </w:p>
          <w:p>
            <w:pPr>
              <w:pStyle w:val="null3"/>
              <w:ind w:firstLine="400"/>
              <w:jc w:val="left"/>
            </w:pPr>
            <w:r>
              <w:rPr>
                <w:rFonts w:ascii="宋体" w:hAnsi="宋体" w:cs="宋体" w:eastAsia="宋体"/>
                <w:sz w:val="20"/>
              </w:rPr>
              <w:t>根据合同规定的软硬件产品实际功能、技术参数和验收标准进行验收，经检验无误后出具验收合格证明。</w:t>
            </w:r>
          </w:p>
          <w:p>
            <w:pPr>
              <w:pStyle w:val="null3"/>
              <w:numPr>
                <w:ilvl w:val="0"/>
                <w:numId w:val="2"/>
              </w:numPr>
              <w:ind w:left="315"/>
              <w:jc w:val="left"/>
            </w:pPr>
            <w:r>
              <w:rPr>
                <w:rFonts w:ascii="宋体" w:hAnsi="宋体" w:cs="宋体" w:eastAsia="宋体"/>
                <w:sz w:val="20"/>
              </w:rPr>
              <w:t>违约责任</w:t>
            </w:r>
          </w:p>
          <w:p>
            <w:pPr>
              <w:pStyle w:val="null3"/>
              <w:jc w:val="both"/>
            </w:pPr>
            <w:r>
              <w:rPr>
                <w:rFonts w:ascii="宋体" w:hAnsi="宋体" w:cs="宋体" w:eastAsia="宋体"/>
                <w:sz w:val="21"/>
              </w:rPr>
              <w:t>采购人在验收中发现货物不符合合同要求和质量标准的，由</w:t>
            </w:r>
            <w:r>
              <w:rPr>
                <w:rFonts w:ascii="宋体" w:hAnsi="宋体" w:cs="宋体" w:eastAsia="宋体"/>
                <w:sz w:val="21"/>
              </w:rPr>
              <w:t>成交供应商</w:t>
            </w:r>
            <w:r>
              <w:rPr>
                <w:rFonts w:ascii="宋体" w:hAnsi="宋体" w:cs="宋体" w:eastAsia="宋体"/>
                <w:sz w:val="21"/>
              </w:rPr>
              <w:t>负责根据具体问题对产品进行调换和重新安装，直至与合同一致为止，并承担因此而发生的实际费用。</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合同签订后90日内。</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安装、调试、试运行结束经验收合格后</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根据合同规定的软硬件产品实际功能、技术参数和验收标准进行验收，经检验无误后出具验收合格证明。</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质保期：软硬件产品质保期自项目验收合格之日起三年</w:t>
      </w:r>
    </w:p>
    <w:p>
      <w:pPr>
        <w:pStyle w:val="null3"/>
        <w:outlineLvl w:val="3"/>
      </w:pPr>
      <w:r>
        <w:rPr>
          <w:sz w:val="24"/>
          <w:b/>
        </w:rPr>
        <w:t>3.4.8违约责任与解决争议的方法</w:t>
      </w:r>
    </w:p>
    <w:p>
      <w:pPr>
        <w:pStyle w:val="null3"/>
      </w:pPr>
      <w:r>
        <w:rPr/>
        <w:t>采购包1：</w:t>
      </w:r>
    </w:p>
    <w:p>
      <w:pPr>
        <w:pStyle w:val="null3"/>
      </w:pPr>
      <w:r>
        <w:rPr/>
        <w:t>采购人在验收中发现货物不符合合同要求和质量标准的，由成交供应商负责根据具体问题对产品进行调换和重新安装，直至与合同一致为止，并承担因此而发生的实际费用。</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贰套、电子版壹 套（U盘一套标明供应商名称，随正本密封）。若系统电子投标文件与纸质投标文件不一致的，以系统电子投标文件为准。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供应商需在项目电子化交易系统中按要求填写《投标函》完成承诺并进行电子签章、提供直接控股和直接管理关系清单。若与其他供应商存在单位负责人为同一人或者存在直接控股、管理关系的，则投标无效。</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供应商单位缴纳社会保障资金（养老保险或医疗保险）的缴纳证明及被授权人身份证</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资格响应表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交货期是否符合磋商文件要求</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质保期是否符合磋商文件要求</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响应文件有效期</w:t>
            </w:r>
          </w:p>
        </w:tc>
        <w:tc>
          <w:tcPr>
            <w:tcW w:type="dxa" w:w="3322"/>
          </w:tcPr>
          <w:p>
            <w:pPr>
              <w:pStyle w:val="null3"/>
            </w:pPr>
            <w:r>
              <w:rPr/>
              <w:t>响应文件有效期是否符合磋商文件要求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报价未超出采购预算及最高限价</w:t>
            </w:r>
          </w:p>
        </w:tc>
        <w:tc>
          <w:tcPr>
            <w:tcW w:type="dxa" w:w="1661"/>
          </w:tcPr>
          <w:p>
            <w:pPr>
              <w:pStyle w:val="null3"/>
            </w:pPr>
            <w:r>
              <w:rPr/>
              <w:t>报价表及分项报价表</w:t>
            </w:r>
          </w:p>
        </w:tc>
      </w:tr>
      <w:tr>
        <w:tc>
          <w:tcPr>
            <w:tcW w:type="dxa" w:w="831"/>
          </w:tcPr>
          <w:p>
            <w:pPr>
              <w:pStyle w:val="null3"/>
            </w:pPr>
            <w:r>
              <w:rPr/>
              <w:t>7</w:t>
            </w:r>
          </w:p>
        </w:tc>
        <w:tc>
          <w:tcPr>
            <w:tcW w:type="dxa" w:w="2492"/>
          </w:tcPr>
          <w:p>
            <w:pPr>
              <w:pStyle w:val="null3"/>
            </w:pPr>
            <w:r>
              <w:rPr/>
              <w:t>磋商文件其他规定的情况</w:t>
            </w:r>
          </w:p>
        </w:tc>
        <w:tc>
          <w:tcPr>
            <w:tcW w:type="dxa" w:w="3322"/>
          </w:tcPr>
          <w:p>
            <w:pPr>
              <w:pStyle w:val="null3"/>
            </w:pPr>
            <w:r>
              <w:rPr/>
              <w:t>磋商文件其他规定的情况</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企业实力</w:t>
            </w:r>
          </w:p>
        </w:tc>
        <w:tc>
          <w:tcPr>
            <w:tcW w:type="dxa" w:w="2492"/>
          </w:tcPr>
          <w:p>
            <w:pPr>
              <w:pStyle w:val="null3"/>
            </w:pPr>
            <w:r>
              <w:rPr/>
              <w:t>1.供应商提供“ISO9001”质量管理体系认证证书、“ISO 20000”信息技术服务管理体系认证证书、“ISO27001信息安全管理体系认证证书”、提供上述一项得1分，最高3分，不提供不得分。 2.供应商具有ITSS信息技术服务运行维护标准符合性证书二级及以上的得3分，三级的得2分，三级以下不得分，不提供不得分。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供应商提供2021年1月1日至今已完成的同类项目业绩证明材料(业绩证明材料以合同为准，时间以合同签订时间为准）。 每提供一份得1分，最多不超过3分。不提供不得分。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实施方案</w:t>
            </w:r>
          </w:p>
        </w:tc>
        <w:tc>
          <w:tcPr>
            <w:tcW w:type="dxa" w:w="2492"/>
          </w:tcPr>
          <w:p>
            <w:pPr>
              <w:pStyle w:val="null3"/>
            </w:pPr>
            <w:r>
              <w:rPr/>
              <w:t>项目实施计划应包括需求分析、设计、测试、部署、验收、软件质量保证措施（包括组织、制度、计划、问题追踪、评审等）等内容。 内容完整全面、合理周密、措施有力、质量、进度控制保证措施切实可行的，得5分； 内容完整，计划合理可行，有质量、进度保证措施，得3分； 内容简单，存在缺陷，得1分； 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项目实施团队</w:t>
            </w:r>
          </w:p>
        </w:tc>
        <w:tc>
          <w:tcPr>
            <w:tcW w:type="dxa" w:w="2492"/>
          </w:tcPr>
          <w:p>
            <w:pPr>
              <w:pStyle w:val="null3"/>
            </w:pPr>
            <w:r>
              <w:rPr/>
              <w:t>1.供应商拟为本项目应配备1名项目经理，项目经理应具备系统集成项目管理工程师-中级资格证书得2分，其他不得分。 2.除项目经理外需要配备齐全的专业人员，且专业搭配合理，团队人数和岗位配备需满足项目需求，项目团队成员5人以上得2分，3-5人得1分，3人以下不得分。 （提供相关人员资质证书复印件并加盖公章，以及在供应商单位近三个月的社保证明复印件）</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针对本项目能够贴合项目需求提供相应的培训方案，从培训计划、培训方式、培训时间、培训内容等方面赋分。 培训方案完整，合理可行得3分； 培训方案基本完整，具有一定的可行性得2分； 培训方案简单，存在缺陷，得1分。 不提供不得分。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售后服务能力</w:t>
            </w:r>
          </w:p>
        </w:tc>
        <w:tc>
          <w:tcPr>
            <w:tcW w:type="dxa" w:w="2492"/>
          </w:tcPr>
          <w:p>
            <w:pPr>
              <w:pStyle w:val="null3"/>
            </w:pPr>
            <w:r>
              <w:rPr/>
              <w:t>1、提供售后服务承诺、售后服务内容、响应方式、响应时间、故障服务管理、问题管理、应急措施等）进行评审。全部响应采购要求的得2分；基本响应或者部分满足采购要求的得1分。不提供不得分。 2、供应商在西安市设有本地化服务机构，服务中心具有7（天）×24（小时）不间断技术支持，并支持上门服务,得2分，供应商承诺成交后在西安市设分支机构或办事处的得1分，不提供不得分。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技术参数及功能需求点响应</w:t>
            </w:r>
          </w:p>
        </w:tc>
        <w:tc>
          <w:tcPr>
            <w:tcW w:type="dxa" w:w="2492"/>
          </w:tcPr>
          <w:p>
            <w:pPr>
              <w:pStyle w:val="null3"/>
            </w:pPr>
            <w:r>
              <w:rPr/>
              <w:t>所投产品的技术参数和功能需求完全满足响应文件要求的技术参数，完全满足无负偏离得15分； ▲项参数为重要参数每负偏离一项扣1分； 注：▲项参数需提供证明材料。证明材料包括但不限于：产品彩页、官网截图或第三方检测机构出具的检测报告。 其他参数为一般参数每负偏离一项扣0.5分，扣完为止；</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规格、技术参数偏离表</w:t>
            </w:r>
          </w:p>
          <w:p>
            <w:pPr>
              <w:pStyle w:val="null3"/>
            </w:pPr>
            <w:r>
              <w:rPr/>
              <w:t>服务方案</w:t>
            </w:r>
          </w:p>
        </w:tc>
      </w:tr>
      <w:tr>
        <w:tc>
          <w:tcPr>
            <w:tcW w:type="dxa" w:w="831"/>
            <w:vMerge/>
          </w:tcPr>
          <w:p/>
        </w:tc>
        <w:tc>
          <w:tcPr>
            <w:tcW w:type="dxa" w:w="1661"/>
          </w:tcPr>
          <w:p>
            <w:pPr>
              <w:pStyle w:val="null3"/>
            </w:pPr>
            <w:r>
              <w:rPr/>
              <w:t>需求分析</w:t>
            </w:r>
          </w:p>
        </w:tc>
        <w:tc>
          <w:tcPr>
            <w:tcW w:type="dxa" w:w="2492"/>
          </w:tcPr>
          <w:p>
            <w:pPr>
              <w:pStyle w:val="null3"/>
            </w:pPr>
            <w:r>
              <w:rPr/>
              <w:t>针对采购需求提供项目需求分析方案，包括现状分析和需求分析。磋商小组进行综合赋分： 现状描述清晰，需求分析合理，项目难点、要点理解针对性强，得7分； 现状描述基本清晰，分析基本合理、具有一定的针对性得4分； 现状描述有部分缺失，与采购需求有出入，得1分； 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总体设计</w:t>
            </w:r>
          </w:p>
        </w:tc>
        <w:tc>
          <w:tcPr>
            <w:tcW w:type="dxa" w:w="2492"/>
          </w:tcPr>
          <w:p>
            <w:pPr>
              <w:pStyle w:val="null3"/>
            </w:pPr>
            <w:r>
              <w:rPr/>
              <w:t>针对采购需求提供总体设计方案，需包括系统总体架构、部署架构、数据架构和技术路线，由磋商小组根据供应商提供的总体设计方案中相关架构设计是否合理、设计是否符合实际进行综合赋分： 总体设计合理，符合实际，针对性强，得8分； 设计基本合理，基本符合实际，具有一定的针对性，得5分； 总体设计与采购需求出入较大，得1分； 不提供不得分。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技术方案设计</w:t>
            </w:r>
          </w:p>
        </w:tc>
        <w:tc>
          <w:tcPr>
            <w:tcW w:type="dxa" w:w="2492"/>
          </w:tcPr>
          <w:p>
            <w:pPr>
              <w:pStyle w:val="null3"/>
            </w:pPr>
            <w:r>
              <w:rPr/>
              <w:t>针对采购需求中本地场景微调模型软件设计方案，需包括功能框架、流程设计、业务功能和系统集成等内容，由评标委员会根据供应商提供设计方案中内容是否全面、功能描述是否详细、设计是否合理进行综合赋分：内容全面、描述详细、设计合理得10分；内容全面、描述基本详细、设计基本合理得6分；内容、描述与采购需求出入较大得2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集成方案设计</w:t>
            </w:r>
          </w:p>
        </w:tc>
        <w:tc>
          <w:tcPr>
            <w:tcW w:type="dxa" w:w="2492"/>
          </w:tcPr>
          <w:p>
            <w:pPr>
              <w:pStyle w:val="null3"/>
            </w:pPr>
            <w:r>
              <w:rPr/>
              <w:t>针对采购需求提供集成方案设计，需包括模型训练、预警消息处置、系统接口设计等内容，由评标委员会根据供应商提供设计方案中内容是否全面、流程设计是否合理进行综合赋分：内容全面、设计合理得5分；内容全面、设计基本合理得3分；内容与采购需求出入较大得1分； 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满足磋商文件要求且投标价格最低的投标报价为评标基准价，其价格分为满分30分。其他供应商的价格分统一按照下列公式计算：投标报价得分=（评标基准价/投标报价）×30 符合磋商文件规定的小微企业、监狱企业、残疾人福利性单位优惠的供应商，价格给予10%的扣除，用扣除后的价格参与评审。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详见附件：规格、技术参数偏离表</w:t>
      </w:r>
    </w:p>
    <w:p>
      <w:pPr>
        <w:pStyle w:val="null3"/>
        <w:ind w:firstLine="960"/>
      </w:pPr>
      <w:r>
        <w:rPr/>
        <w:t>详见附件：服务方案</w:t>
      </w:r>
    </w:p>
    <w:p>
      <w:pPr>
        <w:pStyle w:val="null3"/>
        <w:ind w:firstLine="960"/>
      </w:pPr>
      <w:r>
        <w:rPr/>
        <w:t>详见附件：商务偏离表</w:t>
      </w:r>
    </w:p>
    <w:p>
      <w:pPr>
        <w:pStyle w:val="null3"/>
        <w:ind w:firstLine="960"/>
      </w:pPr>
      <w:r>
        <w:rPr/>
        <w:t>详见附件：业绩一览表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