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版本号：241212001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光刻设备采购项目</w:t>
      </w:r>
    </w:p>
    <w:p>
      <w:pPr>
        <w:pStyle w:val="null3"/>
        <w:jc w:val="center"/>
        <w:outlineLvl w:val="5"/>
      </w:pPr>
      <w:r>
        <w:rPr>
          <w:sz w:val="15"/>
          <w:b/>
        </w:rPr>
        <w:t xml:space="preserve">项目编号: </w:t>
      </w:r>
      <w:r>
        <w:rPr>
          <w:sz w:val="15"/>
          <w:b/>
        </w:rPr>
        <w:t>SZT2024-SN-SC-ZC-HW-1223</w:t>
      </w:r>
      <w:r>
        <w:br/>
      </w:r>
      <w:r>
        <w:br/>
      </w:r>
      <w:r>
        <w:br/>
      </w:r>
      <w:r>
        <w:br/>
      </w:r>
      <w:r>
        <w:br/>
      </w:r>
    </w:p>
    <w:p>
      <w:pPr>
        <w:pStyle w:val="null3"/>
        <w:jc w:val="center"/>
        <w:outlineLvl w:val="5"/>
      </w:pPr>
      <w:r>
        <w:rPr>
          <w:sz w:val="15"/>
          <w:b/>
        </w:rPr>
        <w:t>西安工业大学</w:t>
      </w:r>
    </w:p>
    <w:p>
      <w:pPr>
        <w:pStyle w:val="null3"/>
        <w:jc w:val="center"/>
        <w:outlineLvl w:val="5"/>
      </w:pPr>
      <w:r>
        <w:rPr>
          <w:sz w:val="15"/>
          <w:b/>
        </w:rPr>
        <w:t>陕西中技招标有限公司</w:t>
      </w:r>
      <w:r>
        <w:rPr>
          <w:sz w:val="15"/>
          <w:b/>
        </w:rPr>
        <w:t>共同编制</w:t>
      </w:r>
    </w:p>
    <w:p>
      <w:pPr>
        <w:pStyle w:val="null3"/>
        <w:jc w:val="center"/>
        <w:outlineLvl w:val="5"/>
      </w:pPr>
      <w:r>
        <w:rPr>
          <w:sz w:val="15"/>
          <w:b/>
        </w:rPr>
        <w:t>2024年12月12日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陕西中技招标有限公司</w:t>
      </w:r>
      <w:r>
        <w:rPr/>
        <w:t>（以下简称“代理机构”）受</w:t>
      </w:r>
      <w:r>
        <w:rPr/>
        <w:t>西安工业大学</w:t>
      </w:r>
      <w:r>
        <w:rPr/>
        <w:t>委托，拟对</w:t>
      </w:r>
      <w:r>
        <w:rPr/>
        <w:t>光刻设备采购项目</w:t>
      </w:r>
      <w:r>
        <w:rPr/>
        <w:t>采用单一来源方式进行采购，现邀请贵公司参加该项目的协商。</w:t>
      </w:r>
    </w:p>
    <w:p>
      <w:pPr>
        <w:pStyle w:val="null3"/>
        <w:outlineLvl w:val="2"/>
      </w:pPr>
      <w:r>
        <w:rPr>
          <w:sz w:val="28"/>
          <w:b/>
        </w:rPr>
        <w:t>一、采购项目编号：</w:t>
      </w:r>
      <w:r>
        <w:rPr>
          <w:sz w:val="28"/>
          <w:b/>
        </w:rPr>
        <w:t>SZT2024-SN-SC-ZC-HW-1223</w:t>
      </w:r>
    </w:p>
    <w:p>
      <w:pPr>
        <w:pStyle w:val="null3"/>
        <w:outlineLvl w:val="2"/>
      </w:pPr>
      <w:r>
        <w:rPr>
          <w:sz w:val="28"/>
          <w:b/>
        </w:rPr>
        <w:t>二、采购项目名称：</w:t>
      </w:r>
      <w:r>
        <w:rPr>
          <w:sz w:val="28"/>
          <w:b/>
        </w:rPr>
        <w:t>光刻设备采购项目</w:t>
      </w:r>
    </w:p>
    <w:p>
      <w:pPr>
        <w:pStyle w:val="null3"/>
        <w:outlineLvl w:val="2"/>
      </w:pPr>
      <w:r>
        <w:rPr>
          <w:sz w:val="28"/>
          <w:b/>
        </w:rPr>
        <w:t>三、协商项目简介：</w:t>
      </w:r>
    </w:p>
    <w:p>
      <w:pPr>
        <w:pStyle w:val="null3"/>
        <w:ind w:firstLine="480"/>
      </w:pPr>
      <w:r>
        <w:rPr/>
        <w:t>本项目拟购买光刻设备一套，拟用于灰度光刻制备微纳结构光学元件，支撑西安工业大学微纳结构光电探测系统相关项目的研究工作。</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要求：法定代表人授权代表参加投标的，须出具法定代表人授权书及授权代表身份证（法定代表人直接参加投标的，须出具法定代表人身份证）。供应商需在项目电子化交易系统中按要求上传相应证明文件并进行电子签章。</w:t>
      </w:r>
    </w:p>
    <w:p>
      <w:pPr>
        <w:pStyle w:val="null3"/>
      </w:pPr>
      <w:r>
        <w:rPr/>
        <w:t>2、进口产品授权要求：须提供所投产品厂家授权书或总代理商授权书（提供总代理商授权书的须出具有效授权权限的相关证明文件，证明文件须能显示产品制造厂家对所投产品授权链条的完整性）。供应商需在项目电子化交易系统中按要求上传相应证明文件并进行电子签章。</w:t>
      </w:r>
    </w:p>
    <w:p>
      <w:pPr>
        <w:pStyle w:val="null3"/>
      </w:pPr>
      <w:r>
        <w:rPr/>
        <w:t>3、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710021</w:t>
      </w:r>
    </w:p>
    <w:p>
      <w:pPr>
        <w:pStyle w:val="null3"/>
      </w:pPr>
      <w:r>
        <w:rPr/>
        <w:t xml:space="preserve"> 联系人： </w:t>
      </w:r>
      <w:r>
        <w:rPr/>
        <w:t>西安工业大学经办</w:t>
      </w:r>
    </w:p>
    <w:p>
      <w:pPr>
        <w:pStyle w:val="null3"/>
      </w:pPr>
      <w:r>
        <w:rPr/>
        <w:t xml:space="preserve"> 联系电话： </w:t>
      </w:r>
      <w:r>
        <w:rPr/>
        <w:t>029-86173142</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杨艳、沈肖楠、单博</w:t>
      </w:r>
    </w:p>
    <w:p>
      <w:pPr>
        <w:pStyle w:val="null3"/>
      </w:pPr>
      <w:r>
        <w:rPr/>
        <w:t xml:space="preserve"> 联系电话： </w:t>
      </w:r>
      <w:r>
        <w:rPr/>
        <w:t>029-88364979-821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采购包1：7,700,000.00元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采购包1：7,700,000.00元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采购包1保证金金额：140,000.00元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开户名称：陕西中技招标有限公司（向我公司转账时，请备注清楚项目编号后四位和包号）</w:t>
            </w:r>
          </w:p>
          <w:p>
            <w:pPr>
              <w:pStyle w:val="null3"/>
            </w:pPr>
            <w:r>
              <w:rPr/>
              <w:t>开户银行：招商银行西安分行营业部</w:t>
            </w:r>
          </w:p>
          <w:p>
            <w:pPr>
              <w:pStyle w:val="null3"/>
            </w:pPr>
            <w:r>
              <w:rPr/>
              <w:t>银行账号：1299 1681 2810 001</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120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向采购代理机构交纳招标代理服务费。招标代理服务费的收取参见国家计委颁布的《招标代理服务收费管理暂行办法》（计价格[2002]1980号）和（发改办价格[2003]857号）货物类收费标准按照中标金额的0.6%进行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西安工业大学</w:t>
      </w:r>
      <w:r>
        <w:rPr/>
        <w:t>和</w:t>
      </w:r>
      <w:r>
        <w:rPr/>
        <w:t>陕西中技招标有限公司</w:t>
      </w:r>
      <w:r>
        <w:rPr/>
        <w:t>享有。对采购文件中供应商参加本次政府采购活动应当具备的条件、项目技术、服务、商务及其他要求，评审标准由采购人负责解释。除上述采购文件内容，其他内容由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西安工业大学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本项目拟购买光刻设备一套，拟用于灰度光刻制备微纳结构光学元件，支撑西安工业大学微纳结构光电探测系统相关项目的研究工作。</w:t>
      </w:r>
    </w:p>
    <w:p>
      <w:pPr>
        <w:pStyle w:val="null3"/>
        <w:outlineLvl w:val="2"/>
      </w:pPr>
      <w:r>
        <w:rPr>
          <w:sz w:val="28"/>
          <w:b/>
        </w:rPr>
        <w:t>3.2采购内容</w:t>
      </w:r>
    </w:p>
    <w:p>
      <w:pPr>
        <w:pStyle w:val="null3"/>
      </w:pPr>
      <w:r>
        <w:rPr/>
        <w:t>采购包1：</w:t>
      </w:r>
    </w:p>
    <w:p>
      <w:pPr>
        <w:pStyle w:val="null3"/>
      </w:pPr>
      <w:r>
        <w:rPr/>
        <w:t>采购包预算金额（元）: 7,700,000.00</w:t>
      </w:r>
    </w:p>
    <w:p>
      <w:pPr>
        <w:pStyle w:val="null3"/>
      </w:pPr>
      <w:r>
        <w:rPr/>
        <w:t>采购包最高限价（元）: 7,700,000.00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西安工业大学光刻设备采购项目</w:t>
            </w:r>
          </w:p>
        </w:tc>
        <w:tc>
          <w:tcPr>
            <w:tcW w:type="dxa" w:w="831"/>
          </w:tcPr>
          <w:p>
            <w:pPr>
              <w:pStyle w:val="null3"/>
              <w:jc w:val="right"/>
            </w:pPr>
            <w:r>
              <w:rPr/>
              <w:t>1.00</w:t>
            </w:r>
          </w:p>
        </w:tc>
        <w:tc>
          <w:tcPr>
            <w:tcW w:type="dxa" w:w="831"/>
          </w:tcPr>
          <w:p>
            <w:pPr>
              <w:pStyle w:val="null3"/>
              <w:jc w:val="right"/>
            </w:pPr>
            <w:r>
              <w:rPr/>
              <w:t>7,700,000.00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标的名称：西安工业大学光刻设备采购项目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quot;times new roman&quot;" w:hAnsi="&quot;times new roman&quot;" w:cs="&quot;times new roman&quot;" w:eastAsia="&quot;times new roman&quot;"/>
                <w:sz w:val="21"/>
              </w:rPr>
              <w:t>1、光刻设备</w:t>
            </w:r>
          </w:p>
          <w:p>
            <w:pPr>
              <w:pStyle w:val="null3"/>
            </w:pPr>
            <w:r>
              <w:rPr>
                <w:rFonts w:ascii="&quot;times new roman&quot;" w:hAnsi="&quot;times new roman&quot;" w:cs="&quot;times new roman&quot;" w:eastAsia="&quot;times new roman&quot;"/>
                <w:sz w:val="21"/>
              </w:rPr>
              <w:t>（1）. 405nm Diode Laser, 功率3mW, 使用寿命大于10000小时；</w:t>
            </w:r>
          </w:p>
          <w:p>
            <w:pPr>
              <w:pStyle w:val="null3"/>
            </w:pPr>
            <w:r>
              <w:rPr>
                <w:rFonts w:ascii="&quot;times new roman&quot;" w:hAnsi="&quot;times new roman&quot;" w:cs="&quot;times new roman&quot;" w:eastAsia="&quot;times new roman&quot;"/>
                <w:sz w:val="21"/>
              </w:rPr>
              <w:t>（2）. 灰度光刻实现2.5D结构的加工，灰度阶数4096阶；</w:t>
            </w:r>
          </w:p>
          <w:p>
            <w:pPr>
              <w:pStyle w:val="null3"/>
            </w:pPr>
            <w:r>
              <w:rPr>
                <w:rFonts w:ascii="&quot;times new roman&quot;" w:hAnsi="&quot;times new roman&quot;" w:cs="&quot;times new roman&quot;" w:eastAsia="&quot;times new roman&quot;"/>
                <w:sz w:val="21"/>
              </w:rPr>
              <w:t>（3）. 最小分辨率300nm的结构特征尺寸；</w:t>
            </w:r>
          </w:p>
          <w:p>
            <w:pPr>
              <w:pStyle w:val="null3"/>
            </w:pPr>
            <w:r>
              <w:rPr>
                <w:rFonts w:ascii="&quot;times new roman&quot;" w:hAnsi="&quot;times new roman&quot;" w:cs="&quot;times new roman&quot;" w:eastAsia="&quot;times new roman&quot;"/>
                <w:sz w:val="21"/>
              </w:rPr>
              <w:t>（4）. 多层套刻功能，套刻精度优于300nm；</w:t>
            </w:r>
          </w:p>
          <w:p>
            <w:pPr>
              <w:pStyle w:val="null3"/>
            </w:pPr>
            <w:r>
              <w:rPr>
                <w:rFonts w:ascii="&quot;times new roman&quot;" w:hAnsi="&quot;times new roman&quot;" w:cs="&quot;times new roman&quot;" w:eastAsia="&quot;times new roman&quot;"/>
                <w:sz w:val="21"/>
              </w:rPr>
              <w:t>（5）. 最大曝光面积200mm×200mm；</w:t>
            </w:r>
          </w:p>
          <w:p>
            <w:pPr>
              <w:pStyle w:val="null3"/>
            </w:pPr>
            <w:r>
              <w:rPr>
                <w:rFonts w:ascii="&quot;times new roman&quot;" w:hAnsi="&quot;times new roman&quot;" w:cs="&quot;times new roman&quot;" w:eastAsia="&quot;times new roman&quot;"/>
                <w:sz w:val="21"/>
              </w:rPr>
              <w:t>（6）. 多种分辨率（300nm、600nm、900nm）的自由切换；</w:t>
            </w:r>
          </w:p>
          <w:p>
            <w:pPr>
              <w:pStyle w:val="null3"/>
            </w:pPr>
            <w:r>
              <w:rPr>
                <w:rFonts w:ascii="&quot;times new roman&quot;" w:hAnsi="&quot;times new roman&quot;" w:cs="&quot;times new roman&quot;" w:eastAsia="&quot;times new roman&quot;"/>
                <w:sz w:val="21"/>
              </w:rPr>
              <w:t>（7）. 最大扫描速度400mm/s；</w:t>
            </w:r>
          </w:p>
          <w:p>
            <w:pPr>
              <w:pStyle w:val="null3"/>
            </w:pPr>
            <w:r>
              <w:rPr>
                <w:rFonts w:ascii="&quot;times new roman&quot;" w:hAnsi="&quot;times new roman&quot;" w:cs="&quot;times new roman&quot;" w:eastAsia="&quot;times new roman&quot;"/>
                <w:sz w:val="21"/>
              </w:rPr>
              <w:t>（8）. 支持实时光学聚焦；</w:t>
            </w:r>
          </w:p>
          <w:p>
            <w:pPr>
              <w:pStyle w:val="null3"/>
            </w:pPr>
            <w:r>
              <w:rPr>
                <w:rFonts w:ascii="&quot;times new roman&quot;" w:hAnsi="&quot;times new roman&quot;" w:cs="&quot;times new roman&quot;" w:eastAsia="&quot;times new roman&quot;"/>
                <w:sz w:val="21"/>
              </w:rPr>
              <w:t>（9）. 专业的数据库软件，可实现在线作图（微透镜、菲涅尔透镜、光栅等）；</w:t>
            </w:r>
          </w:p>
          <w:p>
            <w:pPr>
              <w:pStyle w:val="null3"/>
            </w:pPr>
            <w:r>
              <w:rPr>
                <w:rFonts w:ascii="&quot;times new roman&quot;" w:hAnsi="&quot;times new roman&quot;" w:cs="&quot;times new roman&quot;" w:eastAsia="&quot;times new roman&quot;"/>
                <w:sz w:val="21"/>
              </w:rPr>
              <w:t>（10）. 支持衬底尺寸10mm×10mm~230mm×230mm，厚度≤12mm；</w:t>
            </w:r>
          </w:p>
          <w:p>
            <w:pPr>
              <w:pStyle w:val="null3"/>
            </w:pPr>
            <w:r>
              <w:rPr>
                <w:rFonts w:ascii="&quot;times new roman&quot;" w:hAnsi="&quot;times new roman&quot;" w:cs="&quot;times new roman&quot;" w:eastAsia="&quot;times new roman&quot;"/>
                <w:sz w:val="21"/>
              </w:rPr>
              <w:t>（11）. 支持GDSII、DXF、TIFF、BMP等数据格式。</w:t>
            </w:r>
          </w:p>
          <w:p>
            <w:pPr>
              <w:pStyle w:val="null3"/>
            </w:pPr>
            <w:r>
              <w:rPr>
                <w:rFonts w:ascii="&quot;times new roman&quot;" w:hAnsi="&quot;times new roman&quot;" w:cs="&quot;times new roman&quot;" w:eastAsia="&quot;times new roman&quot;"/>
                <w:sz w:val="21"/>
              </w:rPr>
              <w:t>2、整机配置</w:t>
            </w:r>
          </w:p>
          <w:p>
            <w:pPr>
              <w:pStyle w:val="null3"/>
            </w:pPr>
            <w:r>
              <w:rPr>
                <w:rFonts w:ascii="&quot;times new roman&quot;" w:hAnsi="&quot;times new roman&quot;" w:cs="&quot;times new roman&quot;" w:eastAsia="&quot;times new roman&quot;"/>
                <w:sz w:val="21"/>
              </w:rPr>
              <w:t>（1）配备热转印复制制造平台一套，支持衬底尺寸10mm×10mm~230mm×230mm，厚度≤20mm；结构特征尺寸≥50nm； 最大压印面积200mm×200mm；热压温度不小于180℃；</w:t>
            </w:r>
          </w:p>
          <w:p>
            <w:pPr>
              <w:pStyle w:val="null3"/>
            </w:pPr>
            <w:r>
              <w:rPr>
                <w:rFonts w:ascii="&quot;times new roman&quot;" w:hAnsi="&quot;times new roman&quot;" w:cs="&quot;times new roman&quot;" w:eastAsia="&quot;times new roman&quot;"/>
                <w:sz w:val="21"/>
              </w:rPr>
              <w:t>（2）配备辊轮压印复制制造平台一套，支持衬底尺寸10mm×10mm~230mm×230mm，厚度≤20mm；最大压印面积200mm×200mm；构特征尺寸≥50nm；</w:t>
            </w:r>
          </w:p>
          <w:p>
            <w:pPr>
              <w:pStyle w:val="null3"/>
            </w:pPr>
            <w:r>
              <w:rPr>
                <w:rFonts w:ascii="&quot;times new roman&quot;" w:hAnsi="&quot;times new roman&quot;" w:cs="&quot;times new roman&quot;" w:eastAsia="&quot;times new roman&quot;"/>
                <w:sz w:val="21"/>
              </w:rPr>
              <w:t>（3）配备紫外平面复制制造平台一套，支持衬底尺寸10mm×10mm~230mm×230mm，厚度≤20mm；最大压印面积200mm×200mm；构特征尺寸≥50nm；</w:t>
            </w:r>
          </w:p>
          <w:p>
            <w:pPr>
              <w:pStyle w:val="null3"/>
            </w:pPr>
            <w:r>
              <w:rPr>
                <w:rFonts w:ascii="&quot;times new roman&quot;" w:hAnsi="&quot;times new roman&quot;" w:cs="&quot;times new roman&quot;" w:eastAsia="&quot;times new roman&quot;"/>
                <w:sz w:val="21"/>
              </w:rPr>
              <w:t>（4） 配备大口径匀胶设备一套，支持衬底尺寸200mm×200mm，最高转速不低于16000转/分钟，匀胶均匀性不低于90%。</w:t>
            </w:r>
          </w:p>
          <w:p>
            <w:pPr>
              <w:pStyle w:val="null3"/>
            </w:pPr>
            <w:r>
              <w:rPr>
                <w:rFonts w:ascii="&quot;times new roman&quot;" w:hAnsi="&quot;times new roman&quot;" w:cs="&quot;times new roman&quot;" w:eastAsia="&quot;times new roman&quot;"/>
                <w:sz w:val="21"/>
              </w:rPr>
              <w:t>（5）配备桌面式程控烤胶机一套，支持衬底尺寸200mm×200mm，最高温度250℃；</w:t>
            </w:r>
          </w:p>
          <w:p>
            <w:pPr>
              <w:pStyle w:val="null3"/>
            </w:pPr>
            <w:r>
              <w:rPr>
                <w:rFonts w:ascii="&quot;times new roman&quot;" w:hAnsi="&quot;times new roman&quot;" w:cs="&quot;times new roman&quot;" w:eastAsia="&quot;times new roman&quot;"/>
                <w:sz w:val="21"/>
              </w:rPr>
              <w:t>（6）配备防震平台一台。</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1、交货日期：自合同生效后300日历日，安装日期设备到货后，乙方接甲方通知后10个日历天完成安装。 甲方在设备安装环境不完全具备的条件下，可要求延期交货，乙方应无条件同意。乙方发货前需书面告知甲方，并征求甲方同意。 2、乙方向甲方交货时应移交每套设备的全套档案资料（包括产品合格证、使用说明书、保修卡、技术资料等），否则视为未交货。 3、乙方交货时应为甲方（用户）免费指导和培训设备的操作与维护。 4、乙方逾期完成安装调试的，每逾期一日应向甲方支付违约金1万元，违约金不足以弥补损失的，应继续赔偿甲方损失。相应的安装调试所需工具和标准样品由中标供应商或制造商提供。 5、乙方安装调试结束后提供设备运行报告，再向甲方申请进行设备初验。</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采购人通过委托的外贸公司向中标供应商指定的境外厂商开具100%不可撤销即期跟单信用证。信用证90%的合同货款凭外贸合同约定单据及西安工业大学出具的开箱点货报告原件解付；剩余10%合同尾款凭西安工业大学出具的设备终验验收报告原件解付</w:t>
      </w:r>
      <w:r>
        <w:rPr/>
        <w:t xml:space="preserve"> ，达到付款条件起 </w:t>
      </w:r>
      <w:r>
        <w:rPr/>
        <w:t>15</w:t>
      </w:r>
      <w:r>
        <w:rPr/>
        <w:t xml:space="preserve"> 日内，支付合同总金额的 </w:t>
      </w:r>
      <w:r>
        <w:rPr/>
        <w:t>100.00</w:t>
      </w:r>
      <w:r>
        <w:rPr/>
        <w:t>%。</w:t>
      </w:r>
    </w:p>
    <w:p>
      <w:pPr>
        <w:pStyle w:val="null3"/>
        <w:jc w:val="left"/>
        <w:outlineLvl w:val="3"/>
      </w:pPr>
      <w:r>
        <w:rPr>
          <w:sz w:val="24"/>
          <w:b/>
        </w:rPr>
        <w:t>3.4.5.验收标准和方法</w:t>
      </w:r>
    </w:p>
    <w:p>
      <w:pPr>
        <w:pStyle w:val="null3"/>
      </w:pPr>
      <w:r>
        <w:rPr/>
        <w:t>采购包1：</w:t>
      </w:r>
    </w:p>
    <w:p>
      <w:pPr>
        <w:pStyle w:val="null3"/>
      </w:pPr>
      <w:r>
        <w:rPr/>
        <w:t>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1、设备质保期（保修期）为 1 年，自设备终验合格之日起开始计算。 2、质保期内乙方免费提供人员培训及上门维修服务，负责修理或更换因生产工艺或材质质量原因而出现故障的零部件，一切材料及人工费用全免。如乙方原因不能履行质保义务，甲方有权委托第三方处理，由此产生的费用和风险由乙方承担，造成甲方损失的应予以赔偿。 3、质保期内免费回访，及时为设备进行检查和问诊。质保期满后乙方继续承担仪器的终身维护，对甲方提供支持，如回答甲方提出的问题、排除甲方的软、硬件故障等，并按成本价格酌情收取部件维修或更换费用。</w:t>
      </w:r>
    </w:p>
    <w:p>
      <w:pPr>
        <w:pStyle w:val="null3"/>
        <w:outlineLvl w:val="3"/>
      </w:pPr>
      <w:r>
        <w:rPr>
          <w:sz w:val="24"/>
          <w:b/>
        </w:rPr>
        <w:t>3.4.8.违约责任与解决争议的方法</w:t>
      </w:r>
    </w:p>
    <w:p>
      <w:pPr>
        <w:pStyle w:val="null3"/>
      </w:pPr>
      <w:r>
        <w:rPr/>
        <w:t>采购包1：</w:t>
      </w:r>
    </w:p>
    <w:p>
      <w:pPr>
        <w:pStyle w:val="null3"/>
      </w:pPr>
      <w:r>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20%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20%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20%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6、若乙方逾期完成安装调试的，每逾期一日应向甲方支付违约金1万元，违约金不足以弥补损失的，应继续赔偿甲方损失。</w:t>
      </w:r>
    </w:p>
    <w:p>
      <w:pPr>
        <w:pStyle w:val="null3"/>
        <w:outlineLvl w:val="2"/>
      </w:pPr>
      <w:r>
        <w:rPr>
          <w:sz w:val="28"/>
          <w:b/>
        </w:rPr>
        <w:t>3.5其他要求</w:t>
      </w:r>
    </w:p>
    <w:p>
      <w:pPr>
        <w:pStyle w:val="null3"/>
      </w:pPr>
      <w:r>
        <w:rPr/>
        <w:t>采购包1：</w:t>
      </w:r>
    </w:p>
    <w:p>
      <w:pPr>
        <w:pStyle w:val="null3"/>
      </w:pPr>
      <w:r>
        <w:rPr/>
        <w:t>一、项目说明： 1、本项目允许采购进口产品。 2、“进口产品”是指通过中国海关报关验放进入中国境内且产自关境外的产品。 二、投标有效期： 本项目投标有效期为从开标之日起120日历天。中标供应商的投标文件有效期自动延长合同履行完毕。 三、合同签订时限要求： 中标公告发出2日内，中标供应商凭中标通知书到西安工业大学签订合同。 四、报价说明： 1、因采购人具有教科文进口环节减免税资格，进口设备可以报免税报价，不在教科文减免范围的设备应按含税开展报价。免税报价包含外贸代理服务费。 2、免税报价免除仅为进口环节的教科文减免税（进口环节增值税） 3、供应商报价未明确免税报价的视为含税报价。 五、支付条件相关要求： 1采购人通过委托的外贸公司向中标供应商指定的境外厂商开具100%不可撤销即期跟单信用证。货到采购人指定地点后，信用证90%的合同货款凭外贸合同约定单据及西安工业大学出具的开箱点货报告原件解付；剩余10%合同尾款凭西安工业大学出具的设备终验验收报告原件解付。 2、预付款保函（采购人要求） 预付款保函期限：一年（根据到货期需要可以适当延长时限）。 预付款保函受益人：西安工业大学。 预付款保函形式：外贸代理公司出具银行预付款保函原件，采购人可支付预付款的100%，货到采购人指定地点后，采购人退还预付款保函原件。开具预付款保函所产生的相关费用均由中标供应商承担。 六、其他备注说明（因本项目使用电子招投标系统，格式无法调整，招标文件中其他部分与本部分不一致时以本部分要求为准）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 3、本项目不强制要求文件第2.4.4知识产权第二条要求。</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供应商需在项目电子化交易系统中按要求上传相应证明文件并进行电子签章。</w:t>
            </w:r>
          </w:p>
        </w:tc>
        <w:tc>
          <w:tcPr>
            <w:tcW w:type="dxa" w:w="1661"/>
          </w:tcPr>
          <w:p>
            <w:pPr>
              <w:pStyle w:val="null3"/>
            </w:pPr>
            <w:r>
              <w:rPr/>
              <w:t>供应商资格证明文件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法定代表人授权要求</w:t>
            </w:r>
          </w:p>
        </w:tc>
        <w:tc>
          <w:tcPr>
            <w:tcW w:type="dxa" w:w="3322"/>
          </w:tcPr>
          <w:p>
            <w:pPr>
              <w:pStyle w:val="null3"/>
            </w:pPr>
            <w:r>
              <w:rPr/>
              <w:t>法定代表人授权代表参加投标的，须出具法定代表人授权书及授权代表身份证（法定代表人直接参加投标的，须出具法定代表人身份证）。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进口产品授权要求</w:t>
            </w:r>
          </w:p>
        </w:tc>
        <w:tc>
          <w:tcPr>
            <w:tcW w:type="dxa" w:w="3322"/>
          </w:tcPr>
          <w:p>
            <w:pPr>
              <w:pStyle w:val="null3"/>
            </w:pPr>
            <w:r>
              <w:rPr/>
              <w:t>须提供所投产品厂家授权书或总代理商授权书（提供总代理商授权书的须出具有效授权权限的相关证明文件，证明文件须能显示产品制造厂家对所投产品授权链条的完整性）。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tc>
        <w:tc>
          <w:tcPr>
            <w:tcW w:type="dxa" w:w="1661"/>
          </w:tcPr>
          <w:p>
            <w:pPr>
              <w:pStyle w:val="null3"/>
            </w:pPr>
            <w:r>
              <w:rPr/>
              <w:t>供应商资格证明文件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商务要求偏离表 投标保证金缴纳凭证 货物简要说明一览表 中小企业声明函 残疾人福利性单位声明函 开标记录表 规格、技术参数偏离表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供应商认为有必要说明的其他资料 服务承诺 货物简要说明一览表 项目业绩一览表 拟配备团队情况 实施方案</w:t>
            </w:r>
          </w:p>
        </w:tc>
      </w:tr>
      <w:tr>
        <w:tc>
          <w:tcPr>
            <w:tcW w:type="dxa" w:w="831"/>
          </w:tcPr>
          <w:p>
            <w:pPr>
              <w:pStyle w:val="null3"/>
            </w:pPr>
            <w:r>
              <w:rPr/>
              <w:t>4</w:t>
            </w:r>
          </w:p>
        </w:tc>
        <w:tc>
          <w:tcPr>
            <w:tcW w:type="dxa" w:w="2492"/>
          </w:tcPr>
          <w:p>
            <w:pPr>
              <w:pStyle w:val="null3"/>
            </w:pPr>
            <w:r>
              <w:rPr/>
              <w:t>交货期是否响应</w:t>
            </w:r>
          </w:p>
        </w:tc>
        <w:tc>
          <w:tcPr>
            <w:tcW w:type="dxa" w:w="3322"/>
          </w:tcPr>
          <w:p>
            <w:pPr>
              <w:pStyle w:val="null3"/>
            </w:pPr>
            <w:r>
              <w:rPr/>
              <w:t>交货期是否按招标文件要求的各项节点响应</w:t>
            </w:r>
          </w:p>
        </w:tc>
        <w:tc>
          <w:tcPr>
            <w:tcW w:type="dxa" w:w="1661"/>
          </w:tcPr>
          <w:p>
            <w:pPr>
              <w:pStyle w:val="null3"/>
            </w:pPr>
            <w:r>
              <w:rPr/>
              <w:t>商务要求偏离表 开标记录表</w:t>
            </w:r>
          </w:p>
        </w:tc>
      </w:tr>
      <w:tr>
        <w:tc>
          <w:tcPr>
            <w:tcW w:type="dxa" w:w="831"/>
          </w:tcPr>
          <w:p>
            <w:pPr>
              <w:pStyle w:val="null3"/>
            </w:pPr>
            <w:r>
              <w:rPr/>
              <w:t>5</w:t>
            </w:r>
          </w:p>
        </w:tc>
        <w:tc>
          <w:tcPr>
            <w:tcW w:type="dxa" w:w="2492"/>
          </w:tcPr>
          <w:p>
            <w:pPr>
              <w:pStyle w:val="null3"/>
            </w:pPr>
            <w:r>
              <w:rPr/>
              <w:t>安装期是否响应</w:t>
            </w:r>
          </w:p>
        </w:tc>
        <w:tc>
          <w:tcPr>
            <w:tcW w:type="dxa" w:w="3322"/>
          </w:tcPr>
          <w:p>
            <w:pPr>
              <w:pStyle w:val="null3"/>
            </w:pPr>
            <w:r>
              <w:rPr/>
              <w:t>安装期是否按招标文件要求的各项节点响应</w:t>
            </w:r>
          </w:p>
        </w:tc>
        <w:tc>
          <w:tcPr>
            <w:tcW w:type="dxa" w:w="1661"/>
          </w:tcPr>
          <w:p>
            <w:pPr>
              <w:pStyle w:val="null3"/>
            </w:pPr>
            <w:r>
              <w:rPr/>
              <w:t>商务要求偏离表 开标记录表</w:t>
            </w:r>
          </w:p>
        </w:tc>
      </w:tr>
      <w:tr>
        <w:tc>
          <w:tcPr>
            <w:tcW w:type="dxa" w:w="831"/>
          </w:tcPr>
          <w:p>
            <w:pPr>
              <w:pStyle w:val="null3"/>
            </w:pPr>
            <w:r>
              <w:rPr/>
              <w:t>6</w:t>
            </w:r>
          </w:p>
        </w:tc>
        <w:tc>
          <w:tcPr>
            <w:tcW w:type="dxa" w:w="2492"/>
          </w:tcPr>
          <w:p>
            <w:pPr>
              <w:pStyle w:val="null3"/>
            </w:pPr>
            <w:r>
              <w:rPr/>
              <w:t>质保期是否响应</w:t>
            </w:r>
          </w:p>
        </w:tc>
        <w:tc>
          <w:tcPr>
            <w:tcW w:type="dxa" w:w="3322"/>
          </w:tcPr>
          <w:p>
            <w:pPr>
              <w:pStyle w:val="null3"/>
            </w:pPr>
            <w:r>
              <w:rPr/>
              <w:t>质保期是否按照招标文件的相关要求响应</w:t>
            </w:r>
          </w:p>
        </w:tc>
        <w:tc>
          <w:tcPr>
            <w:tcW w:type="dxa" w:w="1661"/>
          </w:tcPr>
          <w:p>
            <w:pPr>
              <w:pStyle w:val="null3"/>
            </w:pPr>
            <w:r>
              <w:rPr/>
              <w:t>商务要求偏离表 开标记录表</w:t>
            </w:r>
          </w:p>
        </w:tc>
      </w:tr>
      <w:tr>
        <w:tc>
          <w:tcPr>
            <w:tcW w:type="dxa" w:w="831"/>
          </w:tcPr>
          <w:p>
            <w:pPr>
              <w:pStyle w:val="null3"/>
            </w:pPr>
            <w:r>
              <w:rPr/>
              <w:t>7</w:t>
            </w:r>
          </w:p>
        </w:tc>
        <w:tc>
          <w:tcPr>
            <w:tcW w:type="dxa" w:w="2492"/>
          </w:tcPr>
          <w:p>
            <w:pPr>
              <w:pStyle w:val="null3"/>
            </w:pPr>
            <w:r>
              <w:rPr/>
              <w:t>付款方式是否响应</w:t>
            </w:r>
          </w:p>
        </w:tc>
        <w:tc>
          <w:tcPr>
            <w:tcW w:type="dxa" w:w="3322"/>
          </w:tcPr>
          <w:p>
            <w:pPr>
              <w:pStyle w:val="null3"/>
            </w:pPr>
            <w:r>
              <w:rPr/>
              <w:t>付款方式是否响应招标文件的要求</w:t>
            </w:r>
          </w:p>
        </w:tc>
        <w:tc>
          <w:tcPr>
            <w:tcW w:type="dxa" w:w="1661"/>
          </w:tcPr>
          <w:p>
            <w:pPr>
              <w:pStyle w:val="null3"/>
            </w:pPr>
            <w:r>
              <w:rPr/>
              <w:t>商务要求偏离表 开标记录表</w:t>
            </w:r>
          </w:p>
        </w:tc>
      </w:tr>
      <w:tr>
        <w:tc>
          <w:tcPr>
            <w:tcW w:type="dxa" w:w="831"/>
          </w:tcPr>
          <w:p>
            <w:pPr>
              <w:pStyle w:val="null3"/>
            </w:pPr>
            <w:r>
              <w:rPr/>
              <w:t>8</w:t>
            </w:r>
          </w:p>
        </w:tc>
        <w:tc>
          <w:tcPr>
            <w:tcW w:type="dxa" w:w="2492"/>
          </w:tcPr>
          <w:p>
            <w:pPr>
              <w:pStyle w:val="null3"/>
            </w:pPr>
            <w:r>
              <w:rPr/>
              <w:t>投标保证金是否按要求缴纳</w:t>
            </w:r>
          </w:p>
        </w:tc>
        <w:tc>
          <w:tcPr>
            <w:tcW w:type="dxa" w:w="3322"/>
          </w:tcPr>
          <w:p>
            <w:pPr>
              <w:pStyle w:val="null3"/>
            </w:pPr>
            <w:r>
              <w:rPr/>
              <w:t>投标保证金是否按要求缴纳</w:t>
            </w:r>
          </w:p>
        </w:tc>
        <w:tc>
          <w:tcPr>
            <w:tcW w:type="dxa" w:w="1661"/>
          </w:tcPr>
          <w:p>
            <w:pPr>
              <w:pStyle w:val="null3"/>
            </w:pPr>
            <w:r>
              <w:rPr/>
              <w:t>投标保证金缴纳凭证</w:t>
            </w:r>
          </w:p>
        </w:tc>
      </w:tr>
      <w:tr>
        <w:tc>
          <w:tcPr>
            <w:tcW w:type="dxa" w:w="831"/>
          </w:tcPr>
          <w:p>
            <w:pPr>
              <w:pStyle w:val="null3"/>
            </w:pPr>
            <w:r>
              <w:rPr/>
              <w:t>9</w:t>
            </w:r>
          </w:p>
        </w:tc>
        <w:tc>
          <w:tcPr>
            <w:tcW w:type="dxa" w:w="2492"/>
          </w:tcPr>
          <w:p>
            <w:pPr>
              <w:pStyle w:val="null3"/>
            </w:pPr>
            <w:r>
              <w:rPr/>
              <w:t>投标报价是否超过采购预算或最高限价</w:t>
            </w:r>
          </w:p>
        </w:tc>
        <w:tc>
          <w:tcPr>
            <w:tcW w:type="dxa" w:w="3322"/>
          </w:tcPr>
          <w:p>
            <w:pPr>
              <w:pStyle w:val="null3"/>
            </w:pPr>
            <w:r>
              <w:rPr/>
              <w:t>投标报价是否超过采购预算或最高限价</w:t>
            </w:r>
          </w:p>
        </w:tc>
        <w:tc>
          <w:tcPr>
            <w:tcW w:type="dxa" w:w="1661"/>
          </w:tcPr>
          <w:p>
            <w:pPr>
              <w:pStyle w:val="null3"/>
            </w:pPr>
            <w:r>
              <w:rPr/>
              <w:t>商务要求偏离表 开标记录表 标的清单 报价表</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详见附件：服务承诺</w:t>
      </w:r>
    </w:p>
    <w:p>
      <w:pPr>
        <w:pStyle w:val="null3"/>
        <w:ind w:firstLine="960"/>
      </w:pPr>
      <w:r>
        <w:rPr/>
        <w:t>详见附件：供应商认为有必要说明的其他资料</w:t>
      </w:r>
    </w:p>
    <w:p>
      <w:pPr>
        <w:pStyle w:val="null3"/>
        <w:ind w:firstLine="960"/>
      </w:pPr>
      <w:r>
        <w:rPr/>
        <w:t>详见附件：供应商资格证明文件</w:t>
      </w:r>
    </w:p>
    <w:p>
      <w:pPr>
        <w:pStyle w:val="null3"/>
        <w:ind w:firstLine="960"/>
      </w:pPr>
      <w:r>
        <w:rPr/>
        <w:t>详见附件：规格、技术参数偏离表</w:t>
      </w:r>
    </w:p>
    <w:p>
      <w:pPr>
        <w:pStyle w:val="null3"/>
        <w:ind w:firstLine="960"/>
      </w:pPr>
      <w:r>
        <w:rPr/>
        <w:t>详见附件：货物简要说明一览表</w:t>
      </w:r>
    </w:p>
    <w:p>
      <w:pPr>
        <w:pStyle w:val="null3"/>
        <w:ind w:firstLine="960"/>
      </w:pPr>
      <w:r>
        <w:rPr/>
        <w:t>详见附件：开标记录表</w:t>
      </w:r>
    </w:p>
    <w:p>
      <w:pPr>
        <w:pStyle w:val="null3"/>
        <w:ind w:firstLine="960"/>
      </w:pPr>
      <w:r>
        <w:rPr/>
        <w:t>详见附件：拟配备团队情况</w:t>
      </w:r>
    </w:p>
    <w:p>
      <w:pPr>
        <w:pStyle w:val="null3"/>
        <w:ind w:firstLine="960"/>
      </w:pPr>
      <w:r>
        <w:rPr/>
        <w:t>详见附件：商务要求偏离表</w:t>
      </w:r>
    </w:p>
    <w:p>
      <w:pPr>
        <w:pStyle w:val="null3"/>
        <w:ind w:firstLine="960"/>
      </w:pPr>
      <w:r>
        <w:rPr/>
        <w:t>详见附件：实施方案</w:t>
      </w:r>
    </w:p>
    <w:p>
      <w:pPr>
        <w:pStyle w:val="null3"/>
        <w:ind w:firstLine="960"/>
      </w:pPr>
      <w:r>
        <w:rPr/>
        <w:t>详见附件：投标保证金缴纳凭证</w:t>
      </w:r>
    </w:p>
    <w:p>
      <w:pPr>
        <w:pStyle w:val="null3"/>
        <w:ind w:firstLine="960"/>
      </w:pPr>
      <w:r>
        <w:rPr/>
        <w:t>详见附件：项目业绩一览表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详见附件：进口设备采购协议（模板）.docx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