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81952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tbl>
      <w:tblPr>
        <w:tblStyle w:val="5"/>
        <w:tblW w:w="0" w:type="auto"/>
        <w:tblInd w:w="-328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5"/>
        <w:gridCol w:w="4845"/>
      </w:tblGrid>
      <w:tr w14:paraId="75E5C2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tcBorders>
              <w:bottom w:val="single" w:color="auto" w:sz="4" w:space="0"/>
            </w:tcBorders>
            <w:vAlign w:val="center"/>
          </w:tcPr>
          <w:p w14:paraId="0A16F653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845" w:type="dxa"/>
            <w:vAlign w:val="center"/>
          </w:tcPr>
          <w:p w14:paraId="37D4081A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70D17D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tcBorders>
              <w:bottom w:val="single" w:color="auto" w:sz="4" w:space="0"/>
            </w:tcBorders>
            <w:vAlign w:val="center"/>
          </w:tcPr>
          <w:p w14:paraId="5E0B88B9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845" w:type="dxa"/>
            <w:tcBorders>
              <w:bottom w:val="single" w:color="auto" w:sz="4" w:space="0"/>
            </w:tcBorders>
            <w:vAlign w:val="center"/>
          </w:tcPr>
          <w:p w14:paraId="4333CBA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52C92B1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vAlign w:val="center"/>
          </w:tcPr>
          <w:p w14:paraId="17278DDF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845" w:type="dxa"/>
            <w:vAlign w:val="center"/>
          </w:tcPr>
          <w:p w14:paraId="54F5A98D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DCC064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005" w:type="dxa"/>
            <w:vAlign w:val="center"/>
          </w:tcPr>
          <w:p w14:paraId="157EC5CB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845" w:type="dxa"/>
            <w:vAlign w:val="center"/>
          </w:tcPr>
          <w:p w14:paraId="752A39E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4B006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005" w:type="dxa"/>
            <w:vAlign w:val="center"/>
          </w:tcPr>
          <w:p w14:paraId="67A38AA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含税价或免税价</w:t>
            </w:r>
          </w:p>
        </w:tc>
        <w:tc>
          <w:tcPr>
            <w:tcW w:w="4845" w:type="dxa"/>
            <w:vAlign w:val="center"/>
          </w:tcPr>
          <w:p w14:paraId="4ED36E98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3006C0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vAlign w:val="center"/>
          </w:tcPr>
          <w:p w14:paraId="7B7117B1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是否响应</w:t>
            </w:r>
          </w:p>
        </w:tc>
        <w:tc>
          <w:tcPr>
            <w:tcW w:w="4845" w:type="dxa"/>
            <w:vAlign w:val="center"/>
          </w:tcPr>
          <w:p w14:paraId="2C7C56B1">
            <w:pPr>
              <w:rPr>
                <w:rFonts w:ascii="仿宋" w:hAnsi="仿宋" w:eastAsia="仿宋" w:cs="仿宋"/>
                <w:bCs/>
                <w:sz w:val="24"/>
              </w:rPr>
            </w:pPr>
            <w:bookmarkStart w:id="0" w:name="_GoBack"/>
            <w:bookmarkEnd w:id="0"/>
          </w:p>
        </w:tc>
      </w:tr>
      <w:tr w14:paraId="03A068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vAlign w:val="center"/>
          </w:tcPr>
          <w:p w14:paraId="1E096295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安装期是否响应</w:t>
            </w:r>
          </w:p>
        </w:tc>
        <w:tc>
          <w:tcPr>
            <w:tcW w:w="4845" w:type="dxa"/>
            <w:vAlign w:val="center"/>
          </w:tcPr>
          <w:p w14:paraId="50E1836F"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F122E7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vAlign w:val="center"/>
          </w:tcPr>
          <w:p w14:paraId="7A40D193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质保期是否响应</w:t>
            </w:r>
          </w:p>
        </w:tc>
        <w:tc>
          <w:tcPr>
            <w:tcW w:w="4845" w:type="dxa"/>
            <w:vAlign w:val="center"/>
          </w:tcPr>
          <w:p w14:paraId="6F66881B"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5217BB7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05" w:type="dxa"/>
            <w:vAlign w:val="center"/>
          </w:tcPr>
          <w:p w14:paraId="43EEE509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付款方式是否响应</w:t>
            </w:r>
          </w:p>
        </w:tc>
        <w:tc>
          <w:tcPr>
            <w:tcW w:w="4845" w:type="dxa"/>
            <w:vAlign w:val="center"/>
          </w:tcPr>
          <w:p w14:paraId="029318A0"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2F907C4C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10900B9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2"/>
          <w:sz w:val="24"/>
          <w:szCs w:val="22"/>
          <w:lang w:val="en-US" w:eastAsia="zh-CN" w:bidi="ar-SA"/>
        </w:rPr>
        <w:t>1、</w:t>
      </w:r>
      <w:r>
        <w:rPr>
          <w:rFonts w:hint="eastAsia" w:ascii="仿宋" w:hAnsi="仿宋" w:eastAsia="仿宋" w:cs="仿宋"/>
          <w:sz w:val="24"/>
        </w:rPr>
        <w:t>交货期是否响应</w:t>
      </w:r>
      <w:r>
        <w:rPr>
          <w:rFonts w:hint="eastAsia" w:ascii="仿宋" w:hAnsi="仿宋" w:eastAsia="仿宋" w:cs="仿宋"/>
          <w:kern w:val="2"/>
          <w:sz w:val="24"/>
          <w:szCs w:val="22"/>
          <w:lang w:val="en-US" w:eastAsia="zh-CN" w:bidi="ar-SA"/>
        </w:rPr>
        <w:t>、</w:t>
      </w:r>
      <w:r>
        <w:rPr>
          <w:rFonts w:hint="eastAsia" w:ascii="仿宋" w:hAnsi="仿宋" w:eastAsia="仿宋" w:cs="仿宋"/>
          <w:sz w:val="24"/>
        </w:rPr>
        <w:t>安装期是否响应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</w:rPr>
        <w:t>质保期是否响应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</w:rPr>
        <w:t>报价是否符合教科文免税政策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</w:rPr>
        <w:t>付款方式是否响应请填写“是”或者“否”。</w:t>
      </w:r>
    </w:p>
    <w:p w14:paraId="7FC8E12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、评标委员会认为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不能证明其报价合理性的，评标委员会应当将其作为无效投标处理。</w:t>
      </w:r>
    </w:p>
    <w:p w14:paraId="0C6D6B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因采购人具有教科文进口环节减免税资格，进口设备可以报免税报价，不在教科文减免范围的设备应按含税开展报价。免税报价包含外贸代理服务费。免税报价免除仅为进口环节的教科文减免税（进口环节增值税），供应商报价未明确免税报价的视为含税报价。</w:t>
      </w:r>
    </w:p>
    <w:p w14:paraId="507611A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4.本项目设备报价应为全费用综合价格包含全部成本、预期利益、税费、设备价、运输费（含保险费）、安装调试费、培训费、产品辅材费、安装期间必须的场地调整费用、安全维护、售后服务费、驻场及其他后期维保费用、备品备件费用、其它伴随费用和合同中规定乙方应承担的其他义务的费用、代理服务费等，以上费用（如有）应包含在货物报价中无需单列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F6B3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C5CEF2B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4B0D8E8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B280B9D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1F74B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EFBE434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40DC912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C8F88C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64BFA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0C85DA0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BCBDBC2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585A9D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C4D92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EF804E3"/>
    <w:rsid w:val="0A8D678E"/>
    <w:rsid w:val="1989128E"/>
    <w:rsid w:val="1EF804E3"/>
    <w:rsid w:val="35C87017"/>
    <w:rsid w:val="368F4FC2"/>
    <w:rsid w:val="434B08B1"/>
    <w:rsid w:val="557773FB"/>
    <w:rsid w:val="72CF6FA9"/>
    <w:rsid w:val="733D6CF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4">
    <w:name w:val="annotation text"/>
    <w:basedOn w:val="1"/>
    <w:autoRedefine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557</Characters>
  <Lines>0</Lines>
  <Paragraphs>0</Paragraphs>
  <TotalTime>0</TotalTime>
  <ScaleCrop>false</ScaleCrop>
  <LinksUpToDate>false</LinksUpToDate>
  <CharactersWithSpaces>641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admin</cp:lastModifiedBy>
  <dcterms:modified xsi:type="dcterms:W3CDTF">2024-11-26T06:47:49Z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BD67BB44755D47358212B6C4AB77FEFE_13</vt:lpwstr>
  </property>
</Properties>
</file>