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六村堡工业园区土地组卷服务项目(二次)</w:t>
      </w:r>
    </w:p>
    <w:p>
      <w:pPr>
        <w:pStyle w:val="null3"/>
        <w:jc w:val="center"/>
        <w:outlineLvl w:val="2"/>
      </w:pPr>
      <w:r>
        <w:rPr>
          <w:sz w:val="28"/>
          <w:b/>
        </w:rPr>
        <w:t>采购项目编号：</w:t>
      </w:r>
      <w:r>
        <w:rPr>
          <w:sz w:val="28"/>
          <w:b/>
        </w:rPr>
        <w:t>SZT2024-SN-QC-ZC-FW-0475</w:t>
      </w:r>
      <w:r>
        <w:br/>
      </w:r>
      <w:r>
        <w:br/>
      </w:r>
      <w:r>
        <w:br/>
      </w:r>
    </w:p>
    <w:p>
      <w:pPr>
        <w:pStyle w:val="null3"/>
        <w:jc w:val="center"/>
        <w:outlineLvl w:val="2"/>
      </w:pPr>
      <w:r>
        <w:rPr>
          <w:sz w:val="28"/>
          <w:b/>
        </w:rPr>
        <w:t>西安未央工业园管理委员会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西安未央工业园管理委员会</w:t>
      </w:r>
      <w:r>
        <w:rPr/>
        <w:t>委托，拟对</w:t>
      </w:r>
      <w:r>
        <w:rPr/>
        <w:t>六村堡工业园区土地组卷服务项目(二次)</w:t>
      </w:r>
      <w:r>
        <w:rPr/>
        <w:t>采用竞争性磋商采购方式进行采购，兹邀请供应商参加本项目的竞争性磋商。</w:t>
      </w:r>
    </w:p>
    <w:p>
      <w:pPr>
        <w:pStyle w:val="null3"/>
        <w:outlineLvl w:val="2"/>
      </w:pPr>
      <w:r>
        <w:rPr>
          <w:sz w:val="28"/>
          <w:b/>
        </w:rPr>
        <w:t>一、项目编号：</w:t>
      </w:r>
      <w:r>
        <w:rPr>
          <w:sz w:val="28"/>
          <w:b/>
        </w:rPr>
        <w:t>SZT2024-SN-QC-ZC-FW-0475</w:t>
      </w:r>
    </w:p>
    <w:p>
      <w:pPr>
        <w:pStyle w:val="null3"/>
        <w:outlineLvl w:val="2"/>
      </w:pPr>
      <w:r>
        <w:rPr>
          <w:sz w:val="28"/>
          <w:b/>
        </w:rPr>
        <w:t>二、项目名称：</w:t>
      </w:r>
      <w:r>
        <w:rPr>
          <w:sz w:val="28"/>
          <w:b/>
        </w:rPr>
        <w:t>六村堡工业园区土地组卷服务项目(二次)</w:t>
      </w:r>
    </w:p>
    <w:p>
      <w:pPr>
        <w:pStyle w:val="null3"/>
        <w:outlineLvl w:val="2"/>
      </w:pPr>
      <w:r>
        <w:rPr>
          <w:sz w:val="28"/>
          <w:b/>
        </w:rPr>
        <w:t>三、磋商项目简介</w:t>
      </w:r>
    </w:p>
    <w:p>
      <w:pPr>
        <w:pStyle w:val="null3"/>
        <w:ind w:firstLine="480"/>
      </w:pPr>
      <w:r>
        <w:rPr/>
        <w:t>未央区六村堡工业园建设项目，土地规划用途为工业、工业+商务、工业+科研等。该项目范围内有2361.1亩土地需完成土地报批工作，现启动第2、3、4批次土地报批工作。根据《中华人民共和国土地管理法》相关规定，该批次需要开展土地组卷报批工作，并上报市局、省厅审核，取得省级批复。</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采购包1（六村堡工业园区土地组卷服务第三批次）：属于专门面向中小企业采购。</w:t>
      </w:r>
    </w:p>
    <w:p>
      <w:pPr>
        <w:pStyle w:val="null3"/>
      </w:pPr>
      <w:r>
        <w:rPr/>
        <w:t>采购包2（六村堡工业园区土地组卷服务第四批次）：属于专门面向中小企业采购。</w:t>
      </w:r>
    </w:p>
    <w:p>
      <w:pPr>
        <w:pStyle w:val="null3"/>
        <w:ind w:firstLine="480"/>
      </w:pPr>
      <w:r>
        <w:rPr/>
        <w:t>（三）本项目的特定资格要求：</w:t>
      </w:r>
    </w:p>
    <w:p>
      <w:pPr>
        <w:pStyle w:val="null3"/>
      </w:pPr>
      <w:r>
        <w:rPr/>
        <w:t>采购包1：</w:t>
      </w:r>
    </w:p>
    <w:p>
      <w:pPr>
        <w:pStyle w:val="null3"/>
      </w:pPr>
      <w:r>
        <w:rPr/>
        <w:t>1、无：无</w:t>
      </w:r>
    </w:p>
    <w:p>
      <w:pPr>
        <w:pStyle w:val="null3"/>
      </w:pPr>
      <w:r>
        <w:rPr/>
        <w:t>采购包2：</w:t>
      </w:r>
    </w:p>
    <w:p>
      <w:pPr>
        <w:pStyle w:val="null3"/>
      </w:pPr>
      <w:r>
        <w:rPr/>
        <w:t>1、无：无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西安未央工业园管理委员会</w:t>
      </w:r>
    </w:p>
    <w:p>
      <w:pPr>
        <w:pStyle w:val="null3"/>
      </w:pPr>
      <w:r>
        <w:rPr/>
        <w:t xml:space="preserve"> 地址： </w:t>
      </w:r>
      <w:r>
        <w:rPr/>
        <w:t>西安市凤城一路12号</w:t>
      </w:r>
    </w:p>
    <w:p>
      <w:pPr>
        <w:pStyle w:val="null3"/>
      </w:pPr>
      <w:r>
        <w:rPr/>
        <w:t xml:space="preserve"> 邮编： </w:t>
      </w:r>
      <w:r>
        <w:rPr/>
        <w:t>710005</w:t>
      </w:r>
    </w:p>
    <w:p>
      <w:pPr>
        <w:pStyle w:val="null3"/>
      </w:pPr>
      <w:r>
        <w:rPr/>
        <w:t xml:space="preserve"> 联系人： </w:t>
      </w:r>
      <w:r>
        <w:rPr/>
        <w:t>丁老师、袁老师</w:t>
      </w:r>
    </w:p>
    <w:p>
      <w:pPr>
        <w:pStyle w:val="null3"/>
      </w:pPr>
      <w:r>
        <w:rPr/>
        <w:t xml:space="preserve"> 联系电话： </w:t>
      </w:r>
      <w:r>
        <w:rPr/>
        <w:t>86529550</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张志翰、马帅、单博</w:t>
      </w:r>
    </w:p>
    <w:p>
      <w:pPr>
        <w:pStyle w:val="null3"/>
      </w:pPr>
      <w:r>
        <w:rPr/>
        <w:t xml:space="preserve"> 联系电话： </w:t>
      </w:r>
      <w:r>
        <w:rPr/>
        <w:t>029-88364979-833</w:t>
      </w:r>
    </w:p>
    <w:p>
      <w:pPr>
        <w:pStyle w:val="null3"/>
        <w:outlineLvl w:val="3"/>
      </w:pPr>
      <w:r>
        <w:rPr>
          <w:sz w:val="24"/>
          <w:b/>
        </w:rPr>
        <w:t>采购监督机构：</w:t>
      </w:r>
      <w:r>
        <w:rPr>
          <w:sz w:val="24"/>
          <w:b/>
        </w:rPr>
        <w:t>西安市未央区政府采购管理科</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采购包1：250,000.00元</w:t>
            </w:r>
          </w:p>
          <w:p>
            <w:pPr>
              <w:pStyle w:val="null3"/>
            </w:pPr>
            <w:r>
              <w:rPr/>
              <w:t>采购包2：250,000.00元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不涉及</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不涉及</w:t>
            </w:r>
            <w:r>
              <w:rPr/>
              <w:t>产品属于节能产品政府采购品目清单中应优先采购的产品范围，本项目采购的</w:t>
            </w:r>
            <w:r>
              <w:rPr/>
              <w:t>不涉及</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按包收取，成交供应商应向采购代理机构交纳招标代理服务费，招标代理服务费按每合同包5000元收取。此服务费应计入报价中，但不需要单独开列。（2）招标代理服务费的交纳方式：在领取成交通知书时按（1）的规定，向采购代理机构一次性交纳。 开户名称：陕西中技招标有限公司 开户行名称：招商银行西安分行营业部 账 号：1299 1681 2810 001 转账事由： (编号后四位） 项目招标代理服务费 咨询电话：029-88364979-810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西安未央工业园管理委员会</w:t>
      </w:r>
      <w:r>
        <w:rPr/>
        <w:t>和</w:t>
      </w:r>
      <w:r>
        <w:rPr/>
        <w:t>陕西中技招标有限公司</w:t>
      </w:r>
      <w:r>
        <w:rPr/>
        <w:t>享有。对磋商文件中供应商参加本次政府采购活动应当具备的条件，磋商项目技术、服务、商务及其他要求，评审细则及标准由</w:t>
      </w:r>
      <w:r>
        <w:rPr/>
        <w:t>西安未央工业园管理委员会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西安未央工业园管理委员会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 xml:space="preserve"> 1、磋商文件、响应文件、澄清表（函）； 2、本合同及附件文本； 3、国家相应的标准、规范。</w:t>
      </w:r>
    </w:p>
    <w:p>
      <w:pPr>
        <w:pStyle w:val="null3"/>
      </w:pPr>
      <w:r>
        <w:rPr/>
        <w:t>采购包2：</w:t>
      </w:r>
    </w:p>
    <w:p>
      <w:pPr>
        <w:pStyle w:val="null3"/>
      </w:pPr>
      <w:r>
        <w:rPr/>
        <w:t>1、磋商文件、响应文件、澄清表（函）； 2、本合同及附件文本；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未央区六村堡工业园建设项目，土地规划用途为工业、工业+商务、工业+科研等。该项目范围内有2361.1亩土地需完成土地报批工作，计划分五个批次进行报批，现启动第2、3、4批次土地报批工作。根据《中华人民共和国土地管理法》相关规定，该批次需要开展土地组卷报批工作，并上报市局、省厅审核，取得省级批复</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六村堡工业园区土地组卷服务第三批次</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六村堡工业园区土地组卷服务第四批次</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标的名称：六村堡工业园区土地组卷服务第三批次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rPr>
              <w:t>一、项目概况：</w:t>
            </w:r>
          </w:p>
          <w:p>
            <w:pPr>
              <w:pStyle w:val="null3"/>
              <w:jc w:val="both"/>
            </w:pPr>
            <w:r>
              <w:rPr>
                <w:rFonts w:ascii="仿宋" w:hAnsi="仿宋" w:cs="仿宋" w:eastAsia="仿宋"/>
                <w:sz w:val="24"/>
              </w:rPr>
              <w:t>未央区六村堡工业园建设项目，土地规划用途为工业</w:t>
            </w:r>
            <w:r>
              <w:rPr>
                <w:rFonts w:ascii="仿宋" w:hAnsi="仿宋" w:cs="仿宋" w:eastAsia="仿宋"/>
                <w:sz w:val="24"/>
              </w:rPr>
              <w:t>+科研用地。该项目范围内有2361.1亩土地需完成土地报批工作，计划分五个批次进行报批，现启动第3批次（约489.5亩）土地报批工作。根据《中华人民共和国土地管理法》相关规定，该批次需要开展土地组卷报批工作，并上报市局、省厅审核，取得省级批复。</w:t>
            </w:r>
          </w:p>
          <w:p>
            <w:pPr>
              <w:pStyle w:val="null3"/>
              <w:jc w:val="both"/>
            </w:pPr>
            <w:r>
              <w:rPr>
                <w:rFonts w:ascii="仿宋" w:hAnsi="仿宋" w:cs="仿宋" w:eastAsia="仿宋"/>
                <w:sz w:val="24"/>
              </w:rPr>
              <w:t>采购内容</w:t>
            </w:r>
            <w:r>
              <w:rPr>
                <w:rFonts w:ascii="仿宋" w:hAnsi="仿宋" w:cs="仿宋" w:eastAsia="仿宋"/>
                <w:sz w:val="24"/>
              </w:rPr>
              <w:t>:六村堡工业园第3批次（489.5亩）土地组卷报批服务及编制征收安置储备方案。</w:t>
            </w:r>
          </w:p>
          <w:p>
            <w:pPr>
              <w:pStyle w:val="null3"/>
              <w:jc w:val="both"/>
            </w:pPr>
            <w:r>
              <w:rPr>
                <w:rFonts w:ascii="仿宋" w:hAnsi="仿宋" w:cs="仿宋" w:eastAsia="仿宋"/>
                <w:sz w:val="24"/>
              </w:rPr>
              <w:t>二、工作内容：</w:t>
            </w:r>
          </w:p>
          <w:p>
            <w:pPr>
              <w:pStyle w:val="null3"/>
              <w:jc w:val="both"/>
            </w:pPr>
            <w:r>
              <w:rPr>
                <w:rFonts w:ascii="仿宋" w:hAnsi="仿宋" w:cs="仿宋" w:eastAsia="仿宋"/>
                <w:sz w:val="24"/>
              </w:rPr>
              <w:t>六村堡工业园第</w:t>
            </w:r>
            <w:r>
              <w:rPr>
                <w:rFonts w:ascii="仿宋" w:hAnsi="仿宋" w:cs="仿宋" w:eastAsia="仿宋"/>
                <w:sz w:val="24"/>
              </w:rPr>
              <w:t>3批次（489.5亩）土地组卷报批服务及编制征收安置储备方案，具体以实际情况为准。</w:t>
            </w:r>
          </w:p>
          <w:p>
            <w:pPr>
              <w:pStyle w:val="null3"/>
              <w:jc w:val="both"/>
            </w:pPr>
            <w:r>
              <w:rPr>
                <w:rFonts w:ascii="仿宋" w:hAnsi="仿宋" w:cs="仿宋" w:eastAsia="仿宋"/>
                <w:sz w:val="24"/>
              </w:rPr>
              <w:t>三、服务要求：</w:t>
            </w:r>
          </w:p>
          <w:p>
            <w:pPr>
              <w:pStyle w:val="null3"/>
              <w:jc w:val="both"/>
            </w:pPr>
            <w:r>
              <w:rPr>
                <w:rFonts w:ascii="仿宋" w:hAnsi="仿宋" w:cs="仿宋" w:eastAsia="仿宋"/>
                <w:sz w:val="24"/>
              </w:rPr>
              <w:t>根据相关政策要求，保质保量的完成该项目土地组卷报批工作（含前期资料收集整理、前期村组调查资料编制、自然资源规划局和政府文件出局、各级自然资源部门报备审查、取得省级批复）。</w:t>
            </w:r>
          </w:p>
          <w:p>
            <w:pPr>
              <w:pStyle w:val="null3"/>
              <w:jc w:val="both"/>
            </w:pPr>
            <w:r>
              <w:rPr>
                <w:rFonts w:ascii="仿宋" w:hAnsi="仿宋" w:cs="仿宋" w:eastAsia="仿宋"/>
                <w:sz w:val="24"/>
              </w:rPr>
              <w:t>四</w:t>
            </w:r>
            <w:r>
              <w:rPr>
                <w:rFonts w:ascii="仿宋" w:hAnsi="仿宋" w:cs="仿宋" w:eastAsia="仿宋"/>
                <w:sz w:val="24"/>
              </w:rPr>
              <w:t>、成果要求文件份数及格式：</w:t>
            </w:r>
          </w:p>
          <w:p>
            <w:pPr>
              <w:pStyle w:val="null3"/>
              <w:jc w:val="both"/>
            </w:pPr>
            <w:r>
              <w:rPr>
                <w:rFonts w:ascii="仿宋" w:hAnsi="仿宋" w:cs="仿宋" w:eastAsia="仿宋"/>
                <w:sz w:val="24"/>
              </w:rPr>
              <w:t>符合市局与省厅对组卷的标准，纸质版组卷资料壹套，电子版壹份（用</w:t>
            </w:r>
            <w:r>
              <w:rPr>
                <w:rFonts w:ascii="仿宋" w:hAnsi="仿宋" w:cs="仿宋" w:eastAsia="仿宋"/>
                <w:sz w:val="24"/>
              </w:rPr>
              <w:t>U盘拷贝）。电子版响应文件提供响应文件正本的word版本及PDF版本（PDF文件为完整签字、盖章的正本扫描件）。响应文件的正本和所有的副本均需打印或用不褪色的蓝（黑）墨水填写，注明“正本”“副本”字样。统一胶装、编码，以及有连续的页码。</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标的名称：六村堡工业园区土地组卷服务第四批次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rPr>
              <w:t>一、项目概况：</w:t>
            </w:r>
          </w:p>
          <w:p>
            <w:pPr>
              <w:pStyle w:val="null3"/>
              <w:jc w:val="both"/>
            </w:pPr>
            <w:r>
              <w:rPr>
                <w:rFonts w:ascii="仿宋" w:hAnsi="仿宋" w:cs="仿宋" w:eastAsia="仿宋"/>
                <w:sz w:val="24"/>
              </w:rPr>
              <w:t>未央区六村堡工业园建设项目，土地规划用途为工业</w:t>
            </w:r>
            <w:r>
              <w:rPr>
                <w:rFonts w:ascii="仿宋" w:hAnsi="仿宋" w:cs="仿宋" w:eastAsia="仿宋"/>
                <w:sz w:val="24"/>
              </w:rPr>
              <w:t>+商务用地。该项目范围内有2361.1亩土地需完成土地报批工作，计划分五个批次进行报批，现启动第4批次（约479.2亩）土地报批工作。根据《中华人民共和国土地管理法》相关规定，该批次需要开展土地组卷报批工作，并上报市局、省厅审核，取得省级批复。</w:t>
            </w:r>
          </w:p>
          <w:p>
            <w:pPr>
              <w:pStyle w:val="null3"/>
              <w:jc w:val="both"/>
            </w:pPr>
            <w:r>
              <w:rPr>
                <w:rFonts w:ascii="仿宋" w:hAnsi="仿宋" w:cs="仿宋" w:eastAsia="仿宋"/>
                <w:sz w:val="24"/>
              </w:rPr>
              <w:t>采购内容</w:t>
            </w:r>
            <w:r>
              <w:rPr>
                <w:rFonts w:ascii="仿宋" w:hAnsi="仿宋" w:cs="仿宋" w:eastAsia="仿宋"/>
                <w:sz w:val="24"/>
              </w:rPr>
              <w:t>:六村堡工业园第4批次（479.2亩）土地组卷报批服务及编制征收安置储备方案。</w:t>
            </w:r>
          </w:p>
          <w:p>
            <w:pPr>
              <w:pStyle w:val="null3"/>
              <w:jc w:val="both"/>
            </w:pPr>
            <w:r>
              <w:rPr>
                <w:rFonts w:ascii="仿宋" w:hAnsi="仿宋" w:cs="仿宋" w:eastAsia="仿宋"/>
                <w:sz w:val="24"/>
              </w:rPr>
              <w:t>二、工作内容：</w:t>
            </w:r>
          </w:p>
          <w:p>
            <w:pPr>
              <w:pStyle w:val="null3"/>
              <w:jc w:val="both"/>
            </w:pPr>
            <w:r>
              <w:rPr>
                <w:rFonts w:ascii="仿宋" w:hAnsi="仿宋" w:cs="仿宋" w:eastAsia="仿宋"/>
                <w:sz w:val="24"/>
              </w:rPr>
              <w:t>六村堡工业园第</w:t>
            </w:r>
            <w:r>
              <w:rPr>
                <w:rFonts w:ascii="仿宋" w:hAnsi="仿宋" w:cs="仿宋" w:eastAsia="仿宋"/>
                <w:sz w:val="24"/>
              </w:rPr>
              <w:t>4批次（479.2亩）土地组卷报批服务及编制征收安置储备方案，</w:t>
            </w:r>
            <w:r>
              <w:rPr>
                <w:rFonts w:ascii="仿宋" w:hAnsi="仿宋" w:cs="仿宋" w:eastAsia="仿宋"/>
                <w:sz w:val="24"/>
              </w:rPr>
              <w:t>具体以实际情况为准</w:t>
            </w:r>
            <w:r>
              <w:rPr>
                <w:rFonts w:ascii="仿宋" w:hAnsi="仿宋" w:cs="仿宋" w:eastAsia="仿宋"/>
                <w:sz w:val="24"/>
              </w:rPr>
              <w:t>。</w:t>
            </w:r>
          </w:p>
          <w:p>
            <w:pPr>
              <w:pStyle w:val="null3"/>
              <w:jc w:val="both"/>
            </w:pPr>
            <w:r>
              <w:rPr>
                <w:rFonts w:ascii="仿宋" w:hAnsi="仿宋" w:cs="仿宋" w:eastAsia="仿宋"/>
                <w:sz w:val="24"/>
              </w:rPr>
              <w:t>三、服务要求：</w:t>
            </w:r>
          </w:p>
          <w:p>
            <w:pPr>
              <w:pStyle w:val="null3"/>
              <w:jc w:val="both"/>
            </w:pPr>
            <w:r>
              <w:rPr>
                <w:rFonts w:ascii="仿宋" w:hAnsi="仿宋" w:cs="仿宋" w:eastAsia="仿宋"/>
                <w:sz w:val="24"/>
              </w:rPr>
              <w:t>根据相关政策要求，保质保量的完成该项目土地组卷报批工作（含前期资料收集整理、前期村组调查资料编制、自然资源规划局和政府文件出局、各级自然资源部门报备审查、取得省级批复）。</w:t>
            </w:r>
          </w:p>
          <w:p>
            <w:pPr>
              <w:pStyle w:val="null3"/>
              <w:jc w:val="both"/>
            </w:pPr>
            <w:r>
              <w:rPr>
                <w:rFonts w:ascii="仿宋" w:hAnsi="仿宋" w:cs="仿宋" w:eastAsia="仿宋"/>
                <w:sz w:val="24"/>
              </w:rPr>
              <w:t>四</w:t>
            </w:r>
            <w:r>
              <w:rPr>
                <w:rFonts w:ascii="仿宋" w:hAnsi="仿宋" w:cs="仿宋" w:eastAsia="仿宋"/>
                <w:sz w:val="24"/>
              </w:rPr>
              <w:t>、成果要求文件份数及格式：</w:t>
            </w:r>
          </w:p>
          <w:p>
            <w:pPr>
              <w:pStyle w:val="null3"/>
              <w:jc w:val="both"/>
            </w:pPr>
            <w:r>
              <w:rPr>
                <w:rFonts w:ascii="仿宋" w:hAnsi="仿宋" w:cs="仿宋" w:eastAsia="仿宋"/>
                <w:sz w:val="24"/>
              </w:rPr>
              <w:t>符合市局与省厅对组卷的标准，</w:t>
            </w:r>
            <w:r>
              <w:rPr>
                <w:rFonts w:ascii="仿宋" w:hAnsi="仿宋" w:cs="仿宋" w:eastAsia="仿宋"/>
                <w:sz w:val="24"/>
              </w:rPr>
              <w:t>纸质版组卷资料壹套，电子版壹份（用</w:t>
            </w:r>
            <w:r>
              <w:rPr>
                <w:rFonts w:ascii="仿宋" w:hAnsi="仿宋" w:cs="仿宋" w:eastAsia="仿宋"/>
                <w:sz w:val="24"/>
              </w:rPr>
              <w:t>U盘拷贝）</w:t>
            </w:r>
            <w:r>
              <w:rPr>
                <w:rFonts w:ascii="仿宋" w:hAnsi="仿宋" w:cs="仿宋" w:eastAsia="仿宋"/>
                <w:sz w:val="24"/>
              </w:rPr>
              <w:t>。电子版响应文件提供响应文件正本的word版本及PDF版本（PDF文件为完整签字、盖章的正本扫描件）。响应文件的正本和所有的副本均需打印或用不褪色的蓝（黑）墨水填写，注明“正本”“副本”字样。统一胶装、编码，以及有连续的页码。</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合同签订后，自委托方向受托方提交完所需资料之日起，委托方需在30日内完成资料收集及报告编制工作，6个月内取得省级批复。</w:t>
      </w:r>
    </w:p>
    <w:p>
      <w:pPr>
        <w:pStyle w:val="null3"/>
      </w:pPr>
      <w:r>
        <w:rPr/>
        <w:t>采购包2：</w:t>
      </w:r>
    </w:p>
    <w:p>
      <w:pPr>
        <w:pStyle w:val="null3"/>
      </w:pPr>
      <w:r>
        <w:rPr/>
        <w:t>合同签订后，自委托方向受托方提交完所需资料之日起，委托方需在30日内完成资料收集及报告编制工作，6个月内取得省级批复</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（一）服务内容完成后先由乙方进行自检， 自检合格后邀请甲方进行验收。甲方确认乙方的自检内容后，组织乙方（必要 时请有关专家）进行最终验收，验收时乙方应派员参加，共同对验收结果进行确认，并承担相关责任（必要时甲方可委托具有 相关资质的第三方检测机构/技术专家对产品/设备进行系统验收，由此产生的相关费用由乙方承担，需要国家法定检验部门进 行检验或验收的由乙方负责联系）。验收合格后，填写履约验收单作为对服务的最终认可。 （二）乙方向甲方提交服务实施 过程中的所有资料。以便甲方日后管理和维护。 （三）验收依据： 1、磋商文件、响应文件、澄清表（函）； 2、本合同及附件文本； 3、国家相应的标准、规范。</w:t>
      </w:r>
    </w:p>
    <w:p>
      <w:pPr>
        <w:pStyle w:val="null3"/>
      </w:pPr>
      <w:r>
        <w:rPr/>
        <w:t>采购包2：</w:t>
      </w:r>
    </w:p>
    <w:p>
      <w:pPr>
        <w:pStyle w:val="null3"/>
      </w:pPr>
      <w:r>
        <w:rPr/>
        <w:t>（一）服务内容完成后先由乙方进行自检， 自检合格后邀请甲方进行验收。甲方确认乙方的自检内容后，组织乙方（必要 时请有关专家）进行最终验收，验收时乙方应派员参加，共同对验收结果进行确认，并承担相关责任（必要时甲方可委托具有 相关资质的第三方检测机构/技术专家对产品/设备进行系统验收，由此产生的相关费用由乙方承担，需要国家法定检验部门进 行检验或验收的由乙方负责联系）。验收合格后，填写履约验收单作为对服务的最终认可。 （二）乙方向甲方提交服务实施 过程中的所有资料。以便甲方日后管理和维护。 （三）验收依据： 1、磋商文件、响应文件、澄清表（函）； 2、本合同及附件文本； 3、国家相应的标准、规范。</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具体以项目实际实施情况为准，据实结算</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具体以项目实际实施情况为准，据实结算</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违约责任：（一）合同中未约定的，按《民法典》中的相关条款执行。 （二）未按合同要求提供服务或服务质量不能满 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 （三）在本合同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 失，乙方还应赔偿损失。 （五）乙方提供的服务不符合本项目相关文件和本合同规定的，甲方有权拒绝，并且乙方须向甲方 支付本合同总价款10%的违约金，若违约金不能弥补甲方损失，乙方还应赔偿损失。 （六）未经甲方同意，乙方不得擅自将本合同服务转包第三方承担。 （七）本合同中各条款约定的违约金可自甲方未支付款项中直接扣除，违约金若不能弥补甲方 损失的，乙方还应赔偿甲.方损失。 （八）双方拟定的其他条款。 解决争议：（一）本合同在履行过程中发生的争议，由甲、 乙双方当事人协商解决，协商不成的按下列第 2 种方式解决： 1、提交西安仲裁委员会仲裁； 2、依法向甲方所在地人民法 院起诉。 （二）本条款为独立条款，本合同的无效、变更、解除和终止均不影响本条款的效力。</w:t>
      </w:r>
    </w:p>
    <w:p>
      <w:pPr>
        <w:pStyle w:val="null3"/>
      </w:pPr>
      <w:r>
        <w:rPr/>
        <w:t>采购包2：</w:t>
      </w:r>
    </w:p>
    <w:p>
      <w:pPr>
        <w:pStyle w:val="null3"/>
      </w:pPr>
      <w:r>
        <w:rPr/>
        <w:t>违约责任：（一）合同中未约定的，按《民法典》中的相关条款执行。 （二）未按合同要求提供服务或服务质量不能满 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 （三）在本合同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 失，乙方还应赔偿损失。 （五）乙方提供的服务不符合本项目相关文件和本合同规定的，甲方有权拒绝，并且乙方须向甲方 支付本合同总价款10%的违约金，若违约金不能弥补甲方损失，乙方还应赔偿损失。 （六）未经甲方同意，乙方不得擅自将本合同服务转包第三方承担。 （七）本合同中各条款约定的违约金可自甲方未支付款项中直接扣除，违约金若不能弥补甲方 损失的，乙方还应赔偿甲.方损失。 （八）双方拟定的其他条款。 解决争议：（一）本合同在履行过程中发生的争议，由甲、 乙双方当事人协商解决，协商不成的按下列第 2 种方式解决： 1、提交西安仲裁委员会仲裁； 2、依法向甲方所在地人民法 院起诉。 （二）本条款为独立条款，本合同的无效、变更、解除和终止均不影响本条款的效力。</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1、为顺利推进政府采购电子化交易平台试点应用工作，供应商需要在线提交所有通过电子化交易平台实施的政府采购项目的响应文件，同时，线下提交响应文件正本 壹 份、副本 壹套、电子版壹 套（U盘一套标明供应商名称，随正本密封）。若系统电子响应文件与纸质响应文件不一致的，以系统电子响应文件为准。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中小企业声明函 残疾人福利性单位声明函 供应商应提交的相关资格证明材料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供应商应提交的相关资格证明材料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中小企业声明函 残疾人福利性单位声明函 供应商应提交的相关资格证明材料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无</w:t>
            </w:r>
          </w:p>
        </w:tc>
        <w:tc>
          <w:tcPr>
            <w:tcW w:type="dxa" w:w="3322"/>
          </w:tcPr>
          <w:p>
            <w:pPr>
              <w:pStyle w:val="null3"/>
            </w:pPr>
            <w:r>
              <w:rPr/>
              <w:t>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无</w:t>
            </w:r>
          </w:p>
        </w:tc>
        <w:tc>
          <w:tcPr>
            <w:tcW w:type="dxa" w:w="3322"/>
          </w:tcPr>
          <w:p>
            <w:pPr>
              <w:pStyle w:val="null3"/>
            </w:pPr>
            <w:r>
              <w:rPr/>
              <w:t>无</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商务及服务要求偏离表 标的清单 报价表 响应函 磋商报价表及分项报价表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响应文件封面 商务及服务要求偏离表 商务应答表 磋商报价表及分项报价表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商务及服务要求偏离表 标的清单 报价表 响应函 磋商报价表及分项报价表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响应文件封面 商务及服务要求偏离表 商务应答表 磋商报价表及分项报价表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服务方案-3.根据前期资料收集整理的实施方案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服务方案-5.根据前期村组调查资料编制的实施方案进行赋分。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服务方案-6.根据相关报备审查、取得批复的执行方案进行赋分。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服务方案-7.根据成果要求的实施方案进行赋分。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1.供应商服务机构健全，能提供本地化服务，并出具相关证明，提供得3分；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服务方案-3.根据前期资料收集整理的实施方案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服务方案-5.根据前期村组调查资料编制的实施方案进行赋分。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服务方案-6.根据相关报备审查、取得批复的执行方案进行赋分。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服务方案-7.根据成果要求的实施方案进行赋分。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1.供应商服务机构健全，能提供本地化服务，并出具相关证明，提供得3分；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 xml:space="preserve"> 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服务方案、人员表及供应商认为有必要提供的其他内容</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p>
            <w:pPr>
              <w:pStyle w:val="null3"/>
            </w:pPr>
            <w:r>
              <w:rPr/>
              <w:t>服务内容及服务邀请应答表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详见附件：磋商报价表及分项报价表</w:t>
      </w:r>
    </w:p>
    <w:p>
      <w:pPr>
        <w:pStyle w:val="null3"/>
        <w:ind w:firstLine="960"/>
      </w:pPr>
      <w:r>
        <w:rPr/>
        <w:t>详见附件：业绩一览表</w:t>
      </w:r>
    </w:p>
    <w:p>
      <w:pPr>
        <w:pStyle w:val="null3"/>
        <w:ind w:firstLine="960"/>
      </w:pPr>
      <w:r>
        <w:rPr/>
        <w:t>详见附件：商务及服务要求偏离表</w:t>
      </w:r>
    </w:p>
    <w:p>
      <w:pPr>
        <w:pStyle w:val="null3"/>
        <w:ind w:firstLine="960"/>
      </w:pPr>
      <w:r>
        <w:rPr/>
        <w:t>详见附件：中小企业声明函</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详见附件：磋商报价表及分项报价表</w:t>
      </w:r>
    </w:p>
    <w:p>
      <w:pPr>
        <w:pStyle w:val="null3"/>
        <w:ind w:firstLine="960"/>
      </w:pPr>
      <w:r>
        <w:rPr/>
        <w:t>详见附件：业绩一览表</w:t>
      </w:r>
    </w:p>
    <w:p>
      <w:pPr>
        <w:pStyle w:val="null3"/>
        <w:ind w:firstLine="960"/>
      </w:pPr>
      <w:r>
        <w:rPr/>
        <w:t>详见附件：商务及服务要求偏离表</w:t>
      </w:r>
    </w:p>
    <w:p>
      <w:pPr>
        <w:pStyle w:val="null3"/>
        <w:ind w:firstLine="960"/>
      </w:pPr>
      <w:r>
        <w:rPr/>
        <w:t>详见附件：中小企业声明函</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