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版本号：241205001</w:t>
      </w:r>
      <w:r>
        <w:br/>
      </w:r>
      <w:r>
        <w:br/>
      </w:r>
      <w:r>
        <w:br/>
      </w:r>
      <w:r>
        <w:br/>
      </w:r>
      <w:r>
        <w:br/>
      </w:r>
    </w:p>
    <w:p>
      <w:pPr>
        <w:pStyle w:val="null3"/>
        <w:jc w:val="center"/>
        <w:outlineLvl w:val="0"/>
      </w:pPr>
      <w:r>
        <w:rPr>
          <w:sz w:val="48"/>
          <w:b/>
        </w:rPr>
        <w:t>招 标 文 件</w:t>
      </w:r>
      <w:r>
        <w:br/>
      </w:r>
      <w:r>
        <w:br/>
      </w:r>
      <w:r>
        <w:br/>
      </w:r>
    </w:p>
    <w:p>
      <w:pPr>
        <w:pStyle w:val="null3"/>
        <w:jc w:val="center"/>
        <w:outlineLvl w:val="1"/>
      </w:pPr>
      <w:r>
        <w:rPr>
          <w:sz w:val="36"/>
          <w:b/>
        </w:rPr>
        <w:t>（货物类）</w:t>
      </w:r>
      <w:r>
        <w:br/>
      </w:r>
      <w:r>
        <w:br/>
      </w:r>
      <w:r>
        <w:br/>
      </w:r>
      <w:r>
        <w:br/>
      </w:r>
      <w:r>
        <w:br/>
      </w:r>
      <w:r>
        <w:br/>
      </w:r>
      <w:r>
        <w:br/>
      </w:r>
      <w:r>
        <w:br/>
      </w:r>
      <w:r>
        <w:br/>
      </w:r>
      <w:r>
        <w:br/>
      </w:r>
      <w:r>
        <w:br/>
      </w:r>
    </w:p>
    <w:p>
      <w:pPr>
        <w:pStyle w:val="null3"/>
        <w:jc w:val="center"/>
        <w:outlineLvl w:val="2"/>
      </w:pPr>
      <w:r>
        <w:rPr>
          <w:sz w:val="28"/>
          <w:b/>
        </w:rPr>
        <w:t>采购项目名称：</w:t>
      </w:r>
      <w:r>
        <w:rPr>
          <w:sz w:val="28"/>
          <w:b/>
        </w:rPr>
        <w:t>场发射扫描电子显微镜采购项目</w:t>
      </w:r>
    </w:p>
    <w:p>
      <w:pPr>
        <w:pStyle w:val="null3"/>
        <w:jc w:val="center"/>
        <w:outlineLvl w:val="2"/>
      </w:pPr>
      <w:r>
        <w:rPr>
          <w:sz w:val="28"/>
          <w:b/>
        </w:rPr>
        <w:t>采购项目编号：</w:t>
      </w:r>
      <w:r>
        <w:rPr>
          <w:sz w:val="28"/>
          <w:b/>
        </w:rPr>
        <w:t>SZT2024-SN-SC-ZC-HW-1206</w:t>
      </w:r>
      <w:r>
        <w:br/>
      </w:r>
      <w:r>
        <w:br/>
      </w:r>
      <w:r>
        <w:br/>
      </w:r>
    </w:p>
    <w:p>
      <w:pPr>
        <w:pStyle w:val="null3"/>
        <w:jc w:val="center"/>
        <w:outlineLvl w:val="2"/>
      </w:pPr>
      <w:r>
        <w:rPr>
          <w:sz w:val="28"/>
          <w:b/>
        </w:rPr>
        <w:t>西安工业大学</w:t>
      </w:r>
    </w:p>
    <w:p>
      <w:pPr>
        <w:pStyle w:val="null3"/>
        <w:jc w:val="center"/>
        <w:outlineLvl w:val="2"/>
      </w:pPr>
      <w:r>
        <w:rPr>
          <w:sz w:val="28"/>
          <w:b/>
        </w:rPr>
        <w:t>陕西中技招标有限公司</w:t>
      </w:r>
      <w:r>
        <w:rPr>
          <w:sz w:val="28"/>
          <w:b/>
        </w:rPr>
        <w:t>共同编制</w:t>
      </w:r>
    </w:p>
    <w:p>
      <w:pPr>
        <w:pStyle w:val="null3"/>
        <w:jc w:val="center"/>
        <w:outlineLvl w:val="2"/>
      </w:pPr>
      <w:r>
        <w:rPr>
          <w:sz w:val="28"/>
          <w:b/>
        </w:rPr>
        <w:t>2024年12月05日</w:t>
      </w:r>
    </w:p>
    <w:p>
      <w:pPr>
        <w:pStyle w:val="null3"/>
      </w:pPr>
      <w:r>
        <w:rPr/>
        <w:t xml:space="preserve"> </w:t>
        <w:br/>
        <w:br w:type="page"/>
      </w:r>
    </w:p>
    <w:p>
      <w:pPr>
        <w:pStyle w:val="null3"/>
        <w:jc w:val="center"/>
        <w:outlineLvl w:val="1"/>
      </w:pPr>
      <w:r>
        <w:rPr>
          <w:sz w:val="36"/>
          <w:b/>
        </w:rPr>
        <w:t>第一章 投标邀请</w:t>
      </w:r>
    </w:p>
    <w:p>
      <w:pPr>
        <w:pStyle w:val="null3"/>
        <w:ind w:firstLine="480"/>
      </w:pPr>
      <w:r>
        <w:rPr/>
        <w:t>陕西中技招标有限公司</w:t>
      </w:r>
      <w:r>
        <w:rPr/>
        <w:t>（以下简称“代理机构”）受</w:t>
      </w:r>
      <w:r>
        <w:rPr/>
        <w:t>西安工业大学</w:t>
      </w:r>
      <w:r>
        <w:rPr/>
        <w:t>委托，拟对</w:t>
      </w:r>
      <w:r>
        <w:rPr/>
        <w:t>场发射扫描电子显微镜采购项目</w:t>
      </w:r>
      <w:r>
        <w:rPr/>
        <w:t>进行国内公开招标，兹邀请符合本次招标要求的供应商参加投标。</w:t>
      </w:r>
    </w:p>
    <w:p>
      <w:pPr>
        <w:pStyle w:val="null3"/>
        <w:outlineLvl w:val="2"/>
      </w:pPr>
      <w:r>
        <w:rPr>
          <w:sz w:val="28"/>
          <w:b/>
        </w:rPr>
        <w:t>一、采购项目编号：</w:t>
      </w:r>
      <w:r>
        <w:rPr>
          <w:sz w:val="28"/>
          <w:b/>
        </w:rPr>
        <w:t>SZT2024-SN-SC-ZC-HW-1206</w:t>
      </w:r>
    </w:p>
    <w:p>
      <w:pPr>
        <w:pStyle w:val="null3"/>
        <w:outlineLvl w:val="2"/>
      </w:pPr>
      <w:r>
        <w:rPr>
          <w:sz w:val="28"/>
          <w:b/>
        </w:rPr>
        <w:t>二、采购项目名称：</w:t>
      </w:r>
      <w:r>
        <w:rPr>
          <w:sz w:val="28"/>
          <w:b/>
        </w:rPr>
        <w:t>场发射扫描电子显微镜采购项目</w:t>
      </w:r>
    </w:p>
    <w:p>
      <w:pPr>
        <w:pStyle w:val="null3"/>
        <w:outlineLvl w:val="2"/>
      </w:pPr>
      <w:r>
        <w:rPr>
          <w:sz w:val="28"/>
          <w:b/>
        </w:rPr>
        <w:t>三、招标项目简介</w:t>
      </w:r>
    </w:p>
    <w:p>
      <w:pPr>
        <w:pStyle w:val="null3"/>
        <w:ind w:firstLine="480"/>
      </w:pPr>
      <w:r>
        <w:rPr/>
        <w:t>本项目拟采购场发射扫描电子显微镜一套，主要用于材料的微观组织、晶体结构和成分等信息的分析，也可以利用原位加热台观察材料在特定温度相的形态变化和材料高温固态相变分析，以满足材料学科的科学研究需求。该设备还可以配备原位拉伸台、阴极荧光探测器等多种功能附件，实现各类功能来对材料的深入研究。</w:t>
      </w:r>
    </w:p>
    <w:p>
      <w:pPr>
        <w:pStyle w:val="null3"/>
        <w:outlineLvl w:val="2"/>
      </w:pPr>
      <w:r>
        <w:rPr>
          <w:sz w:val="28"/>
          <w:b/>
        </w:rPr>
        <w:t>四、供应商参加本次政府采购活动应具备的条件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1.执行政府采购促进中小企业发展的相关政策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法定代表人授权要求：法定代表人授权代表参加投标的，须出具法定代表人授权书及授权代表身份证（法定代表人直接参加投标的，须出具法定代表人身份证）。供应商需在项目电子化交易系统中按要求上传相应证明文件并进行电子签章。</w:t>
      </w:r>
    </w:p>
    <w:p>
      <w:pPr>
        <w:pStyle w:val="null3"/>
      </w:pPr>
      <w:r>
        <w:rPr/>
        <w:t>2、进口产品授权要求：本项目已进行进口产品论证，所投产品为进口产品的，须提供所投产品厂家授权书或总代理商授权书（提供总代理商授权书的须出具有效授权权限的相关证明文件，证明文件须能显示产品制造厂家对所投产品授权链条的完整性），国产产品不需要提供。供应商需在项目电子化交易系统中按要求上传相应证明文件并进行电子签章。</w:t>
      </w:r>
    </w:p>
    <w:p>
      <w:pPr>
        <w:pStyle w:val="null3"/>
      </w:pPr>
      <w:r>
        <w:rPr/>
        <w:t>3、本项目不接受联合体投标：本项目不接受联合体投标，不得分包、转包。单位负责人为同一人或者存在直接控股、管理关系的不同供应商，不得参加同一合同项下的投标活动；对列入失信被执行人、政府采购严重违法失信行为记录名单的供应商，拒绝参与本项目投标。供应商需在项目电子化交易系统中按要求上传相应证明文件并进行电子签章。</w:t>
      </w:r>
    </w:p>
    <w:p>
      <w:pPr>
        <w:pStyle w:val="null3"/>
        <w:outlineLvl w:val="2"/>
      </w:pPr>
      <w:r>
        <w:rPr>
          <w:sz w:val="28"/>
          <w:b/>
        </w:rPr>
        <w:t>五、电子化采购相关事项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六、招标文件获取时间、方式及地址</w:t>
      </w:r>
    </w:p>
    <w:p>
      <w:pPr>
        <w:pStyle w:val="null3"/>
        <w:ind w:firstLine="480"/>
      </w:pPr>
      <w:r>
        <w:rPr/>
        <w:t>（一）招标文件获取时间：详见采购公告</w:t>
      </w:r>
    </w:p>
    <w:p>
      <w:pPr>
        <w:pStyle w:val="null3"/>
        <w:ind w:firstLine="480"/>
      </w:pPr>
      <w:r>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t>注：获取的招标文件主体格式包括pdf、word两种格式版本，其中以pdf格式为准。</w:t>
      </w:r>
    </w:p>
    <w:p>
      <w:pPr>
        <w:pStyle w:val="null3"/>
        <w:outlineLvl w:val="2"/>
      </w:pPr>
      <w:r>
        <w:rPr>
          <w:sz w:val="28"/>
          <w:b/>
        </w:rPr>
        <w:t>七、投标文件提交截止时间及开标时间、地点、方式</w:t>
      </w:r>
    </w:p>
    <w:p>
      <w:pPr>
        <w:pStyle w:val="null3"/>
        <w:ind w:firstLine="480"/>
      </w:pPr>
      <w:r>
        <w:rPr/>
        <w:t>（一）投标文件提交截止时间及开标时间：详见采购公告</w:t>
      </w:r>
    </w:p>
    <w:p>
      <w:pPr>
        <w:pStyle w:val="null3"/>
        <w:ind w:firstLine="480"/>
      </w:pPr>
      <w:r>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t>（三）本项目采取网上开标，即采购人或代理机构通过项目电子化交易系统“开标/开启大厅”组织在线开标。</w:t>
      </w:r>
    </w:p>
    <w:p>
      <w:pPr>
        <w:pStyle w:val="null3"/>
        <w:outlineLvl w:val="2"/>
      </w:pPr>
      <w:r>
        <w:rPr>
          <w:sz w:val="28"/>
          <w:b/>
        </w:rPr>
        <w:t>八、本投标邀请在陕西省政府采购网以公告形式发布</w:t>
      </w:r>
    </w:p>
    <w:p>
      <w:pPr>
        <w:pStyle w:val="null3"/>
        <w:outlineLvl w:val="2"/>
      </w:pPr>
      <w:r>
        <w:rPr>
          <w:sz w:val="28"/>
          <w:b/>
        </w:rPr>
        <w:t>九、供应商信用融资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十、联系方式</w:t>
      </w:r>
    </w:p>
    <w:p>
      <w:pPr>
        <w:pStyle w:val="null3"/>
        <w:outlineLvl w:val="2"/>
      </w:pPr>
      <w:r>
        <w:rPr>
          <w:sz w:val="28"/>
          <w:b/>
        </w:rPr>
        <w:t xml:space="preserve">采购人： </w:t>
      </w:r>
      <w:r>
        <w:rPr>
          <w:sz w:val="28"/>
          <w:b/>
        </w:rPr>
        <w:t>西安工业大学</w:t>
      </w:r>
    </w:p>
    <w:p>
      <w:pPr>
        <w:pStyle w:val="null3"/>
      </w:pPr>
      <w:r>
        <w:rPr/>
        <w:t xml:space="preserve"> 地址： </w:t>
      </w:r>
      <w:r>
        <w:rPr/>
        <w:t>未央区学府中路2号</w:t>
      </w:r>
    </w:p>
    <w:p>
      <w:pPr>
        <w:pStyle w:val="null3"/>
      </w:pPr>
      <w:r>
        <w:rPr/>
        <w:t xml:space="preserve"> 邮编： </w:t>
      </w:r>
      <w:r>
        <w:rPr/>
        <w:t>710021</w:t>
      </w:r>
    </w:p>
    <w:p>
      <w:pPr>
        <w:pStyle w:val="null3"/>
      </w:pPr>
      <w:r>
        <w:rPr/>
        <w:t xml:space="preserve"> 联系人： </w:t>
      </w:r>
      <w:r>
        <w:rPr/>
        <w:t>西安工业大学经办</w:t>
      </w:r>
    </w:p>
    <w:p>
      <w:pPr>
        <w:pStyle w:val="null3"/>
      </w:pPr>
      <w:r>
        <w:rPr/>
        <w:t xml:space="preserve"> 联系电话： </w:t>
      </w:r>
      <w:r>
        <w:rPr/>
        <w:t>029-86173142</w:t>
      </w:r>
    </w:p>
    <w:p>
      <w:pPr>
        <w:pStyle w:val="null3"/>
        <w:outlineLvl w:val="2"/>
      </w:pPr>
      <w:r>
        <w:rPr>
          <w:sz w:val="28"/>
          <w:b/>
        </w:rPr>
        <w:t>代理机构：</w:t>
      </w:r>
      <w:r>
        <w:rPr>
          <w:sz w:val="28"/>
          <w:b/>
        </w:rPr>
        <w:t>陕西中技招标有限公司</w:t>
      </w:r>
    </w:p>
    <w:p>
      <w:pPr>
        <w:pStyle w:val="null3"/>
      </w:pPr>
      <w:r>
        <w:rPr/>
        <w:t xml:space="preserve"> 地址： </w:t>
      </w:r>
      <w:r>
        <w:rPr/>
        <w:t>西安市高新区高新四路1号高科广场A座10楼1001室</w:t>
      </w:r>
    </w:p>
    <w:p>
      <w:pPr>
        <w:pStyle w:val="null3"/>
      </w:pPr>
      <w:r>
        <w:rPr/>
        <w:t xml:space="preserve"> 邮编： </w:t>
      </w:r>
      <w:r>
        <w:rPr/>
        <w:t>710075</w:t>
      </w:r>
    </w:p>
    <w:p>
      <w:pPr>
        <w:pStyle w:val="null3"/>
      </w:pPr>
      <w:r>
        <w:rPr/>
        <w:t xml:space="preserve"> 联系人： </w:t>
      </w:r>
      <w:r>
        <w:rPr/>
        <w:t>杨艳、沈肖楠、单博</w:t>
      </w:r>
    </w:p>
    <w:p>
      <w:pPr>
        <w:pStyle w:val="null3"/>
      </w:pPr>
      <w:r>
        <w:rPr/>
        <w:t xml:space="preserve"> 联系电话： </w:t>
      </w:r>
      <w:r>
        <w:rPr/>
        <w:t>029-88364979-821</w:t>
      </w:r>
    </w:p>
    <w:p>
      <w:pPr>
        <w:pStyle w:val="null3"/>
        <w:outlineLvl w:val="2"/>
      </w:pPr>
      <w:r>
        <w:rPr>
          <w:sz w:val="28"/>
          <w:b/>
        </w:rPr>
        <w:t>采购监督机构：</w:t>
      </w:r>
      <w:r>
        <w:rPr>
          <w:sz w:val="28"/>
          <w:b/>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br/>
        <w:br w:type="page"/>
      </w:r>
    </w:p>
    <w:p>
      <w:pPr>
        <w:pStyle w:val="null3"/>
        <w:jc w:val="center"/>
        <w:outlineLvl w:val="1"/>
      </w:pPr>
      <w:r>
        <w:rPr>
          <w:sz w:val="36"/>
          <w:b/>
        </w:rPr>
        <w:t>第二章 投标人须知</w:t>
      </w:r>
    </w:p>
    <w:p>
      <w:pPr>
        <w:pStyle w:val="null3"/>
        <w:outlineLvl w:val="2"/>
      </w:pPr>
      <w:r>
        <w:rPr>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采购包1：4,650,000.00元</w:t>
            </w:r>
            <w:r>
              <w:rPr/>
              <w:t xml:space="preserve"> 投标人的采购包投标报价高于采购包采购预算的，其投标文件将按无效处理。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投标人的采购包投标报价高于最高限价的，其投标文件将按无效处理。</w:t>
            </w:r>
          </w:p>
        </w:tc>
      </w:tr>
      <w:tr>
        <w:tc>
          <w:tcPr>
            <w:tcW w:type="dxa" w:w="1051"/>
          </w:tcPr>
          <w:p>
            <w:pPr>
              <w:pStyle w:val="null3"/>
            </w:pPr>
            <w:r>
              <w:rPr/>
              <w:t>3</w:t>
            </w:r>
          </w:p>
        </w:tc>
        <w:tc>
          <w:tcPr>
            <w:tcW w:type="dxa" w:w="2252"/>
          </w:tcPr>
          <w:p>
            <w:pPr>
              <w:pStyle w:val="null3"/>
            </w:pPr>
            <w:r>
              <w:rPr/>
              <w:t>评标方法</w:t>
            </w:r>
          </w:p>
        </w:tc>
        <w:tc>
          <w:tcPr>
            <w:tcW w:type="dxa" w:w="5004"/>
          </w:tcPr>
          <w:p>
            <w:pPr>
              <w:pStyle w:val="null3"/>
            </w:pPr>
            <w:r>
              <w:rPr/>
              <w:t>采购包1：综合评分法</w:t>
            </w:r>
            <w:r>
              <w:rPr/>
              <w:t xml:space="preserve"> （详见第五章）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如以联合体投标的，联合体各方均应当具备本招标文件要求的资格条件和能力。</w:t>
            </w:r>
          </w:p>
          <w:p>
            <w:pPr>
              <w:pStyle w:val="null3"/>
            </w:pPr>
            <w:r>
              <w:rPr/>
              <w:t xml:space="preserve"> （1）联合体各方均应具有承担本项目必备的条件，如相应的人力、物力、资金等。</w:t>
            </w:r>
          </w:p>
          <w:p>
            <w:pPr>
              <w:pStyle w:val="null3"/>
            </w:pPr>
            <w:r>
              <w:rPr/>
              <w:t xml:space="preserve"> （2）招标文件对投标人资格条件有特殊要求的，联合体各个成员都应当具备规定的相应资格条件。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如有</w:t>
            </w:r>
            <w:r>
              <w:rPr/>
              <w:t>产品属于节能产品政府采购品目清单中应强制采购的产品范围，供应商应当提供国家确定的认证机构出具的、处于有效期之内的节能产品认证证书，否则作无效投标处理。</w:t>
            </w:r>
          </w:p>
          <w:p>
            <w:pPr>
              <w:pStyle w:val="null3"/>
            </w:pPr>
            <w:r>
              <w:rPr/>
              <w:t xml:space="preserve"> 3.本项目采购的</w:t>
            </w:r>
            <w:r>
              <w:rPr/>
              <w:t>如有</w:t>
            </w:r>
            <w:r>
              <w:rPr/>
              <w:t>产品属于节能产品政府采购品目清单中应优先采购的产品范围，本项目采购的</w:t>
            </w:r>
            <w:r>
              <w:rPr/>
              <w:t>如有</w:t>
            </w:r>
            <w:r>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t>关于本项目采购包中执行小微企业（监狱企业、残疾人福利性单位视同小微企业）价格扣除情况、具体扣除比例和规则详见第五章。</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t>核心产品清单详见第三章。</w:t>
            </w:r>
          </w:p>
          <w:p>
            <w:pPr>
              <w:pStyle w:val="null3"/>
            </w:pPr>
            <w:r>
              <w:rPr/>
              <w:t>在符合性审查环节提供核心产品品牌不足3个的，视为有效投标人不足3家。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t>9</w:t>
            </w:r>
          </w:p>
        </w:tc>
        <w:tc>
          <w:tcPr>
            <w:tcW w:type="dxa" w:w="2252"/>
          </w:tcPr>
          <w:p>
            <w:pPr>
              <w:pStyle w:val="null3"/>
            </w:pPr>
            <w:r>
              <w:rPr/>
              <w:t>投标保证金</w:t>
            </w:r>
          </w:p>
        </w:tc>
        <w:tc>
          <w:tcPr>
            <w:tcW w:type="dxa" w:w="5004"/>
          </w:tcPr>
          <w:p>
            <w:pPr>
              <w:pStyle w:val="null3"/>
            </w:pPr>
            <w:r>
              <w:rPr/>
              <w:t>采购包1保证金金额：90,000.00元</w:t>
            </w:r>
          </w:p>
          <w:p>
            <w:pPr>
              <w:pStyle w:val="null3"/>
            </w:pPr>
            <w:r>
              <w:rPr/>
              <w:t>缴交渠道：转账、支票、汇票等（需通过实体账户、户名及开户行信息）</w:t>
            </w:r>
          </w:p>
          <w:p>
            <w:pPr>
              <w:pStyle w:val="null3"/>
            </w:pPr>
            <w:r>
              <w:rPr/>
              <w:t>开户名称：陕西中技招标有限公司</w:t>
            </w:r>
          </w:p>
          <w:p>
            <w:pPr>
              <w:pStyle w:val="null3"/>
            </w:pPr>
            <w:r>
              <w:rPr/>
              <w:t>开户银行：招商银行西安分行营业部</w:t>
            </w:r>
          </w:p>
          <w:p>
            <w:pPr>
              <w:pStyle w:val="null3"/>
            </w:pPr>
            <w:r>
              <w:rPr/>
              <w:t>银行账号：129916812810001</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采购包1：缴纳</w:t>
            </w:r>
          </w:p>
          <w:p>
            <w:pPr>
              <w:pStyle w:val="null3"/>
            </w:pPr>
            <w:r>
              <w:rPr/>
              <w:t>本采购包履约保证金为合同金额的5.0%</w:t>
            </w:r>
          </w:p>
          <w:p>
            <w:pPr>
              <w:pStyle w:val="null3"/>
            </w:pPr>
            <w:r>
              <w:rPr/>
              <w:t>说明：1.中标（成交）供应商在签订合同前5个工作日内，向采购人缴纳合同总价5%的履约保证金； 2.中标（成交）供应商如期履约完成且不存在其他任何违约责任，采购人无息由原缴费账户退还履约保证金全款。 3.若中标（成交）供应商未能按照合同约定履行，则采购人有权全额扣除履约保证金，并保留追究中标（成交）供应商违约相关的法律责任。</w:t>
            </w:r>
          </w:p>
        </w:tc>
      </w:tr>
      <w:tr>
        <w:tc>
          <w:tcPr>
            <w:tcW w:type="dxa" w:w="1051"/>
          </w:tcPr>
          <w:p>
            <w:pPr>
              <w:pStyle w:val="null3"/>
            </w:pPr>
            <w:r>
              <w:rPr/>
              <w:t>12</w:t>
            </w:r>
          </w:p>
        </w:tc>
        <w:tc>
          <w:tcPr>
            <w:tcW w:type="dxa" w:w="2252"/>
          </w:tcPr>
          <w:p>
            <w:pPr>
              <w:pStyle w:val="null3"/>
            </w:pPr>
            <w:r>
              <w:rPr/>
              <w:t>投标有效期（实质性要求）</w:t>
            </w:r>
          </w:p>
        </w:tc>
        <w:tc>
          <w:tcPr>
            <w:tcW w:type="dxa" w:w="5004"/>
          </w:tcPr>
          <w:p>
            <w:pPr>
              <w:pStyle w:val="null3"/>
            </w:pPr>
            <w:r>
              <w:rPr/>
              <w:t>提交投标文件的截止之日起不少于</w:t>
            </w:r>
            <w:r>
              <w:rPr/>
              <w:t>120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中标人应向采购代理机构交纳招标代理服务费。招标代理服务费的收取参见国家计委颁布的《招标代理服务收费管理暂行办法》（计价格[2002]1980号）和（发改办价格[2003]857号）货物类收费标准按照中标金额的0.6%进行收取，在领取中标通知书时向采购代理机构一次性交纳。 开户名称：陕西中技招标有限公司 开户银行：招商银行西安分行营业部 银行账号：129916812810001</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中标通知书</w:t>
            </w:r>
          </w:p>
        </w:tc>
        <w:tc>
          <w:tcPr>
            <w:tcW w:type="dxa" w:w="5004"/>
          </w:tcPr>
          <w:p>
            <w:pPr>
              <w:pStyle w:val="null3"/>
            </w:pPr>
            <w:r>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允许。本项目允许采购进口产品，进口产品的清单详见第3章。</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 出现下列情形之一的，采购人或者采购代理机构应当中止电子化采购活动，并保留相关证明材料备查：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一、本招标文件仅适用于本次公开招标采购项目。</w:t>
      </w:r>
    </w:p>
    <w:p>
      <w:pPr>
        <w:pStyle w:val="null3"/>
        <w:ind w:firstLine="480"/>
      </w:pPr>
      <w:r>
        <w:rPr/>
        <w:t xml:space="preserve"> 二、本招标文件的最终解释权由</w:t>
      </w:r>
      <w:r>
        <w:rPr/>
        <w:t>西安工业大学</w:t>
      </w:r>
      <w:r>
        <w:rPr/>
        <w:t>和</w:t>
      </w:r>
      <w:r>
        <w:rPr/>
        <w:t>陕西中技招标有限公司</w:t>
      </w:r>
      <w:r>
        <w:rPr/>
        <w:t>享有。对招标文件中供应商参加本次政府采购活动应当具备的条件，招标项目技术、服务、商务及其他要求，评标细则及标准由</w:t>
      </w:r>
      <w:r>
        <w:rPr/>
        <w:t>西安工业大学</w:t>
      </w:r>
      <w:r>
        <w:rPr/>
        <w:t>负责解释。除上述招标文件内容，其他内容由</w:t>
      </w:r>
      <w:r>
        <w:rPr/>
        <w:t>陕西中技招标有限公司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一、“采购人”是指依法进行政府采购的各级国家机关、事业单位、团体组织。本次招标的采购人是</w:t>
      </w:r>
      <w:r>
        <w:rPr/>
        <w:t>西安工业大学</w:t>
      </w:r>
      <w:r>
        <w:rPr/>
        <w:t>。</w:t>
      </w:r>
    </w:p>
    <w:p>
      <w:pPr>
        <w:pStyle w:val="null3"/>
        <w:ind w:firstLine="480"/>
      </w:pPr>
      <w:r>
        <w:rPr/>
        <w:t xml:space="preserve"> 二、“投标人”是指按照采购公告规定获取了招标文件，拟参加投标和向采购人提供货物、工程或服务的法人、其他组织或者自然人。</w:t>
      </w:r>
    </w:p>
    <w:p>
      <w:pPr>
        <w:pStyle w:val="null3"/>
        <w:ind w:firstLine="480"/>
      </w:pPr>
      <w:r>
        <w:rPr/>
        <w:t xml:space="preserve"> 三、“代理机构”是指政府采购集中采购机构和从事政府采购代理业务的社会中介机构。本项目的代理机构是</w:t>
      </w:r>
      <w:r>
        <w:rPr/>
        <w:t>陕西中技招标有限公司</w:t>
      </w:r>
      <w:r>
        <w:rPr/>
        <w:t>。</w:t>
      </w:r>
    </w:p>
    <w:p>
      <w:pPr>
        <w:pStyle w:val="null3"/>
        <w:ind w:firstLine="480"/>
      </w:pPr>
      <w:r>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sz w:val="28"/>
          <w:b/>
        </w:rPr>
        <w:t>2.3招标文件</w:t>
      </w:r>
    </w:p>
    <w:p>
      <w:pPr>
        <w:pStyle w:val="null3"/>
        <w:outlineLvl w:val="3"/>
      </w:pPr>
      <w:r>
        <w:rPr>
          <w:sz w:val="24"/>
          <w:b/>
        </w:rPr>
        <w:t xml:space="preserve"> 2.3.1招标文件的构成</w:t>
      </w:r>
    </w:p>
    <w:p>
      <w:pPr>
        <w:pStyle w:val="null3"/>
        <w:ind w:firstLine="480"/>
      </w:pPr>
      <w:r>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t>（一）投标邀请；</w:t>
      </w:r>
    </w:p>
    <w:p>
      <w:pPr>
        <w:pStyle w:val="null3"/>
        <w:ind w:firstLine="480"/>
      </w:pPr>
      <w:r>
        <w:rPr/>
        <w:t>（二）投标人须知；</w:t>
      </w:r>
    </w:p>
    <w:p>
      <w:pPr>
        <w:pStyle w:val="null3"/>
        <w:ind w:firstLine="480"/>
      </w:pPr>
      <w:r>
        <w:rPr/>
        <w:t>（三）招标项目技术、服务、商务及其他要求；</w:t>
      </w:r>
    </w:p>
    <w:p>
      <w:pPr>
        <w:pStyle w:val="null3"/>
        <w:ind w:firstLine="480"/>
      </w:pPr>
      <w:r>
        <w:rPr/>
        <w:t>（四）资格审查；</w:t>
      </w:r>
    </w:p>
    <w:p>
      <w:pPr>
        <w:pStyle w:val="null3"/>
        <w:ind w:firstLine="480"/>
      </w:pPr>
      <w:r>
        <w:rPr/>
        <w:t>（五）评标办法；</w:t>
      </w:r>
    </w:p>
    <w:p>
      <w:pPr>
        <w:pStyle w:val="null3"/>
        <w:ind w:firstLine="480"/>
      </w:pPr>
      <w:r>
        <w:rPr/>
        <w:t>（六）投标文件格式；</w:t>
      </w:r>
    </w:p>
    <w:p>
      <w:pPr>
        <w:pStyle w:val="null3"/>
        <w:ind w:firstLine="480"/>
      </w:pPr>
      <w:r>
        <w:rPr/>
        <w:t>（七）拟签订采购合同文本。</w:t>
      </w:r>
    </w:p>
    <w:p>
      <w:pPr>
        <w:pStyle w:val="null3"/>
        <w:ind w:firstLine="480"/>
      </w:pPr>
      <w:r>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sz w:val="24"/>
          <w:b/>
        </w:rPr>
        <w:t xml:space="preserve"> 2.3.2招标文件的澄清和修改</w:t>
      </w:r>
    </w:p>
    <w:p>
      <w:pPr>
        <w:pStyle w:val="null3"/>
        <w:ind w:firstLine="480"/>
      </w:pPr>
      <w:r>
        <w:rPr/>
        <w:t>一、在投标文件提交截止时间前，采购人或者代理机构可以对已发出的招标文件进行必要的澄清或者修改。</w:t>
      </w:r>
    </w:p>
    <w:p>
      <w:pPr>
        <w:pStyle w:val="null3"/>
        <w:ind w:firstLine="480"/>
      </w:pPr>
      <w:r>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sz w:val="28"/>
          <w:b/>
        </w:rPr>
        <w:t>2.4投标文件</w:t>
      </w:r>
    </w:p>
    <w:p>
      <w:pPr>
        <w:pStyle w:val="null3"/>
        <w:outlineLvl w:val="3"/>
      </w:pPr>
      <w:r>
        <w:rPr>
          <w:sz w:val="24"/>
          <w:b/>
        </w:rPr>
        <w:t xml:space="preserve"> 2.4.1投标文件的语言</w:t>
      </w:r>
    </w:p>
    <w:p>
      <w:pPr>
        <w:pStyle w:val="null3"/>
        <w:ind w:firstLine="480"/>
      </w:pPr>
      <w:r>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三、如因未翻译而造成对投标人的不利后果，由投标人承担。</w:t>
      </w:r>
    </w:p>
    <w:p>
      <w:pPr>
        <w:pStyle w:val="null3"/>
        <w:outlineLvl w:val="3"/>
      </w:pPr>
      <w:r>
        <w:rPr>
          <w:sz w:val="24"/>
          <w:b/>
        </w:rPr>
        <w:t>2.4.2计量单位</w:t>
      </w:r>
    </w:p>
    <w:p>
      <w:pPr>
        <w:pStyle w:val="null3"/>
        <w:ind w:firstLine="480"/>
      </w:pPr>
      <w:r>
        <w:rPr/>
        <w:t>除招标文件中另有规定外，本项目均采用国家法定的计量单位。</w:t>
      </w:r>
    </w:p>
    <w:p>
      <w:pPr>
        <w:pStyle w:val="null3"/>
        <w:outlineLvl w:val="3"/>
      </w:pPr>
      <w:r>
        <w:rPr>
          <w:sz w:val="24"/>
          <w:b/>
        </w:rPr>
        <w:t>2.4.3投标货币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t>三、如采用投标人所不拥有的知识产权，则在投标报价中必须包括合法使用该知识产权的相关费用。</w:t>
      </w:r>
    </w:p>
    <w:p>
      <w:pPr>
        <w:pStyle w:val="null3"/>
        <w:outlineLvl w:val="3"/>
      </w:pPr>
      <w:r>
        <w:rPr>
          <w:sz w:val="24"/>
          <w:b/>
        </w:rPr>
        <w:t>2.4.5投标文件的组成</w:t>
      </w:r>
    </w:p>
    <w:p>
      <w:pPr>
        <w:pStyle w:val="null3"/>
        <w:ind w:firstLine="480"/>
      </w:pPr>
      <w:r>
        <w:rPr/>
        <w:t>投标人应当按照招标文件的要求编制投标文件。投标文件应当对招标文件提出的要求和条件作出明确响应。</w:t>
      </w:r>
    </w:p>
    <w:p>
      <w:pPr>
        <w:pStyle w:val="null3"/>
        <w:ind w:firstLine="480"/>
      </w:pPr>
      <w:r>
        <w:rPr/>
        <w:t>投标文件具体内容详见第六章。</w:t>
      </w:r>
    </w:p>
    <w:p>
      <w:pPr>
        <w:pStyle w:val="null3"/>
        <w:outlineLvl w:val="3"/>
      </w:pPr>
      <w:r>
        <w:rPr>
          <w:sz w:val="24"/>
          <w:b/>
        </w:rPr>
        <w:t xml:space="preserve"> 2.4.6投标文件格式</w:t>
      </w:r>
    </w:p>
    <w:p>
      <w:pPr>
        <w:pStyle w:val="null3"/>
        <w:ind w:firstLine="480"/>
      </w:pPr>
      <w:r>
        <w:rPr/>
        <w:t>一、投标人应按照招标文件第六章中提供的“投标文件格式”填写相关内容。</w:t>
      </w:r>
    </w:p>
    <w:p>
      <w:pPr>
        <w:pStyle w:val="null3"/>
        <w:ind w:firstLine="480"/>
      </w:pPr>
      <w:r>
        <w:rPr/>
        <w:t>二、对于没有格式要求的投标文件由投标人自行编写。</w:t>
      </w:r>
    </w:p>
    <w:p>
      <w:pPr>
        <w:pStyle w:val="null3"/>
        <w:outlineLvl w:val="3"/>
      </w:pPr>
      <w:r>
        <w:rPr>
          <w:sz w:val="24"/>
          <w:b/>
        </w:rPr>
        <w:t>2.4.7投标报价（实质性要求）</w:t>
      </w:r>
    </w:p>
    <w:p>
      <w:pPr>
        <w:pStyle w:val="null3"/>
        <w:ind w:firstLine="480"/>
      </w:pPr>
      <w:r>
        <w:rPr/>
        <w:t>一、投标人的报价是投标人响应招标项目要 求的全部工作内容的价格体现，包括投标人完成本项目所需的一切费用。</w:t>
      </w:r>
    </w:p>
    <w:p>
      <w:pPr>
        <w:pStyle w:val="null3"/>
        <w:ind w:firstLine="480"/>
      </w:pPr>
      <w:r>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sz w:val="24"/>
          <w:b/>
        </w:rPr>
        <w:t>2.4.8投标有效期（实质性要求）</w:t>
      </w:r>
    </w:p>
    <w:p>
      <w:pPr>
        <w:pStyle w:val="null3"/>
        <w:ind w:firstLine="480"/>
      </w:pPr>
      <w:r>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sz w:val="24"/>
          <w:b/>
        </w:rPr>
        <w:t xml:space="preserve"> 2.4.9投标文件的制作、签章和加密（实质性要求）</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t xml:space="preserve"> 三、投标人完成投标文件编制后，应按照招标文件第一章明确的签章要求，使用互认的证书及签章对投标文件进行电子签章和加密。</w:t>
      </w:r>
    </w:p>
    <w:p>
      <w:pPr>
        <w:pStyle w:val="null3"/>
        <w:ind w:firstLine="480"/>
      </w:pPr>
      <w:r>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sz w:val="24"/>
          <w:b/>
        </w:rPr>
        <w:t>2.4.10投标文件的提交</w:t>
      </w:r>
    </w:p>
    <w:p>
      <w:pPr>
        <w:pStyle w:val="null3"/>
        <w:ind w:firstLine="480"/>
      </w:pPr>
      <w:r>
        <w:rPr/>
        <w:t>一、（实质性要求）投标人应当在投标文件提交截止时间前，通过项目电子化交易系统完成投标文件提交。</w:t>
      </w:r>
    </w:p>
    <w:p>
      <w:pPr>
        <w:pStyle w:val="null3"/>
        <w:ind w:firstLine="480"/>
      </w:pPr>
      <w:r>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sz w:val="24"/>
          <w:b/>
        </w:rPr>
        <w:t>2.4.11投标文件的补充、修改、撤回（实质性要求）</w:t>
      </w:r>
    </w:p>
    <w:p>
      <w:pPr>
        <w:pStyle w:val="null3"/>
        <w:ind w:firstLine="480"/>
      </w:pPr>
      <w:r>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t>供应商投标文件撤回后，视为未提交过投标文件。</w:t>
      </w:r>
    </w:p>
    <w:p>
      <w:pPr>
        <w:pStyle w:val="null3"/>
        <w:outlineLvl w:val="2"/>
      </w:pPr>
      <w:r>
        <w:rPr>
          <w:sz w:val="28"/>
          <w:b/>
        </w:rPr>
        <w:t>2.5开标、资格审查、评标和中标</w:t>
      </w:r>
    </w:p>
    <w:p>
      <w:pPr>
        <w:pStyle w:val="null3"/>
        <w:outlineLvl w:val="3"/>
      </w:pPr>
      <w:r>
        <w:rPr>
          <w:sz w:val="24"/>
          <w:b/>
        </w:rPr>
        <w:t>2.5.1开标及开标程序</w:t>
      </w:r>
    </w:p>
    <w:p>
      <w:pPr>
        <w:pStyle w:val="null3"/>
        <w:ind w:firstLine="480"/>
      </w:pPr>
      <w:r>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t>二、开标准备工作</w:t>
      </w:r>
    </w:p>
    <w:p>
      <w:pPr>
        <w:pStyle w:val="null3"/>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三、解密投标文件（实质性要求）</w:t>
      </w:r>
    </w:p>
    <w:p>
      <w:pPr>
        <w:pStyle w:val="null3"/>
        <w:ind w:firstLine="480"/>
      </w:pPr>
      <w:r>
        <w:rPr/>
        <w:t xml:space="preserve"> 投标文件提交截止时间后，成功提交投标文件的投标人符合招标文件规定数量的，代理机构将启动投标文件解密程序，解密时间为</w:t>
      </w:r>
      <w:r>
        <w:rPr/>
        <w:t>30</w:t>
      </w:r>
      <w:r>
        <w:rPr/>
        <w:t>分钟；投标人应在规定的解密时间内，使用互认的证书及签章通过项目电子化采购系统进行投标文件解密。</w:t>
      </w:r>
    </w:p>
    <w:p>
      <w:pPr>
        <w:pStyle w:val="null3"/>
        <w:ind w:firstLine="480"/>
      </w:pPr>
      <w:r>
        <w:rPr/>
        <w:t>四、开标</w:t>
      </w:r>
    </w:p>
    <w:p>
      <w:pPr>
        <w:pStyle w:val="null3"/>
        <w:ind w:firstLine="480"/>
      </w:pPr>
      <w:r>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t>投标人完成投标文件解密后，自主决定是否参加网上在线开标，未参加的，视同认可开标结果。</w:t>
      </w:r>
    </w:p>
    <w:p>
      <w:pPr>
        <w:pStyle w:val="null3"/>
        <w:outlineLvl w:val="3"/>
      </w:pPr>
      <w:r>
        <w:rPr>
          <w:sz w:val="24"/>
          <w:b/>
        </w:rPr>
        <w:t>2.5.2查询及使用信用记录</w:t>
      </w:r>
    </w:p>
    <w:p>
      <w:pPr>
        <w:pStyle w:val="null3"/>
        <w:ind w:firstLine="480"/>
      </w:pPr>
      <w:r>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详见招标文件第四章。</w:t>
      </w:r>
    </w:p>
    <w:p>
      <w:pPr>
        <w:pStyle w:val="null3"/>
        <w:outlineLvl w:val="3"/>
      </w:pPr>
      <w:r>
        <w:rPr>
          <w:sz w:val="24"/>
          <w:b/>
        </w:rPr>
        <w:t>2.5.4评标</w:t>
      </w:r>
    </w:p>
    <w:p>
      <w:pPr>
        <w:pStyle w:val="null3"/>
        <w:ind w:firstLine="480"/>
      </w:pPr>
      <w:r>
        <w:rPr/>
        <w:t>详见招标文件第五章。</w:t>
      </w:r>
    </w:p>
    <w:p>
      <w:pPr>
        <w:pStyle w:val="null3"/>
        <w:outlineLvl w:val="3"/>
      </w:pPr>
      <w:r>
        <w:rPr>
          <w:sz w:val="24"/>
          <w:b/>
        </w:rPr>
        <w:t>2.5.5中标通知书</w:t>
      </w:r>
    </w:p>
    <w:p>
      <w:pPr>
        <w:pStyle w:val="null3"/>
        <w:ind w:firstLine="480"/>
      </w:pPr>
      <w:r>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t>三、中标通知书对采购人和中标供应商均具有法律效力。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一、采购人应在中标通知书发出之日起三十日内与中标人签订采购合同。</w:t>
      </w:r>
    </w:p>
    <w:p>
      <w:pPr>
        <w:pStyle w:val="null3"/>
        <w:ind w:firstLine="480"/>
      </w:pPr>
      <w:r>
        <w:rPr/>
        <w:t>二、采购人和中标人签订的采购合同不得对招标文件确定的事项以及中标人的投标文件作实质性修改。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t>二、分包履行合同的部分应当为采购项目的非主体、非关键性工作，不属于中标人的主要合同义务。</w:t>
      </w:r>
    </w:p>
    <w:p>
      <w:pPr>
        <w:pStyle w:val="null3"/>
        <w:ind w:firstLine="480"/>
      </w:pPr>
      <w:r>
        <w:rPr/>
        <w:t>三、采购合同实行分包履行的，中标人就采购项目和分包项目向采购人负责，分包供应商就分包项目承担责任。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一、严禁中标人将本项目转包。本项目所称转包，是指将本项目转给他人或者将本项目全部肢解以后以分包的名义分别转给他人的行为。</w:t>
      </w:r>
    </w:p>
    <w:p>
      <w:pPr>
        <w:pStyle w:val="null3"/>
        <w:ind w:firstLine="480"/>
      </w:pPr>
      <w:r>
        <w:rPr/>
        <w:t>二、中标人转包的，视同拒绝履行政府采购合同，将依法追究法律责任。</w:t>
      </w:r>
    </w:p>
    <w:p>
      <w:pPr>
        <w:pStyle w:val="null3"/>
        <w:outlineLvl w:val="3"/>
      </w:pPr>
      <w:r>
        <w:rPr>
          <w:sz w:val="24"/>
          <w:b/>
        </w:rPr>
        <w:t>2.6.3采购人增加合同标的的权利</w:t>
      </w:r>
    </w:p>
    <w:p>
      <w:pPr>
        <w:pStyle w:val="null3"/>
        <w:ind w:firstLine="480"/>
      </w:pPr>
      <w:r>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sz w:val="24"/>
          <w:b/>
        </w:rPr>
        <w:t>2.6.4履行合同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 xml:space="preserve"> 2.6.5履约验收方案</w:t>
      </w:r>
    </w:p>
    <w:p>
      <w:pPr>
        <w:pStyle w:val="null3"/>
      </w:pPr>
      <w:r>
        <w:rPr/>
        <w:t>采购包1：</w:t>
      </w:r>
    </w:p>
    <w:p>
      <w:pPr>
        <w:pStyle w:val="null3"/>
      </w:pPr>
      <w:r>
        <w:rPr/>
        <w:t>国产产品： 1、初验：货物安装调试合格后，进行试运行测试，通过试运行测试后进入试运行，试运行不少于30工作日。由乙方向甲方提供详细的试运行报告，报告中至少应详细记录各种实测、运行数据。项目试运行且通过乙方自测后提交甲方使用单位进行初验。验收内容按试运行报告，现场查看货物运行情况。初验完成后，乙方填写初验验收报告并经甲方使用单位确认。 2、整体验收即终验：该项目初验完成后，甲方根据使用单位提供的初验验收报告，组织甲方相关人员和专家组成的验收小组对系统设备进行最终验收。验收依据为本合同文本、招投标文件和国内相应的标准、规范，本合同内所列功能参数逐条验收，并符合甲方稳定安全正常使用的需求。验收合格后，甲方填写终验验收单，并由乙方向甲方提交货物所包含的所有资料，以便甲方使用单位日后管理和维护。验收不合格的，限期整改，整改过程中产生的费用和货物发生的一切损失由乙方承担；整改超过二次的，甲方有权单方解除本合同，乙方应无条件退还已收取的全部合同价款，并按合同总价20%向甲方支付违约金，违约金不足弥补甲方损失的，由乙方负责赔偿。 进口产品： 1、交付检验：所供货物应付有进口开箱单，到货后由甲方（使用单位）及乙方对货物进行试运行测试，检查核对内容包括：产品名称、类型、版本、参数、功能需求等（乙方协助）。核对无误后，甲方或甲方指定使用单位在到货签收单上签字。若货物与合同约定不符，甲方有权拒绝接收，乙方应无条件退换货直至合格，并承担逾期交货的违约责任。 2、初验：货物通过试运行测试后进入试运行，试运行不少于30工作日。由乙方向甲方（用户）提供详细的试运行报告，报告中至少应详细记录各种实测、运行数据。项目试运行且通过乙方自测后提交甲方（用户）进行初验。验收内容按试运行报告，现场查看货物运行情况。初验合格后，甲方（用户）填写初验验收报告。 3、整体验收即终验：该项目初验合格后，甲方根据供应商提供的初验验收报告，组织甲方相关人员或甲方专家组成验收小组对设备进行最终验收。验收依据为本合同文本、招投标文件和国内相应的标准、规范。验收合格后，甲方填写终验验收单，作为付款依据。验收不合格的，限期整改，整改过程中产生的费用和货物发生的一切损失由乙方承担；整改超过二次的，甲方有权单方解除本合同，乙方应无条件退还已收取的全部合同价款，并按合同总价20%向甲方支付违约金，违约金不足弥补甲方损失的，由乙方负责赔偿，货款尾款甲方有权不予支付。</w:t>
      </w:r>
    </w:p>
    <w:p>
      <w:pPr>
        <w:pStyle w:val="null3"/>
        <w:outlineLvl w:val="3"/>
      </w:pPr>
      <w:r>
        <w:rPr>
          <w:sz w:val="24"/>
          <w:b/>
        </w:rPr>
        <w:t>2.6.6资金支付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2.7.1评标活动纪律要求</w:t>
      </w:r>
    </w:p>
    <w:p>
      <w:pPr>
        <w:pStyle w:val="null3"/>
        <w:ind w:firstLine="480"/>
      </w:pPr>
      <w:r>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t>对各投标人的商业秘密，评标委员会成员应予以保密，不得泄露给其他投标人。</w:t>
      </w:r>
    </w:p>
    <w:p>
      <w:pPr>
        <w:pStyle w:val="null3"/>
        <w:outlineLvl w:val="3"/>
      </w:pPr>
      <w:r>
        <w:rPr>
          <w:sz w:val="24"/>
          <w:b/>
        </w:rPr>
        <w:t xml:space="preserve"> 2.7.2投标人不得具有的情形（实质性要求）</w:t>
      </w:r>
    </w:p>
    <w:p>
      <w:pPr>
        <w:pStyle w:val="null3"/>
        <w:ind w:firstLine="480"/>
      </w:pPr>
      <w:r>
        <w:rPr/>
        <w:t>一、有下列情形之一的，视为投标人串通投标：</w:t>
      </w:r>
    </w:p>
    <w:p>
      <w:pPr>
        <w:pStyle w:val="null3"/>
        <w:ind w:firstLine="480"/>
      </w:pPr>
      <w:r>
        <w:rPr/>
        <w:t>（一）不同投标人的投标文件由同一单位或者个人编制；</w:t>
      </w:r>
    </w:p>
    <w:p>
      <w:pPr>
        <w:pStyle w:val="null3"/>
        <w:ind w:firstLine="480"/>
      </w:pPr>
      <w:r>
        <w:rPr/>
        <w:t>（二）不同投标人委托同一单位或者个人办理投标事宜；</w:t>
      </w:r>
    </w:p>
    <w:p>
      <w:pPr>
        <w:pStyle w:val="null3"/>
        <w:ind w:firstLine="480"/>
      </w:pPr>
      <w:r>
        <w:rPr/>
        <w:t>（三）不同投标人的投标文件载明的项目管理成员或者联系人员为同一人；</w:t>
      </w:r>
    </w:p>
    <w:p>
      <w:pPr>
        <w:pStyle w:val="null3"/>
        <w:ind w:firstLine="480"/>
      </w:pPr>
      <w:r>
        <w:rPr/>
        <w:t>（四）不同投标人的投标文件异常一致或者投标报价呈规律性差异；</w:t>
      </w:r>
    </w:p>
    <w:p>
      <w:pPr>
        <w:pStyle w:val="null3"/>
        <w:ind w:firstLine="480"/>
      </w:pPr>
      <w:r>
        <w:rPr/>
        <w:t>（五）不同投标人的投标文件相互混装。</w:t>
      </w:r>
    </w:p>
    <w:p>
      <w:pPr>
        <w:pStyle w:val="null3"/>
        <w:ind w:firstLine="480"/>
      </w:pPr>
      <w:r>
        <w:rPr/>
        <w:t>二、提供虚假材料谋取中标；</w:t>
      </w:r>
    </w:p>
    <w:p>
      <w:pPr>
        <w:pStyle w:val="null3"/>
        <w:ind w:firstLine="480"/>
      </w:pPr>
      <w:r>
        <w:rPr/>
        <w:t>三、采取不正当手段诋毁、排挤其他投标人；</w:t>
      </w:r>
    </w:p>
    <w:p>
      <w:pPr>
        <w:pStyle w:val="null3"/>
        <w:ind w:firstLine="480"/>
      </w:pPr>
      <w:r>
        <w:rPr/>
        <w:t>四、与采购人或代理机构、其他投标人恶意串通；</w:t>
      </w:r>
    </w:p>
    <w:p>
      <w:pPr>
        <w:pStyle w:val="null3"/>
        <w:ind w:firstLine="480"/>
      </w:pPr>
      <w:r>
        <w:rPr/>
        <w:t>五、向采购人或代理机构、评标委员会成员行贿或者提供其他不正当利益；</w:t>
      </w:r>
    </w:p>
    <w:p>
      <w:pPr>
        <w:pStyle w:val="null3"/>
        <w:ind w:firstLine="480"/>
      </w:pPr>
      <w:r>
        <w:rPr/>
        <w:t>六、在招标过程中与采购人或代理机构进行协商谈判；</w:t>
      </w:r>
    </w:p>
    <w:p>
      <w:pPr>
        <w:pStyle w:val="null3"/>
        <w:ind w:firstLine="480"/>
      </w:pPr>
      <w:r>
        <w:rPr/>
        <w:t>七、中标后无正当理由拒不与采购人签订政府采购合同；</w:t>
      </w:r>
    </w:p>
    <w:p>
      <w:pPr>
        <w:pStyle w:val="null3"/>
        <w:ind w:firstLine="480"/>
      </w:pPr>
      <w:r>
        <w:rPr/>
        <w:t>八、未按照采购文件确定的事项签订政府采购合同；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投标人有上述情形的，按照规定追究法律责任，具备一至十一条情形之一的，其投标文件无效，或取消被确认为中标供应商的资格或认定中标无效。</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根据委托代理协议约定，供应商对招标文件中采购需求的询问、质疑由 </w:t>
      </w:r>
      <w:r>
        <w:rPr/>
        <w:t>陕西中技招标有限公司</w:t>
      </w:r>
      <w:r>
        <w:rPr/>
        <w:t xml:space="preserve"> 负责答复；供应商对除采购需求外的采购文件的询问、质疑由</w:t>
      </w:r>
      <w:r>
        <w:rPr/>
        <w:t>陕西中技招标有限公司</w:t>
      </w:r>
      <w:r>
        <w:rPr/>
        <w:t xml:space="preserve"> 负责答复；供应商对采购过程、采购结果的询问、质疑由 </w:t>
      </w:r>
      <w:r>
        <w:rPr/>
        <w:t>陕西中技招标有限公司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t>（一）对可以质疑的采购文件提出质疑的，为收到采购文件之日或者采购文件公告期限届满之日</w:t>
      </w:r>
    </w:p>
    <w:p>
      <w:pPr>
        <w:pStyle w:val="null3"/>
        <w:jc w:val="left"/>
      </w:pPr>
      <w:r>
        <w:rPr/>
        <w:t>（二）对采购过程提出质疑的，为各采购程序环节结束之日；</w:t>
      </w:r>
    </w:p>
    <w:p>
      <w:pPr>
        <w:pStyle w:val="null3"/>
        <w:jc w:val="left"/>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（一）质疑书正本1份；（政府采购供应商质疑函范本详见附件一）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（五）针对质疑事项必要的证明材料（针对招标文件提出的质疑，需提交从项目电子化交易系统获取的招标文件回执单）。</w:t>
      </w:r>
    </w:p>
    <w:p>
      <w:pPr>
        <w:pStyle w:val="null3"/>
      </w:pPr>
      <w:r>
        <w:rPr/>
        <w:t>答复主体：代理机构</w:t>
      </w:r>
    </w:p>
    <w:p>
      <w:pPr>
        <w:pStyle w:val="null3"/>
      </w:pPr>
      <w:r>
        <w:rPr/>
        <w:t>联系人：李经理</w:t>
      </w:r>
    </w:p>
    <w:p>
      <w:pPr>
        <w:pStyle w:val="null3"/>
      </w:pPr>
      <w:r>
        <w:rPr/>
        <w:t>联系电话：029-88364979-846</w:t>
      </w:r>
    </w:p>
    <w:p>
      <w:pPr>
        <w:pStyle w:val="null3"/>
      </w:pPr>
      <w:r>
        <w:rPr/>
        <w:t>地址：西安市高新区高新四路1号高科广场A座1001室</w:t>
      </w:r>
    </w:p>
    <w:p>
      <w:pPr>
        <w:pStyle w:val="null3"/>
      </w:pPr>
      <w:r>
        <w:rPr/>
        <w:t>邮编：710075</w:t>
      </w:r>
    </w:p>
    <w:p>
      <w:pPr>
        <w:pStyle w:val="null3"/>
        <w:ind w:firstLine="480"/>
      </w:pPr>
      <w:r>
        <w:rPr/>
        <w:t>注：根据《中华人民共和国政府采购法》的规定，供应商质疑不得超出采购文件、采购过程、采购结果的范围。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招标项目技术、服务、商务及其他要求</w:t>
      </w:r>
    </w:p>
    <w:p>
      <w:pPr>
        <w:pStyle w:val="null3"/>
        <w:ind w:firstLine="480"/>
      </w:pPr>
      <w:r>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sz w:val="28"/>
          <w:b/>
        </w:rPr>
        <w:t>3.1采购项目概况</w:t>
      </w:r>
    </w:p>
    <w:p>
      <w:pPr>
        <w:pStyle w:val="null3"/>
        <w:ind w:firstLine="480"/>
      </w:pPr>
      <w:r>
        <w:rPr/>
        <w:t>本项目拟采购场发射扫描电子显微镜一套，主要用于材料的微观组织、晶体结构和成分等信息的分析，也可以利用原位加热台观察材料在特定温度相的形态变化和材料高温固态相变分析，以满足材料学科的科学研究需求。该设备还可以配备原位拉伸台、阴极荧光探测器等多种功能附件，实现各类功能来对材料的深入研究。</w:t>
      </w:r>
    </w:p>
    <w:p>
      <w:pPr>
        <w:pStyle w:val="null3"/>
        <w:outlineLvl w:val="2"/>
      </w:pPr>
      <w:r>
        <w:rPr>
          <w:sz w:val="28"/>
          <w:b/>
        </w:rPr>
        <w:t>3.2采购内容</w:t>
      </w:r>
    </w:p>
    <w:p>
      <w:pPr>
        <w:pStyle w:val="null3"/>
      </w:pPr>
      <w:r>
        <w:rPr/>
        <w:t>采购包1：</w:t>
      </w:r>
    </w:p>
    <w:p>
      <w:pPr>
        <w:pStyle w:val="null3"/>
      </w:pPr>
      <w:r>
        <w:rPr/>
        <w:t>采购包预算金额（元）: 4,650,000.00</w:t>
      </w:r>
    </w:p>
    <w:p>
      <w:pPr>
        <w:pStyle w:val="null3"/>
      </w:pPr>
      <w:r>
        <w:rPr/>
        <w:t>采购包最高限价（元）: 4,650,000.00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西安工业大学场发射扫描电子显微镜采购项目</w:t>
            </w:r>
          </w:p>
        </w:tc>
        <w:tc>
          <w:tcPr>
            <w:tcW w:type="dxa" w:w="831"/>
          </w:tcPr>
          <w:p>
            <w:pPr>
              <w:pStyle w:val="null3"/>
              <w:jc w:val="right"/>
            </w:pPr>
            <w:r>
              <w:rPr/>
              <w:t>1.00</w:t>
            </w:r>
          </w:p>
        </w:tc>
        <w:tc>
          <w:tcPr>
            <w:tcW w:type="dxa" w:w="831"/>
          </w:tcPr>
          <w:p>
            <w:pPr>
              <w:pStyle w:val="null3"/>
              <w:jc w:val="right"/>
            </w:pPr>
            <w:r>
              <w:rPr/>
              <w:t>4,650,000.00</w:t>
            </w:r>
          </w:p>
        </w:tc>
        <w:tc>
          <w:tcPr>
            <w:tcW w:type="dxa" w:w="831"/>
          </w:tcPr>
          <w:p>
            <w:pPr>
              <w:pStyle w:val="null3"/>
            </w:pPr>
            <w:r>
              <w:rPr/>
              <w:t>批</w:t>
            </w:r>
          </w:p>
        </w:tc>
        <w:tc>
          <w:tcPr>
            <w:tcW w:type="dxa" w:w="831"/>
          </w:tcPr>
          <w:p>
            <w:pPr>
              <w:pStyle w:val="null3"/>
            </w:pPr>
            <w:r>
              <w:rPr/>
              <w:t>工业</w:t>
            </w:r>
          </w:p>
        </w:tc>
        <w:tc>
          <w:tcPr>
            <w:tcW w:type="dxa" w:w="831"/>
          </w:tcPr>
          <w:p>
            <w:pPr>
              <w:pStyle w:val="null3"/>
            </w:pPr>
            <w:r>
              <w:rPr/>
              <w:t>是</w:t>
            </w:r>
          </w:p>
        </w:tc>
        <w:tc>
          <w:tcPr>
            <w:tcW w:type="dxa" w:w="831"/>
          </w:tcPr>
          <w:p>
            <w:pPr>
              <w:pStyle w:val="null3"/>
            </w:pPr>
            <w:r>
              <w:rPr/>
              <w:t>是</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3.3技术要求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标的名称：西安工业大学场发射扫描电子显微镜采购项目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tbl>
            <w:tblPr>
              <w:tblInd w:type="dxa" w:w="135"/>
              <w:tblBorders>
                <w:top w:val="none" w:color="000000" w:sz="4"/>
                <w:left w:val="none" w:color="000000" w:sz="4"/>
                <w:bottom w:val="none" w:color="000000" w:sz="4"/>
                <w:right w:val="none" w:color="000000" w:sz="4"/>
                <w:insideH w:val="none"/>
                <w:insideV w:val="none"/>
              </w:tblBorders>
            </w:tblPr>
            <w:tblGrid>
              <w:gridCol w:w="360"/>
              <w:gridCol w:w="311"/>
              <w:gridCol w:w="1882"/>
            </w:tblGrid>
            <w:tr>
              <w:tc>
                <w:tcPr>
                  <w:tcW w:type="dxa" w:w="36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19"/>
                    </w:rPr>
                    <w:t>场发射扫描电子显微镜</w:t>
                  </w:r>
                </w:p>
              </w:tc>
              <w:tc>
                <w:tcPr>
                  <w:tcW w:type="dxa" w:w="31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19"/>
                    </w:rPr>
                    <w:t>1</w:t>
                  </w:r>
                </w:p>
              </w:tc>
              <w:tc>
                <w:tcPr>
                  <w:tcW w:type="dxa" w:w="188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19"/>
                    </w:rPr>
                    <w:t>▲</w:t>
                  </w:r>
                  <w:r>
                    <w:rPr>
                      <w:rFonts w:ascii="calibri" w:hAnsi="calibri" w:cs="calibri" w:eastAsia="calibri"/>
                      <w:sz w:val="19"/>
                    </w:rPr>
                    <w:t>1.1</w:t>
                  </w:r>
                  <w:r>
                    <w:rPr>
                      <w:rFonts w:ascii="宋体" w:hAnsi="宋体" w:cs="宋体" w:eastAsia="宋体"/>
                      <w:sz w:val="19"/>
                    </w:rPr>
                    <w:t>二次电子分辨率：≤</w:t>
                  </w:r>
                  <w:r>
                    <w:rPr>
                      <w:rFonts w:ascii="calibri" w:hAnsi="calibri" w:cs="calibri" w:eastAsia="calibri"/>
                      <w:sz w:val="19"/>
                    </w:rPr>
                    <w:t xml:space="preserve">0.7nm@15kV, </w:t>
                  </w:r>
                  <w:r>
                    <w:rPr>
                      <w:rFonts w:ascii="宋体" w:hAnsi="宋体" w:cs="宋体" w:eastAsia="宋体"/>
                      <w:sz w:val="19"/>
                    </w:rPr>
                    <w:t>≤</w:t>
                  </w:r>
                  <w:r>
                    <w:rPr>
                      <w:rFonts w:ascii="calibri" w:hAnsi="calibri" w:cs="calibri" w:eastAsia="calibri"/>
                      <w:sz w:val="19"/>
                    </w:rPr>
                    <w:t>1.1nm@1kV</w:t>
                  </w:r>
                  <w:r>
                    <w:rPr>
                      <w:rFonts w:ascii="宋体" w:hAnsi="宋体" w:cs="宋体" w:eastAsia="宋体"/>
                      <w:sz w:val="19"/>
                    </w:rPr>
                    <w:t>（标准模式，非减速模式）；</w:t>
                  </w:r>
                </w:p>
                <w:p>
                  <w:pPr>
                    <w:pStyle w:val="null3"/>
                  </w:pPr>
                  <w:r>
                    <w:rPr>
                      <w:rFonts w:ascii="calibri" w:hAnsi="calibri" w:cs="calibri" w:eastAsia="calibri"/>
                      <w:sz w:val="19"/>
                    </w:rPr>
                    <w:t xml:space="preserve">1.2 </w:t>
                  </w:r>
                  <w:r>
                    <w:rPr>
                      <w:rFonts w:ascii="宋体" w:hAnsi="宋体" w:cs="宋体" w:eastAsia="宋体"/>
                      <w:sz w:val="19"/>
                    </w:rPr>
                    <w:t>放大倍率：</w:t>
                  </w:r>
                  <w:r>
                    <w:rPr>
                      <w:rFonts w:ascii="calibri" w:hAnsi="calibri" w:cs="calibri" w:eastAsia="calibri"/>
                      <w:sz w:val="19"/>
                    </w:rPr>
                    <w:t>10-1,000,000</w:t>
                  </w:r>
                  <w:r>
                    <w:rPr>
                      <w:rFonts w:ascii="宋体" w:hAnsi="宋体" w:cs="宋体" w:eastAsia="宋体"/>
                      <w:sz w:val="19"/>
                    </w:rPr>
                    <w:t>倍，根据加速电压和工作距离的改变，放大倍数自动校准；</w:t>
                  </w:r>
                </w:p>
                <w:p>
                  <w:pPr>
                    <w:pStyle w:val="null3"/>
                  </w:pPr>
                  <w:r>
                    <w:rPr>
                      <w:rFonts w:ascii="宋体" w:hAnsi="宋体" w:cs="宋体" w:eastAsia="宋体"/>
                      <w:sz w:val="19"/>
                    </w:rPr>
                    <w:t>▲</w:t>
                  </w:r>
                  <w:r>
                    <w:rPr>
                      <w:rFonts w:ascii="calibri" w:hAnsi="calibri" w:cs="calibri" w:eastAsia="calibri"/>
                      <w:sz w:val="19"/>
                    </w:rPr>
                    <w:t>1.3</w:t>
                  </w:r>
                  <w:r>
                    <w:rPr>
                      <w:rFonts w:ascii="宋体" w:hAnsi="宋体" w:cs="宋体" w:eastAsia="宋体"/>
                      <w:sz w:val="19"/>
                    </w:rPr>
                    <w:t>物镜系统：电磁</w:t>
                  </w:r>
                  <w:r>
                    <w:rPr>
                      <w:rFonts w:ascii="calibri" w:hAnsi="calibri" w:cs="calibri" w:eastAsia="calibri"/>
                      <w:sz w:val="19"/>
                    </w:rPr>
                    <w:t>/</w:t>
                  </w:r>
                  <w:r>
                    <w:rPr>
                      <w:rFonts w:ascii="宋体" w:hAnsi="宋体" w:cs="宋体" w:eastAsia="宋体"/>
                      <w:sz w:val="19"/>
                    </w:rPr>
                    <w:t>静电式复合物镜或超级复合式物镜级别</w:t>
                  </w:r>
                  <w:r>
                    <w:rPr>
                      <w:rFonts w:ascii="宋体" w:hAnsi="宋体" w:cs="宋体" w:eastAsia="宋体"/>
                      <w:sz w:val="19"/>
                    </w:rPr>
                    <w:t>，</w:t>
                  </w:r>
                  <w:r>
                    <w:rPr>
                      <w:rFonts w:ascii="宋体" w:hAnsi="宋体" w:cs="宋体" w:eastAsia="宋体"/>
                      <w:sz w:val="19"/>
                    </w:rPr>
                    <w:t>物镜结构可对磁性材料（包括磁性材料断口、磁性粉末）近距离高分辨观察；</w:t>
                  </w:r>
                </w:p>
                <w:p>
                  <w:pPr>
                    <w:pStyle w:val="null3"/>
                  </w:pPr>
                  <w:r>
                    <w:rPr>
                      <w:rFonts w:ascii="宋体" w:hAnsi="宋体" w:cs="宋体" w:eastAsia="宋体"/>
                      <w:sz w:val="19"/>
                    </w:rPr>
                    <w:t>▲</w:t>
                  </w:r>
                  <w:r>
                    <w:rPr>
                      <w:rFonts w:ascii="calibri" w:hAnsi="calibri" w:cs="calibri" w:eastAsia="calibri"/>
                      <w:sz w:val="19"/>
                    </w:rPr>
                    <w:t>1.4</w:t>
                  </w:r>
                  <w:r>
                    <w:rPr>
                      <w:rFonts w:ascii="宋体" w:hAnsi="宋体" w:cs="宋体" w:eastAsia="宋体"/>
                      <w:sz w:val="19"/>
                    </w:rPr>
                    <w:t>束流：最大束流≤</w:t>
                  </w:r>
                  <w:r>
                    <w:rPr>
                      <w:rFonts w:ascii="calibri" w:hAnsi="calibri" w:cs="calibri" w:eastAsia="calibri"/>
                      <w:sz w:val="19"/>
                    </w:rPr>
                    <w:t>50nA</w:t>
                  </w:r>
                  <w:r>
                    <w:rPr>
                      <w:rFonts w:ascii="宋体" w:hAnsi="宋体" w:cs="宋体" w:eastAsia="宋体"/>
                      <w:sz w:val="19"/>
                    </w:rPr>
                    <w:t>；</w:t>
                  </w:r>
                </w:p>
                <w:p>
                  <w:pPr>
                    <w:pStyle w:val="null3"/>
                  </w:pPr>
                  <w:r>
                    <w:rPr>
                      <w:rFonts w:ascii="calibri" w:hAnsi="calibri" w:cs="calibri" w:eastAsia="calibri"/>
                      <w:sz w:val="19"/>
                    </w:rPr>
                    <w:t>1.5</w:t>
                  </w:r>
                  <w:r>
                    <w:rPr>
                      <w:rFonts w:ascii="宋体" w:hAnsi="宋体" w:cs="宋体" w:eastAsia="宋体"/>
                      <w:sz w:val="19"/>
                    </w:rPr>
                    <w:t>加速电压（非着陆电压）：</w:t>
                  </w:r>
                  <w:r>
                    <w:rPr>
                      <w:rFonts w:ascii="calibri" w:hAnsi="calibri" w:cs="calibri" w:eastAsia="calibri"/>
                      <w:sz w:val="19"/>
                    </w:rPr>
                    <w:t>0.02kV-30 kV</w:t>
                  </w:r>
                  <w:r>
                    <w:rPr>
                      <w:rFonts w:ascii="宋体" w:hAnsi="宋体" w:cs="宋体" w:eastAsia="宋体"/>
                      <w:sz w:val="19"/>
                    </w:rPr>
                    <w:t>，≤</w:t>
                  </w:r>
                  <w:r>
                    <w:rPr>
                      <w:rFonts w:ascii="calibri" w:hAnsi="calibri" w:cs="calibri" w:eastAsia="calibri"/>
                      <w:sz w:val="19"/>
                    </w:rPr>
                    <w:t>100V</w:t>
                  </w:r>
                  <w:r>
                    <w:rPr>
                      <w:rFonts w:ascii="宋体" w:hAnsi="宋体" w:cs="宋体" w:eastAsia="宋体"/>
                      <w:sz w:val="19"/>
                    </w:rPr>
                    <w:t>为步进连续可调</w:t>
                  </w:r>
                  <w:r>
                    <w:rPr>
                      <w:rFonts w:ascii="宋体" w:hAnsi="宋体" w:cs="宋体" w:eastAsia="宋体"/>
                      <w:sz w:val="19"/>
                    </w:rPr>
                    <w:t>；</w:t>
                  </w:r>
                </w:p>
                <w:p>
                  <w:pPr>
                    <w:pStyle w:val="null3"/>
                  </w:pPr>
                  <w:r>
                    <w:rPr>
                      <w:rFonts w:ascii="宋体" w:hAnsi="宋体" w:cs="宋体" w:eastAsia="宋体"/>
                      <w:sz w:val="19"/>
                    </w:rPr>
                    <w:t>▲</w:t>
                  </w:r>
                  <w:r>
                    <w:rPr>
                      <w:rFonts w:ascii="calibri" w:hAnsi="calibri" w:cs="calibri" w:eastAsia="calibri"/>
                      <w:sz w:val="19"/>
                    </w:rPr>
                    <w:t>1.</w:t>
                  </w:r>
                  <w:r>
                    <w:rPr>
                      <w:rFonts w:ascii="calibri" w:hAnsi="calibri" w:cs="calibri" w:eastAsia="calibri"/>
                      <w:sz w:val="19"/>
                    </w:rPr>
                    <w:t>6</w:t>
                  </w:r>
                  <w:r>
                    <w:rPr>
                      <w:rFonts w:ascii="宋体" w:hAnsi="宋体" w:cs="宋体" w:eastAsia="宋体"/>
                      <w:sz w:val="19"/>
                    </w:rPr>
                    <w:t>样品台移动重复精度：</w:t>
                  </w:r>
                  <w:r>
                    <w:rPr>
                      <w:rFonts w:ascii="宋体" w:hAnsi="宋体" w:cs="宋体" w:eastAsia="宋体"/>
                      <w:sz w:val="19"/>
                    </w:rPr>
                    <w:t>≤</w:t>
                  </w:r>
                  <w:r>
                    <w:rPr>
                      <w:rFonts w:ascii="calibri" w:hAnsi="calibri" w:cs="calibri" w:eastAsia="calibri"/>
                      <w:sz w:val="19"/>
                    </w:rPr>
                    <w:t>3</w:t>
                  </w:r>
                  <w:r>
                    <w:rPr>
                      <w:rFonts w:ascii="宋体" w:hAnsi="宋体" w:cs="宋体" w:eastAsia="宋体"/>
                      <w:sz w:val="19"/>
                    </w:rPr>
                    <w:t>微米；</w:t>
                  </w:r>
                </w:p>
                <w:p>
                  <w:pPr>
                    <w:pStyle w:val="null3"/>
                  </w:pPr>
                  <w:r>
                    <w:rPr>
                      <w:rFonts w:ascii="calibri" w:hAnsi="calibri" w:cs="calibri" w:eastAsia="calibri"/>
                      <w:sz w:val="19"/>
                    </w:rPr>
                    <w:t>1.</w:t>
                  </w:r>
                  <w:r>
                    <w:rPr>
                      <w:rFonts w:ascii="calibri" w:hAnsi="calibri" w:cs="calibri" w:eastAsia="calibri"/>
                      <w:sz w:val="19"/>
                    </w:rPr>
                    <w:t>7</w:t>
                  </w:r>
                  <w:r>
                    <w:rPr>
                      <w:rFonts w:ascii="宋体" w:hAnsi="宋体" w:cs="宋体" w:eastAsia="宋体"/>
                      <w:sz w:val="19"/>
                    </w:rPr>
                    <w:t>配高分辨背散射电子探测器，具有抽拉功能，方便热台正常使用；</w:t>
                  </w:r>
                </w:p>
                <w:p>
                  <w:pPr>
                    <w:pStyle w:val="null3"/>
                  </w:pPr>
                  <w:r>
                    <w:rPr>
                      <w:rFonts w:ascii="宋体" w:hAnsi="宋体" w:cs="宋体" w:eastAsia="宋体"/>
                      <w:sz w:val="19"/>
                    </w:rPr>
                    <w:t>▲</w:t>
                  </w:r>
                  <w:r>
                    <w:rPr>
                      <w:rFonts w:ascii="calibri" w:hAnsi="calibri" w:cs="calibri" w:eastAsia="calibri"/>
                      <w:sz w:val="19"/>
                    </w:rPr>
                    <w:t>1.</w:t>
                  </w:r>
                  <w:r>
                    <w:rPr>
                      <w:rFonts w:ascii="calibri" w:hAnsi="calibri" w:cs="calibri" w:eastAsia="calibri"/>
                      <w:sz w:val="19"/>
                    </w:rPr>
                    <w:t>8</w:t>
                  </w:r>
                  <w:r>
                    <w:rPr>
                      <w:rFonts w:ascii="宋体" w:hAnsi="宋体" w:cs="宋体" w:eastAsia="宋体"/>
                      <w:sz w:val="19"/>
                    </w:rPr>
                    <w:t>探针最小电流</w:t>
                  </w:r>
                  <w:r>
                    <w:rPr>
                      <w:rFonts w:ascii="宋体" w:hAnsi="宋体" w:cs="宋体" w:eastAsia="宋体"/>
                      <w:sz w:val="19"/>
                    </w:rPr>
                    <w:t>≤</w:t>
                  </w:r>
                  <w:r>
                    <w:rPr>
                      <w:rFonts w:ascii="calibri" w:hAnsi="calibri" w:cs="calibri" w:eastAsia="calibri"/>
                      <w:sz w:val="19"/>
                    </w:rPr>
                    <w:t>4</w:t>
                  </w:r>
                  <w:r>
                    <w:rPr>
                      <w:rFonts w:ascii="calibri" w:hAnsi="calibri" w:cs="calibri" w:eastAsia="calibri"/>
                      <w:sz w:val="19"/>
                    </w:rPr>
                    <w:t>pA</w:t>
                  </w:r>
                  <w:r>
                    <w:rPr>
                      <w:rFonts w:ascii="宋体" w:hAnsi="宋体" w:cs="宋体" w:eastAsia="宋体"/>
                      <w:sz w:val="19"/>
                    </w:rPr>
                    <w:t>。</w:t>
                  </w:r>
                </w:p>
                <w:p>
                  <w:pPr>
                    <w:pStyle w:val="null3"/>
                  </w:pPr>
                  <w:r>
                    <w:rPr>
                      <w:rFonts w:ascii="宋体" w:hAnsi="宋体" w:cs="宋体" w:eastAsia="宋体"/>
                      <w:sz w:val="19"/>
                    </w:rPr>
                    <w:t>▲</w:t>
                  </w:r>
                  <w:r>
                    <w:rPr>
                      <w:rFonts w:ascii="calibri" w:hAnsi="calibri" w:cs="calibri" w:eastAsia="calibri"/>
                      <w:sz w:val="19"/>
                    </w:rPr>
                    <w:t>1</w:t>
                  </w:r>
                  <w:r>
                    <w:rPr>
                      <w:rFonts w:ascii="calibri" w:hAnsi="calibri" w:cs="calibri" w:eastAsia="calibri"/>
                      <w:sz w:val="19"/>
                    </w:rPr>
                    <w:t>.</w:t>
                  </w:r>
                  <w:r>
                    <w:rPr>
                      <w:rFonts w:ascii="calibri" w:hAnsi="calibri" w:cs="calibri" w:eastAsia="calibri"/>
                      <w:sz w:val="19"/>
                    </w:rPr>
                    <w:t>9</w:t>
                  </w:r>
                  <w:r>
                    <w:rPr>
                      <w:rFonts w:ascii="宋体" w:hAnsi="宋体" w:cs="宋体" w:eastAsia="宋体"/>
                      <w:sz w:val="19"/>
                    </w:rPr>
                    <w:t>样品室：内部直径</w:t>
                  </w:r>
                  <w:r>
                    <w:rPr>
                      <w:rFonts w:ascii="calibri" w:hAnsi="calibri" w:cs="calibri" w:eastAsia="calibri"/>
                      <w:sz w:val="19"/>
                    </w:rPr>
                    <w:t>≥</w:t>
                  </w:r>
                  <w:r>
                    <w:rPr>
                      <w:rFonts w:ascii="calibri" w:hAnsi="calibri" w:cs="calibri" w:eastAsia="calibri"/>
                      <w:sz w:val="19"/>
                    </w:rPr>
                    <w:t>340mm</w:t>
                  </w:r>
                  <w:r>
                    <w:rPr>
                      <w:rFonts w:ascii="宋体" w:hAnsi="宋体" w:cs="宋体" w:eastAsia="宋体"/>
                      <w:sz w:val="19"/>
                    </w:rPr>
                    <w:t>，深度≥</w:t>
                  </w:r>
                  <w:r>
                    <w:rPr>
                      <w:rFonts w:ascii="calibri" w:hAnsi="calibri" w:cs="calibri" w:eastAsia="calibri"/>
                      <w:sz w:val="19"/>
                    </w:rPr>
                    <w:t>260mm</w:t>
                  </w:r>
                  <w:r>
                    <w:rPr>
                      <w:rFonts w:ascii="宋体" w:hAnsi="宋体" w:cs="宋体" w:eastAsia="宋体"/>
                      <w:sz w:val="19"/>
                    </w:rPr>
                    <w:t>，方便取放加热台</w:t>
                  </w:r>
                  <w:r>
                    <w:rPr>
                      <w:rFonts w:ascii="宋体" w:hAnsi="宋体" w:cs="宋体" w:eastAsia="宋体"/>
                      <w:sz w:val="19"/>
                    </w:rPr>
                    <w:t>，</w:t>
                  </w:r>
                  <w:r>
                    <w:rPr>
                      <w:rFonts w:ascii="宋体" w:hAnsi="宋体" w:cs="宋体" w:eastAsia="宋体"/>
                      <w:sz w:val="19"/>
                    </w:rPr>
                    <w:t>最大样品直径</w:t>
                  </w:r>
                  <w:r>
                    <w:rPr>
                      <w:rFonts w:ascii="宋体" w:hAnsi="宋体" w:cs="宋体" w:eastAsia="宋体"/>
                      <w:sz w:val="19"/>
                    </w:rPr>
                    <w:t>≥</w:t>
                  </w:r>
                  <w:r>
                    <w:rPr>
                      <w:rFonts w:ascii="calibri" w:hAnsi="calibri" w:cs="calibri" w:eastAsia="calibri"/>
                      <w:sz w:val="19"/>
                    </w:rPr>
                    <w:t>200mm</w:t>
                  </w:r>
                  <w:r>
                    <w:rPr>
                      <w:rFonts w:ascii="宋体" w:hAnsi="宋体" w:cs="宋体" w:eastAsia="宋体"/>
                      <w:sz w:val="19"/>
                    </w:rPr>
                    <w:t>；最大样品高度≥</w:t>
                  </w:r>
                  <w:r>
                    <w:rPr>
                      <w:rFonts w:ascii="calibri" w:hAnsi="calibri" w:cs="calibri" w:eastAsia="calibri"/>
                      <w:sz w:val="19"/>
                    </w:rPr>
                    <w:t>100mm</w:t>
                  </w:r>
                  <w:r>
                    <w:rPr>
                      <w:rFonts w:ascii="宋体" w:hAnsi="宋体" w:cs="宋体" w:eastAsia="宋体"/>
                      <w:sz w:val="19"/>
                    </w:rPr>
                    <w:t>；</w:t>
                  </w:r>
                </w:p>
                <w:p>
                  <w:pPr>
                    <w:pStyle w:val="null3"/>
                  </w:pPr>
                  <w:r>
                    <w:rPr>
                      <w:rFonts w:ascii="宋体" w:hAnsi="宋体" w:cs="宋体" w:eastAsia="宋体"/>
                      <w:sz w:val="19"/>
                    </w:rPr>
                    <w:t>▲</w:t>
                  </w:r>
                  <w:r>
                    <w:rPr>
                      <w:rFonts w:ascii="calibri" w:hAnsi="calibri" w:cs="calibri" w:eastAsia="calibri"/>
                      <w:sz w:val="19"/>
                    </w:rPr>
                    <w:t>1.10</w:t>
                  </w:r>
                  <w:r>
                    <w:rPr>
                      <w:rFonts w:ascii="宋体" w:hAnsi="宋体" w:cs="宋体" w:eastAsia="宋体"/>
                      <w:sz w:val="19"/>
                    </w:rPr>
                    <w:t>样品台：五轴优中心马达驱动样品台，移动最大范围指标：</w:t>
                  </w:r>
                  <w:r>
                    <w:rPr>
                      <w:rFonts w:ascii="calibri" w:hAnsi="calibri" w:cs="calibri" w:eastAsia="calibri"/>
                      <w:sz w:val="19"/>
                    </w:rPr>
                    <w:t>X</w:t>
                  </w:r>
                  <w:r>
                    <w:rPr>
                      <w:rFonts w:ascii="宋体" w:hAnsi="宋体" w:cs="宋体" w:eastAsia="宋体"/>
                      <w:sz w:val="19"/>
                    </w:rPr>
                    <w:t>≥</w:t>
                  </w:r>
                  <w:r>
                    <w:rPr>
                      <w:rFonts w:ascii="calibri" w:hAnsi="calibri" w:cs="calibri" w:eastAsia="calibri"/>
                      <w:sz w:val="19"/>
                    </w:rPr>
                    <w:t>110mm</w:t>
                  </w:r>
                  <w:r>
                    <w:rPr>
                      <w:rFonts w:ascii="宋体" w:hAnsi="宋体" w:cs="宋体" w:eastAsia="宋体"/>
                      <w:sz w:val="19"/>
                    </w:rPr>
                    <w:t>，</w:t>
                  </w:r>
                  <w:r>
                    <w:rPr>
                      <w:rFonts w:ascii="calibri" w:hAnsi="calibri" w:cs="calibri" w:eastAsia="calibri"/>
                      <w:sz w:val="19"/>
                    </w:rPr>
                    <w:t>Y</w:t>
                  </w:r>
                  <w:r>
                    <w:rPr>
                      <w:rFonts w:ascii="宋体" w:hAnsi="宋体" w:cs="宋体" w:eastAsia="宋体"/>
                      <w:sz w:val="19"/>
                    </w:rPr>
                    <w:t>≥</w:t>
                  </w:r>
                  <w:r>
                    <w:rPr>
                      <w:rFonts w:ascii="calibri" w:hAnsi="calibri" w:cs="calibri" w:eastAsia="calibri"/>
                      <w:sz w:val="19"/>
                    </w:rPr>
                    <w:t>110mm</w:t>
                  </w:r>
                  <w:r>
                    <w:rPr>
                      <w:rFonts w:ascii="宋体" w:hAnsi="宋体" w:cs="宋体" w:eastAsia="宋体"/>
                      <w:sz w:val="19"/>
                    </w:rPr>
                    <w:t>，</w:t>
                  </w:r>
                  <w:r>
                    <w:rPr>
                      <w:rFonts w:ascii="calibri" w:hAnsi="calibri" w:cs="calibri" w:eastAsia="calibri"/>
                      <w:sz w:val="19"/>
                    </w:rPr>
                    <w:t>Z</w:t>
                  </w:r>
                  <w:r>
                    <w:rPr>
                      <w:rFonts w:ascii="宋体" w:hAnsi="宋体" w:cs="宋体" w:eastAsia="宋体"/>
                      <w:sz w:val="19"/>
                    </w:rPr>
                    <w:t>≥</w:t>
                  </w:r>
                  <w:r>
                    <w:rPr>
                      <w:rFonts w:ascii="calibri" w:hAnsi="calibri" w:cs="calibri" w:eastAsia="calibri"/>
                      <w:sz w:val="19"/>
                    </w:rPr>
                    <w:t>50mm</w:t>
                  </w:r>
                  <w:r>
                    <w:rPr>
                      <w:rFonts w:ascii="宋体" w:hAnsi="宋体" w:cs="宋体" w:eastAsia="宋体"/>
                      <w:sz w:val="19"/>
                    </w:rPr>
                    <w:t>，双向倾斜，倾斜范围</w:t>
                  </w:r>
                  <w:r>
                    <w:rPr>
                      <w:rFonts w:ascii="calibri" w:hAnsi="calibri" w:cs="calibri" w:eastAsia="calibri"/>
                      <w:sz w:val="19"/>
                    </w:rPr>
                    <w:t>-10</w:t>
                  </w:r>
                  <w:r>
                    <w:rPr>
                      <w:rFonts w:ascii="宋体" w:hAnsi="宋体" w:cs="宋体" w:eastAsia="宋体"/>
                      <w:sz w:val="19"/>
                    </w:rPr>
                    <w:t>°</w:t>
                  </w:r>
                  <w:r>
                    <w:rPr>
                      <w:rFonts w:ascii="calibri" w:hAnsi="calibri" w:cs="calibri" w:eastAsia="calibri"/>
                      <w:sz w:val="19"/>
                    </w:rPr>
                    <w:t>~90</w:t>
                  </w:r>
                  <w:r>
                    <w:rPr>
                      <w:rFonts w:ascii="宋体" w:hAnsi="宋体" w:cs="宋体" w:eastAsia="宋体"/>
                      <w:sz w:val="19"/>
                    </w:rPr>
                    <w:t>°，旋转</w:t>
                  </w:r>
                  <w:r>
                    <w:rPr>
                      <w:rFonts w:ascii="calibri" w:hAnsi="calibri" w:cs="calibri" w:eastAsia="calibri"/>
                      <w:sz w:val="19"/>
                    </w:rPr>
                    <w:t>=360</w:t>
                  </w:r>
                  <w:r>
                    <w:rPr>
                      <w:rFonts w:ascii="宋体" w:hAnsi="宋体" w:cs="宋体" w:eastAsia="宋体"/>
                      <w:sz w:val="19"/>
                    </w:rPr>
                    <w:t>°（连续旋转）</w:t>
                  </w:r>
                  <w:r>
                    <w:rPr>
                      <w:rFonts w:ascii="宋体" w:hAnsi="宋体" w:cs="宋体" w:eastAsia="宋体"/>
                      <w:sz w:val="19"/>
                    </w:rPr>
                    <w:t>，</w:t>
                  </w:r>
                  <w:r>
                    <w:rPr>
                      <w:rFonts w:ascii="宋体" w:hAnsi="宋体" w:cs="宋体" w:eastAsia="宋体"/>
                      <w:sz w:val="19"/>
                    </w:rPr>
                    <w:t>样品重量</w:t>
                  </w:r>
                  <w:r>
                    <w:rPr>
                      <w:rFonts w:ascii="宋体" w:hAnsi="宋体" w:cs="宋体" w:eastAsia="宋体"/>
                      <w:sz w:val="19"/>
                    </w:rPr>
                    <w:t>≥</w:t>
                  </w:r>
                  <w:r>
                    <w:rPr>
                      <w:rFonts w:ascii="calibri" w:hAnsi="calibri" w:cs="calibri" w:eastAsia="calibri"/>
                      <w:sz w:val="19"/>
                    </w:rPr>
                    <w:t>5kg</w:t>
                  </w:r>
                  <w:r>
                    <w:rPr>
                      <w:rFonts w:ascii="宋体" w:hAnsi="宋体" w:cs="宋体" w:eastAsia="宋体"/>
                      <w:sz w:val="19"/>
                    </w:rPr>
                    <w:t>；</w:t>
                  </w:r>
                </w:p>
                <w:p>
                  <w:pPr>
                    <w:pStyle w:val="null3"/>
                  </w:pPr>
                  <w:r>
                    <w:rPr>
                      <w:rFonts w:ascii="calibri" w:hAnsi="calibri" w:cs="calibri" w:eastAsia="calibri"/>
                      <w:sz w:val="19"/>
                    </w:rPr>
                    <w:t>1.11</w:t>
                  </w:r>
                  <w:r>
                    <w:rPr>
                      <w:rFonts w:ascii="宋体" w:hAnsi="宋体" w:cs="宋体" w:eastAsia="宋体"/>
                      <w:sz w:val="19"/>
                    </w:rPr>
                    <w:t>配置双摇杆马达台控制系统及多功能旋钮操作控制面板，可和软件一样实现调节聚焦、消象散、亮度、对比度、放大倍数、电子束位移、光阑对中、扫描速度、样品室红外</w:t>
                  </w:r>
                  <w:r>
                    <w:rPr>
                      <w:rFonts w:ascii="calibri" w:hAnsi="calibri" w:cs="calibri" w:eastAsia="calibri"/>
                      <w:sz w:val="19"/>
                    </w:rPr>
                    <w:t>CCD</w:t>
                  </w:r>
                  <w:r>
                    <w:rPr>
                      <w:rFonts w:ascii="宋体" w:hAnsi="宋体" w:cs="宋体" w:eastAsia="宋体"/>
                      <w:sz w:val="19"/>
                    </w:rPr>
                    <w:t>界面切换等功能；</w:t>
                  </w:r>
                </w:p>
                <w:p>
                  <w:pPr>
                    <w:pStyle w:val="null3"/>
                  </w:pPr>
                  <w:r>
                    <w:rPr>
                      <w:rFonts w:ascii="宋体" w:hAnsi="宋体" w:cs="宋体" w:eastAsia="宋体"/>
                      <w:sz w:val="19"/>
                    </w:rPr>
                    <w:t>▲</w:t>
                  </w:r>
                  <w:r>
                    <w:rPr>
                      <w:rFonts w:ascii="calibri" w:hAnsi="calibri" w:cs="calibri" w:eastAsia="calibri"/>
                      <w:sz w:val="19"/>
                    </w:rPr>
                    <w:t>1.12</w:t>
                  </w:r>
                  <w:r>
                    <w:rPr>
                      <w:rFonts w:ascii="宋体" w:hAnsi="宋体" w:cs="宋体" w:eastAsia="宋体"/>
                      <w:sz w:val="19"/>
                    </w:rPr>
                    <w:t>样品室配置能谱仪硬件接口和智能通讯接口，能谱仪取出角为</w:t>
                  </w:r>
                  <w:r>
                    <w:rPr>
                      <w:rFonts w:ascii="calibri" w:hAnsi="calibri" w:cs="calibri" w:eastAsia="calibri"/>
                      <w:sz w:val="19"/>
                    </w:rPr>
                    <w:t>35</w:t>
                  </w:r>
                  <w:r>
                    <w:rPr>
                      <w:rFonts w:ascii="宋体" w:hAnsi="宋体" w:cs="宋体" w:eastAsia="宋体"/>
                      <w:sz w:val="19"/>
                    </w:rPr>
                    <w:t>º时，最佳分析工作距离≤</w:t>
                  </w:r>
                  <w:r>
                    <w:rPr>
                      <w:rFonts w:ascii="calibri" w:hAnsi="calibri" w:cs="calibri" w:eastAsia="calibri"/>
                      <w:sz w:val="19"/>
                    </w:rPr>
                    <w:t>9mm</w:t>
                  </w:r>
                  <w:r>
                    <w:rPr>
                      <w:rFonts w:ascii="宋体" w:hAnsi="宋体" w:cs="宋体" w:eastAsia="宋体"/>
                      <w:sz w:val="19"/>
                    </w:rPr>
                    <w:t>；</w:t>
                  </w:r>
                </w:p>
                <w:p>
                  <w:pPr>
                    <w:pStyle w:val="null3"/>
                  </w:pPr>
                  <w:r>
                    <w:rPr>
                      <w:rFonts w:ascii="calibri" w:hAnsi="calibri" w:cs="calibri" w:eastAsia="calibri"/>
                      <w:sz w:val="19"/>
                    </w:rPr>
                    <w:t>1.13</w:t>
                  </w:r>
                  <w:r>
                    <w:rPr>
                      <w:rFonts w:ascii="宋体" w:hAnsi="宋体" w:cs="宋体" w:eastAsia="宋体"/>
                      <w:sz w:val="19"/>
                    </w:rPr>
                    <w:t>除样品室内红外</w:t>
                  </w:r>
                  <w:r>
                    <w:rPr>
                      <w:rFonts w:ascii="calibri" w:hAnsi="calibri" w:cs="calibri" w:eastAsia="calibri"/>
                      <w:sz w:val="19"/>
                    </w:rPr>
                    <w:t>CCD</w:t>
                  </w:r>
                  <w:r>
                    <w:rPr>
                      <w:rFonts w:ascii="宋体" w:hAnsi="宋体" w:cs="宋体" w:eastAsia="宋体"/>
                      <w:sz w:val="19"/>
                    </w:rPr>
                    <w:t>相机外，后续可升级安装于样品室仓门上的导航相机，提高实验观测效率；</w:t>
                  </w:r>
                </w:p>
                <w:p>
                  <w:pPr>
                    <w:pStyle w:val="null3"/>
                  </w:pPr>
                  <w:r>
                    <w:rPr>
                      <w:rFonts w:ascii="宋体" w:hAnsi="宋体" w:cs="宋体" w:eastAsia="宋体"/>
                      <w:sz w:val="19"/>
                    </w:rPr>
                    <w:t>▲</w:t>
                  </w:r>
                  <w:r>
                    <w:rPr>
                      <w:rFonts w:ascii="calibri" w:hAnsi="calibri" w:cs="calibri" w:eastAsia="calibri"/>
                      <w:sz w:val="19"/>
                    </w:rPr>
                    <w:t>1.14</w:t>
                  </w:r>
                  <w:r>
                    <w:rPr>
                      <w:rFonts w:ascii="宋体" w:hAnsi="宋体" w:cs="宋体" w:eastAsia="宋体"/>
                      <w:sz w:val="19"/>
                    </w:rPr>
                    <w:t>图像扫描：单幅图像（非拼图）扫描存储分辨率</w:t>
                  </w:r>
                  <w:r>
                    <w:rPr>
                      <w:rFonts w:ascii="calibri" w:hAnsi="calibri" w:cs="calibri" w:eastAsia="calibri"/>
                      <w:sz w:val="19"/>
                    </w:rPr>
                    <w:t>≥</w:t>
                  </w:r>
                  <w:r>
                    <w:rPr>
                      <w:rFonts w:ascii="calibri" w:hAnsi="calibri" w:cs="calibri" w:eastAsia="calibri"/>
                      <w:sz w:val="19"/>
                    </w:rPr>
                    <w:t>32k</w:t>
                  </w:r>
                  <w:r>
                    <w:rPr>
                      <w:rFonts w:ascii="宋体" w:hAnsi="宋体" w:cs="宋体" w:eastAsia="宋体"/>
                      <w:sz w:val="19"/>
                    </w:rPr>
                    <w:t>×</w:t>
                  </w:r>
                  <w:r>
                    <w:rPr>
                      <w:rFonts w:ascii="calibri" w:hAnsi="calibri" w:cs="calibri" w:eastAsia="calibri"/>
                      <w:sz w:val="19"/>
                    </w:rPr>
                    <w:t>24k</w:t>
                  </w:r>
                  <w:r>
                    <w:rPr>
                      <w:rFonts w:ascii="宋体" w:hAnsi="宋体" w:cs="宋体" w:eastAsia="宋体"/>
                      <w:sz w:val="19"/>
                    </w:rPr>
                    <w:t>像素；</w:t>
                  </w:r>
                </w:p>
                <w:p>
                  <w:pPr>
                    <w:pStyle w:val="null3"/>
                  </w:pPr>
                  <w:r>
                    <w:rPr>
                      <w:rFonts w:ascii="宋体" w:hAnsi="宋体" w:cs="宋体" w:eastAsia="宋体"/>
                      <w:sz w:val="19"/>
                    </w:rPr>
                    <w:t>▲</w:t>
                  </w:r>
                  <w:r>
                    <w:rPr>
                      <w:rFonts w:ascii="calibri" w:hAnsi="calibri" w:cs="calibri" w:eastAsia="calibri"/>
                      <w:sz w:val="19"/>
                    </w:rPr>
                    <w:t>1.15</w:t>
                  </w:r>
                  <w:r>
                    <w:rPr>
                      <w:rFonts w:ascii="宋体" w:hAnsi="宋体" w:cs="宋体" w:eastAsia="宋体"/>
                      <w:sz w:val="19"/>
                    </w:rPr>
                    <w:t>具有全自动拍摄功能，即自动移动到设定位置、自动聚焦、自动消像散、自动调节放大倍率，拍摄后自动保存等功能</w:t>
                  </w:r>
                  <w:r>
                    <w:rPr>
                      <w:rFonts w:ascii="宋体" w:hAnsi="宋体" w:cs="宋体" w:eastAsia="宋体"/>
                      <w:sz w:val="19"/>
                    </w:rPr>
                    <w:t>，可实现无人值守拍摄</w:t>
                  </w:r>
                  <w:r>
                    <w:rPr>
                      <w:rFonts w:ascii="宋体" w:hAnsi="宋体" w:cs="宋体" w:eastAsia="宋体"/>
                      <w:sz w:val="19"/>
                    </w:rPr>
                    <w:t>。</w:t>
                  </w:r>
                </w:p>
                <w:p>
                  <w:pPr>
                    <w:pStyle w:val="null3"/>
                  </w:pPr>
                </w:p>
              </w:tc>
            </w:tr>
            <w:tr>
              <w:tc>
                <w:tcPr>
                  <w:tcW w:type="dxa" w:w="3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calibri" w:hAnsi="calibri" w:cs="calibri" w:eastAsia="calibri"/>
                      <w:sz w:val="19"/>
                    </w:rPr>
                    <w:t>X</w:t>
                  </w:r>
                  <w:r>
                    <w:rPr>
                      <w:rFonts w:ascii="宋体" w:hAnsi="宋体" w:cs="宋体" w:eastAsia="宋体"/>
                      <w:sz w:val="19"/>
                    </w:rPr>
                    <w:t>射线</w:t>
                  </w:r>
                  <w:r>
                    <w:rPr>
                      <w:rFonts w:ascii="宋体" w:hAnsi="宋体" w:cs="宋体" w:eastAsia="宋体"/>
                      <w:sz w:val="19"/>
                    </w:rPr>
                    <w:t>能谱仪</w:t>
                  </w:r>
                </w:p>
              </w:tc>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19"/>
                    </w:rPr>
                    <w:t>2</w:t>
                  </w:r>
                </w:p>
              </w:tc>
              <w:tc>
                <w:tcPr>
                  <w:tcW w:type="dxa" w:w="18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calibri" w:hAnsi="calibri" w:cs="calibri" w:eastAsia="calibri"/>
                      <w:sz w:val="19"/>
                    </w:rPr>
                    <w:t>2</w:t>
                  </w:r>
                  <w:r>
                    <w:rPr>
                      <w:rFonts w:ascii="calibri" w:hAnsi="calibri" w:cs="calibri" w:eastAsia="calibri"/>
                      <w:sz w:val="19"/>
                    </w:rPr>
                    <w:t>.1</w:t>
                  </w:r>
                  <w:r>
                    <w:rPr>
                      <w:rFonts w:ascii="宋体" w:hAnsi="宋体" w:cs="宋体" w:eastAsia="宋体"/>
                      <w:sz w:val="19"/>
                    </w:rPr>
                    <w:t>探测器：分析型</w:t>
                  </w:r>
                  <w:r>
                    <w:rPr>
                      <w:rFonts w:ascii="calibri" w:hAnsi="calibri" w:cs="calibri" w:eastAsia="calibri"/>
                      <w:sz w:val="19"/>
                    </w:rPr>
                    <w:t>SDD</w:t>
                  </w:r>
                  <w:r>
                    <w:rPr>
                      <w:rFonts w:ascii="宋体" w:hAnsi="宋体" w:cs="宋体" w:eastAsia="宋体"/>
                      <w:sz w:val="19"/>
                    </w:rPr>
                    <w:t>硅漂移电制冷探测器，有效面积</w:t>
                  </w:r>
                  <w:r>
                    <w:rPr>
                      <w:rFonts w:ascii="calibri" w:hAnsi="calibri" w:cs="calibri" w:eastAsia="calibri"/>
                      <w:sz w:val="19"/>
                    </w:rPr>
                    <w:t>65</w:t>
                  </w:r>
                  <w:r>
                    <w:rPr>
                      <w:rFonts w:ascii="calibri" w:hAnsi="calibri" w:cs="calibri" w:eastAsia="calibri"/>
                      <w:sz w:val="19"/>
                    </w:rPr>
                    <w:t>m</w:t>
                  </w:r>
                  <w:r>
                    <w:rPr>
                      <w:rFonts w:ascii="calibri" w:hAnsi="calibri" w:cs="calibri" w:eastAsia="calibri"/>
                      <w:sz w:val="19"/>
                    </w:rPr>
                    <w:t>m</w:t>
                  </w:r>
                  <w:r>
                    <w:rPr>
                      <w:rFonts w:ascii="calibri" w:hAnsi="calibri" w:cs="calibri" w:eastAsia="calibri"/>
                      <w:sz w:val="19"/>
                      <w:vertAlign w:val="superscript"/>
                    </w:rPr>
                    <w:t>2</w:t>
                  </w:r>
                  <w:r>
                    <w:rPr>
                      <w:rFonts w:ascii="宋体" w:hAnsi="宋体" w:cs="宋体" w:eastAsia="宋体"/>
                      <w:sz w:val="19"/>
                    </w:rPr>
                    <w:t>，高分子超薄窗。</w:t>
                  </w:r>
                </w:p>
                <w:p>
                  <w:pPr>
                    <w:pStyle w:val="null3"/>
                  </w:pPr>
                  <w:r>
                    <w:rPr>
                      <w:rFonts w:ascii="calibri" w:hAnsi="calibri" w:cs="calibri" w:eastAsia="calibri"/>
                      <w:sz w:val="19"/>
                    </w:rPr>
                    <w:t>2</w:t>
                  </w:r>
                  <w:r>
                    <w:rPr>
                      <w:rFonts w:ascii="calibri" w:hAnsi="calibri" w:cs="calibri" w:eastAsia="calibri"/>
                      <w:sz w:val="19"/>
                    </w:rPr>
                    <w:t>.2</w:t>
                  </w:r>
                  <w:r>
                    <w:rPr>
                      <w:rFonts w:ascii="宋体" w:hAnsi="宋体" w:cs="宋体" w:eastAsia="宋体"/>
                      <w:sz w:val="19"/>
                    </w:rPr>
                    <w:t>封闭式真空系统，无需借助</w:t>
                  </w:r>
                  <w:r>
                    <w:rPr>
                      <w:rFonts w:ascii="calibri" w:hAnsi="calibri" w:cs="calibri" w:eastAsia="calibri"/>
                      <w:sz w:val="19"/>
                    </w:rPr>
                    <w:t>SEM</w:t>
                  </w:r>
                  <w:r>
                    <w:rPr>
                      <w:rFonts w:ascii="宋体" w:hAnsi="宋体" w:cs="宋体" w:eastAsia="宋体"/>
                      <w:sz w:val="19"/>
                    </w:rPr>
                    <w:t>抽放真空。</w:t>
                  </w:r>
                </w:p>
                <w:p>
                  <w:pPr>
                    <w:pStyle w:val="null3"/>
                  </w:pPr>
                  <w:r>
                    <w:rPr>
                      <w:rFonts w:ascii="calibri" w:hAnsi="calibri" w:cs="calibri" w:eastAsia="calibri"/>
                      <w:sz w:val="19"/>
                    </w:rPr>
                    <w:t>2</w:t>
                  </w:r>
                  <w:r>
                    <w:rPr>
                      <w:rFonts w:ascii="calibri" w:hAnsi="calibri" w:cs="calibri" w:eastAsia="calibri"/>
                      <w:sz w:val="19"/>
                    </w:rPr>
                    <w:t>.3</w:t>
                  </w:r>
                  <w:r>
                    <w:rPr>
                      <w:rFonts w:ascii="宋体" w:hAnsi="宋体" w:cs="宋体" w:eastAsia="宋体"/>
                      <w:sz w:val="19"/>
                    </w:rPr>
                    <w:t>能量分辨率：</w:t>
                  </w:r>
                </w:p>
                <w:p>
                  <w:pPr>
                    <w:pStyle w:val="null3"/>
                  </w:pPr>
                  <w:r>
                    <w:rPr>
                      <w:rFonts w:ascii="calibri" w:hAnsi="calibri" w:cs="calibri" w:eastAsia="calibri"/>
                      <w:sz w:val="19"/>
                    </w:rPr>
                    <w:t>Mn Ka</w:t>
                  </w:r>
                  <w:r>
                    <w:rPr>
                      <w:rFonts w:ascii="宋体" w:hAnsi="宋体" w:cs="宋体" w:eastAsia="宋体"/>
                      <w:sz w:val="19"/>
                    </w:rPr>
                    <w:t>≥</w:t>
                  </w:r>
                  <w:r>
                    <w:rPr>
                      <w:rFonts w:ascii="calibri" w:hAnsi="calibri" w:cs="calibri" w:eastAsia="calibri"/>
                      <w:sz w:val="19"/>
                    </w:rPr>
                    <w:t>127eV</w:t>
                  </w:r>
                  <w:r>
                    <w:rPr>
                      <w:rFonts w:ascii="宋体" w:hAnsi="宋体" w:cs="宋体" w:eastAsia="宋体"/>
                      <w:sz w:val="19"/>
                    </w:rPr>
                    <w:t>（</w:t>
                  </w:r>
                  <w:r>
                    <w:rPr>
                      <w:rFonts w:ascii="calibri" w:hAnsi="calibri" w:cs="calibri" w:eastAsia="calibri"/>
                      <w:sz w:val="19"/>
                    </w:rPr>
                    <w:t>@</w:t>
                  </w:r>
                  <w:r>
                    <w:rPr>
                      <w:rFonts w:ascii="宋体" w:hAnsi="宋体" w:cs="宋体" w:eastAsia="宋体"/>
                      <w:sz w:val="19"/>
                    </w:rPr>
                    <w:t>计数率</w:t>
                  </w:r>
                  <w:r>
                    <w:rPr>
                      <w:rFonts w:ascii="calibri" w:hAnsi="calibri" w:cs="calibri" w:eastAsia="calibri"/>
                      <w:sz w:val="19"/>
                    </w:rPr>
                    <w:t>130,000cps</w:t>
                  </w:r>
                  <w:r>
                    <w:rPr>
                      <w:rFonts w:ascii="宋体" w:hAnsi="宋体" w:cs="宋体" w:eastAsia="宋体"/>
                      <w:sz w:val="19"/>
                    </w:rPr>
                    <w:t>）；</w:t>
                  </w:r>
                </w:p>
                <w:p>
                  <w:pPr>
                    <w:pStyle w:val="null3"/>
                  </w:pPr>
                  <w:r>
                    <w:rPr>
                      <w:rFonts w:ascii="calibri" w:hAnsi="calibri" w:cs="calibri" w:eastAsia="calibri"/>
                      <w:sz w:val="19"/>
                    </w:rPr>
                    <w:t>F</w:t>
                  </w:r>
                  <w:r>
                    <w:rPr>
                      <w:rFonts w:ascii="&quot;times new roman&quot;" w:hAnsi="&quot;times new roman&quot;" w:cs="&quot;times new roman&quot;" w:eastAsia="&quot;times new roman&quot;"/>
                      <w:sz w:val="19"/>
                    </w:rPr>
                    <w:t xml:space="preserve"> </w:t>
                  </w:r>
                  <w:r>
                    <w:rPr>
                      <w:rFonts w:ascii="calibri" w:hAnsi="calibri" w:cs="calibri" w:eastAsia="calibri"/>
                      <w:sz w:val="19"/>
                    </w:rPr>
                    <w:t>Ka</w:t>
                  </w:r>
                  <w:r>
                    <w:rPr>
                      <w:rFonts w:ascii="宋体" w:hAnsi="宋体" w:cs="宋体" w:eastAsia="宋体"/>
                      <w:sz w:val="19"/>
                    </w:rPr>
                    <w:t>≥</w:t>
                  </w:r>
                  <w:r>
                    <w:rPr>
                      <w:rFonts w:ascii="calibri" w:hAnsi="calibri" w:cs="calibri" w:eastAsia="calibri"/>
                      <w:sz w:val="19"/>
                    </w:rPr>
                    <w:t>64eV</w:t>
                  </w:r>
                  <w:r>
                    <w:rPr>
                      <w:rFonts w:ascii="宋体" w:hAnsi="宋体" w:cs="宋体" w:eastAsia="宋体"/>
                      <w:sz w:val="19"/>
                    </w:rPr>
                    <w:t>（</w:t>
                  </w:r>
                  <w:r>
                    <w:rPr>
                      <w:rFonts w:ascii="calibri" w:hAnsi="calibri" w:cs="calibri" w:eastAsia="calibri"/>
                      <w:sz w:val="19"/>
                    </w:rPr>
                    <w:t>@</w:t>
                  </w:r>
                  <w:r>
                    <w:rPr>
                      <w:rFonts w:ascii="宋体" w:hAnsi="宋体" w:cs="宋体" w:eastAsia="宋体"/>
                      <w:sz w:val="19"/>
                    </w:rPr>
                    <w:t>计数率</w:t>
                  </w:r>
                  <w:r>
                    <w:rPr>
                      <w:rFonts w:ascii="calibri" w:hAnsi="calibri" w:cs="calibri" w:eastAsia="calibri"/>
                      <w:sz w:val="19"/>
                    </w:rPr>
                    <w:t>130,000cps</w:t>
                  </w:r>
                  <w:r>
                    <w:rPr>
                      <w:rFonts w:ascii="宋体" w:hAnsi="宋体" w:cs="宋体" w:eastAsia="宋体"/>
                      <w:sz w:val="19"/>
                    </w:rPr>
                    <w:t>）；</w:t>
                  </w:r>
                </w:p>
                <w:p>
                  <w:pPr>
                    <w:pStyle w:val="null3"/>
                  </w:pPr>
                  <w:r>
                    <w:rPr>
                      <w:rFonts w:ascii="calibri" w:hAnsi="calibri" w:cs="calibri" w:eastAsia="calibri"/>
                      <w:sz w:val="19"/>
                    </w:rPr>
                    <w:t>C</w:t>
                  </w:r>
                  <w:r>
                    <w:rPr>
                      <w:rFonts w:ascii="&quot;times new roman&quot;" w:hAnsi="&quot;times new roman&quot;" w:cs="&quot;times new roman&quot;" w:eastAsia="&quot;times new roman&quot;"/>
                      <w:sz w:val="19"/>
                    </w:rPr>
                    <w:t xml:space="preserve"> </w:t>
                  </w:r>
                  <w:r>
                    <w:rPr>
                      <w:rFonts w:ascii="calibri" w:hAnsi="calibri" w:cs="calibri" w:eastAsia="calibri"/>
                      <w:sz w:val="19"/>
                    </w:rPr>
                    <w:t>Ka</w:t>
                  </w:r>
                  <w:r>
                    <w:rPr>
                      <w:rFonts w:ascii="宋体" w:hAnsi="宋体" w:cs="宋体" w:eastAsia="宋体"/>
                      <w:sz w:val="19"/>
                    </w:rPr>
                    <w:t>≥</w:t>
                  </w:r>
                  <w:r>
                    <w:rPr>
                      <w:rFonts w:ascii="calibri" w:hAnsi="calibri" w:cs="calibri" w:eastAsia="calibri"/>
                      <w:sz w:val="19"/>
                    </w:rPr>
                    <w:t>56eV</w:t>
                  </w:r>
                  <w:r>
                    <w:rPr>
                      <w:rFonts w:ascii="宋体" w:hAnsi="宋体" w:cs="宋体" w:eastAsia="宋体"/>
                      <w:sz w:val="19"/>
                    </w:rPr>
                    <w:t>（</w:t>
                  </w:r>
                  <w:r>
                    <w:rPr>
                      <w:rFonts w:ascii="calibri" w:hAnsi="calibri" w:cs="calibri" w:eastAsia="calibri"/>
                      <w:sz w:val="19"/>
                    </w:rPr>
                    <w:t>@</w:t>
                  </w:r>
                  <w:r>
                    <w:rPr>
                      <w:rFonts w:ascii="宋体" w:hAnsi="宋体" w:cs="宋体" w:eastAsia="宋体"/>
                      <w:sz w:val="19"/>
                    </w:rPr>
                    <w:t>计数率</w:t>
                  </w:r>
                  <w:r>
                    <w:rPr>
                      <w:rFonts w:ascii="calibri" w:hAnsi="calibri" w:cs="calibri" w:eastAsia="calibri"/>
                      <w:sz w:val="19"/>
                    </w:rPr>
                    <w:t>130,000cps</w:t>
                  </w:r>
                  <w:r>
                    <w:rPr>
                      <w:rFonts w:ascii="宋体" w:hAnsi="宋体" w:cs="宋体" w:eastAsia="宋体"/>
                      <w:sz w:val="19"/>
                    </w:rPr>
                    <w:t>）；</w:t>
                  </w:r>
                </w:p>
                <w:p>
                  <w:pPr>
                    <w:pStyle w:val="null3"/>
                  </w:pPr>
                  <w:r>
                    <w:rPr>
                      <w:rFonts w:ascii="宋体" w:hAnsi="宋体" w:cs="宋体" w:eastAsia="宋体"/>
                      <w:sz w:val="19"/>
                    </w:rPr>
                    <w:t>符合</w:t>
                  </w:r>
                  <w:r>
                    <w:rPr>
                      <w:rFonts w:ascii="calibri" w:hAnsi="calibri" w:cs="calibri" w:eastAsia="calibri"/>
                      <w:sz w:val="19"/>
                    </w:rPr>
                    <w:t>ISO 15632:2012</w:t>
                  </w:r>
                  <w:r>
                    <w:rPr>
                      <w:rFonts w:ascii="宋体" w:hAnsi="宋体" w:cs="宋体" w:eastAsia="宋体"/>
                      <w:sz w:val="19"/>
                    </w:rPr>
                    <w:t>标准。</w:t>
                  </w:r>
                </w:p>
                <w:p>
                  <w:pPr>
                    <w:pStyle w:val="null3"/>
                  </w:pPr>
                  <w:r>
                    <w:rPr>
                      <w:rFonts w:ascii="calibri" w:hAnsi="calibri" w:cs="calibri" w:eastAsia="calibri"/>
                      <w:sz w:val="19"/>
                    </w:rPr>
                    <w:t>2</w:t>
                  </w:r>
                  <w:r>
                    <w:rPr>
                      <w:rFonts w:ascii="calibri" w:hAnsi="calibri" w:cs="calibri" w:eastAsia="calibri"/>
                      <w:sz w:val="19"/>
                    </w:rPr>
                    <w:t>.4</w:t>
                  </w:r>
                  <w:r>
                    <w:rPr>
                      <w:rFonts w:ascii="宋体" w:hAnsi="宋体" w:cs="宋体" w:eastAsia="宋体"/>
                      <w:sz w:val="19"/>
                    </w:rPr>
                    <w:t>元素分析范围：</w:t>
                  </w:r>
                  <w:r>
                    <w:rPr>
                      <w:rFonts w:ascii="calibri" w:hAnsi="calibri" w:cs="calibri" w:eastAsia="calibri"/>
                      <w:sz w:val="19"/>
                    </w:rPr>
                    <w:t>Be4</w:t>
                  </w:r>
                  <w:r>
                    <w:rPr>
                      <w:rFonts w:ascii="宋体" w:hAnsi="宋体" w:cs="宋体" w:eastAsia="宋体"/>
                      <w:sz w:val="19"/>
                    </w:rPr>
                    <w:t>～</w:t>
                  </w:r>
                  <w:r>
                    <w:rPr>
                      <w:rFonts w:ascii="calibri" w:hAnsi="calibri" w:cs="calibri" w:eastAsia="calibri"/>
                      <w:sz w:val="19"/>
                    </w:rPr>
                    <w:t>Cf98</w:t>
                  </w:r>
                  <w:r>
                    <w:rPr>
                      <w:rFonts w:ascii="宋体" w:hAnsi="宋体" w:cs="宋体" w:eastAsia="宋体"/>
                      <w:sz w:val="19"/>
                    </w:rPr>
                    <w:t>。</w:t>
                  </w:r>
                </w:p>
                <w:p>
                  <w:pPr>
                    <w:pStyle w:val="null3"/>
                  </w:pPr>
                  <w:r>
                    <w:rPr>
                      <w:rFonts w:ascii="calibri" w:hAnsi="calibri" w:cs="calibri" w:eastAsia="calibri"/>
                      <w:sz w:val="19"/>
                    </w:rPr>
                    <w:t>2</w:t>
                  </w:r>
                  <w:r>
                    <w:rPr>
                      <w:rFonts w:ascii="calibri" w:hAnsi="calibri" w:cs="calibri" w:eastAsia="calibri"/>
                      <w:sz w:val="19"/>
                    </w:rPr>
                    <w:t>.5</w:t>
                  </w:r>
                  <w:r>
                    <w:rPr>
                      <w:rFonts w:ascii="宋体" w:hAnsi="宋体" w:cs="宋体" w:eastAsia="宋体"/>
                      <w:sz w:val="19"/>
                    </w:rPr>
                    <w:t>探测器可软件控制自动伸缩。</w:t>
                  </w:r>
                </w:p>
                <w:p>
                  <w:pPr>
                    <w:pStyle w:val="null3"/>
                  </w:pPr>
                  <w:r>
                    <w:rPr>
                      <w:rFonts w:ascii="calibri" w:hAnsi="calibri" w:cs="calibri" w:eastAsia="calibri"/>
                      <w:sz w:val="19"/>
                    </w:rPr>
                    <w:t>2</w:t>
                  </w:r>
                  <w:r>
                    <w:rPr>
                      <w:rFonts w:ascii="calibri" w:hAnsi="calibri" w:cs="calibri" w:eastAsia="calibri"/>
                      <w:sz w:val="19"/>
                    </w:rPr>
                    <w:t>.6</w:t>
                  </w:r>
                  <w:r>
                    <w:rPr>
                      <w:rFonts w:ascii="宋体" w:hAnsi="宋体" w:cs="宋体" w:eastAsia="宋体"/>
                      <w:sz w:val="19"/>
                    </w:rPr>
                    <w:t>具备元素图谱</w:t>
                  </w:r>
                  <w:r>
                    <w:rPr>
                      <w:rFonts w:ascii="calibri" w:hAnsi="calibri" w:cs="calibri" w:eastAsia="calibri"/>
                      <w:sz w:val="19"/>
                    </w:rPr>
                    <w:t>spectrum Live</w:t>
                  </w:r>
                  <w:r>
                    <w:rPr>
                      <w:rFonts w:ascii="宋体" w:hAnsi="宋体" w:cs="宋体" w:eastAsia="宋体"/>
                      <w:sz w:val="19"/>
                    </w:rPr>
                    <w:t>实时刷新显示功能：可实时观测样品区域变化或者形态转变时，谱图</w:t>
                  </w:r>
                  <w:r>
                    <w:rPr>
                      <w:rFonts w:ascii="calibri" w:hAnsi="calibri" w:cs="calibri" w:eastAsia="calibri"/>
                      <w:sz w:val="19"/>
                    </w:rPr>
                    <w:t>spectrum</w:t>
                  </w:r>
                  <w:r>
                    <w:rPr>
                      <w:rFonts w:ascii="宋体" w:hAnsi="宋体" w:cs="宋体" w:eastAsia="宋体"/>
                      <w:sz w:val="19"/>
                    </w:rPr>
                    <w:t>的动态变化过程。</w:t>
                  </w:r>
                </w:p>
                <w:p>
                  <w:pPr>
                    <w:pStyle w:val="null3"/>
                  </w:pPr>
                  <w:r>
                    <w:rPr>
                      <w:rFonts w:ascii="calibri" w:hAnsi="calibri" w:cs="calibri" w:eastAsia="calibri"/>
                      <w:sz w:val="19"/>
                    </w:rPr>
                    <w:t>2</w:t>
                  </w:r>
                  <w:r>
                    <w:rPr>
                      <w:rFonts w:ascii="calibri" w:hAnsi="calibri" w:cs="calibri" w:eastAsia="calibri"/>
                      <w:sz w:val="19"/>
                    </w:rPr>
                    <w:t>.7</w:t>
                  </w:r>
                  <w:r>
                    <w:rPr>
                      <w:rFonts w:ascii="宋体" w:hAnsi="宋体" w:cs="宋体" w:eastAsia="宋体"/>
                      <w:sz w:val="19"/>
                    </w:rPr>
                    <w:t>具备元素面分布</w:t>
                  </w:r>
                  <w:r>
                    <w:rPr>
                      <w:rFonts w:ascii="calibri" w:hAnsi="calibri" w:cs="calibri" w:eastAsia="calibri"/>
                      <w:sz w:val="19"/>
                    </w:rPr>
                    <w:t>Live</w:t>
                  </w:r>
                  <w:r>
                    <w:rPr>
                      <w:rFonts w:ascii="宋体" w:hAnsi="宋体" w:cs="宋体" w:eastAsia="宋体"/>
                      <w:sz w:val="19"/>
                    </w:rPr>
                    <w:t>实时刷新显示功能：在样品台静止状态、移动及改变放大倍数时，均可实时显示电子图像、不同元素分布以及它们的叠加图。样品停止移动时，自动开启面分布图静态采集模式，得到更高清晰度的面分布图。可利用</w:t>
                  </w:r>
                  <w:r>
                    <w:rPr>
                      <w:rFonts w:ascii="calibri" w:hAnsi="calibri" w:cs="calibri" w:eastAsia="calibri"/>
                      <w:sz w:val="19"/>
                    </w:rPr>
                    <w:t>AZtec</w:t>
                  </w:r>
                  <w:r>
                    <w:rPr>
                      <w:rFonts w:ascii="宋体" w:hAnsi="宋体" w:cs="宋体" w:eastAsia="宋体"/>
                      <w:sz w:val="19"/>
                    </w:rPr>
                    <w:t>软件控制样品台移动及改变放大倍数。</w:t>
                  </w:r>
                </w:p>
                <w:p>
                  <w:pPr>
                    <w:pStyle w:val="null3"/>
                  </w:pPr>
                  <w:r>
                    <w:rPr>
                      <w:rFonts w:ascii="calibri" w:hAnsi="calibri" w:cs="calibri" w:eastAsia="calibri"/>
                      <w:sz w:val="19"/>
                    </w:rPr>
                    <w:t>2</w:t>
                  </w:r>
                  <w:r>
                    <w:rPr>
                      <w:rFonts w:ascii="calibri" w:hAnsi="calibri" w:cs="calibri" w:eastAsia="calibri"/>
                      <w:sz w:val="19"/>
                    </w:rPr>
                    <w:t>.8</w:t>
                  </w:r>
                  <w:r>
                    <w:rPr>
                      <w:rFonts w:ascii="宋体" w:hAnsi="宋体" w:cs="宋体" w:eastAsia="宋体"/>
                      <w:sz w:val="19"/>
                    </w:rPr>
                    <w:t>可记录样品预览过的位置，以便随时返回重新分析。并具备元素追踪功能，显示经过位置的不同元素含量变化。</w:t>
                  </w:r>
                </w:p>
                <w:p>
                  <w:pPr>
                    <w:pStyle w:val="null3"/>
                  </w:pPr>
                  <w:r>
                    <w:rPr>
                      <w:rFonts w:ascii="calibri" w:hAnsi="calibri" w:cs="calibri" w:eastAsia="calibri"/>
                      <w:sz w:val="19"/>
                    </w:rPr>
                    <w:t>2</w:t>
                  </w:r>
                  <w:r>
                    <w:rPr>
                      <w:rFonts w:ascii="calibri" w:hAnsi="calibri" w:cs="calibri" w:eastAsia="calibri"/>
                      <w:sz w:val="19"/>
                    </w:rPr>
                    <w:t>.9</w:t>
                  </w:r>
                  <w:r>
                    <w:rPr>
                      <w:rFonts w:ascii="宋体" w:hAnsi="宋体" w:cs="宋体" w:eastAsia="宋体"/>
                      <w:sz w:val="19"/>
                    </w:rPr>
                    <w:t>手机、光学显微镜等拍摄的样品台照片可与</w:t>
                  </w:r>
                  <w:r>
                    <w:rPr>
                      <w:rFonts w:ascii="calibri" w:hAnsi="calibri" w:cs="calibri" w:eastAsia="calibri"/>
                      <w:sz w:val="19"/>
                    </w:rPr>
                    <w:t>SEM</w:t>
                  </w:r>
                  <w:r>
                    <w:rPr>
                      <w:rFonts w:ascii="宋体" w:hAnsi="宋体" w:cs="宋体" w:eastAsia="宋体"/>
                      <w:sz w:val="19"/>
                    </w:rPr>
                    <w:t>电子图像对应，实现快速样品定位及大面积导航。</w:t>
                  </w:r>
                </w:p>
                <w:p>
                  <w:pPr>
                    <w:pStyle w:val="null3"/>
                  </w:pPr>
                  <w:r>
                    <w:rPr>
                      <w:rFonts w:ascii="calibri" w:hAnsi="calibri" w:cs="calibri" w:eastAsia="calibri"/>
                      <w:sz w:val="19"/>
                    </w:rPr>
                    <w:t>2</w:t>
                  </w:r>
                  <w:r>
                    <w:rPr>
                      <w:rFonts w:ascii="calibri" w:hAnsi="calibri" w:cs="calibri" w:eastAsia="calibri"/>
                      <w:sz w:val="19"/>
                    </w:rPr>
                    <w:t>.10</w:t>
                  </w:r>
                  <w:r>
                    <w:rPr>
                      <w:rFonts w:ascii="宋体" w:hAnsi="宋体" w:cs="宋体" w:eastAsia="宋体"/>
                      <w:sz w:val="19"/>
                    </w:rPr>
                    <w:t>具备零峰修正功能，开机后无需重新修正峰位。</w:t>
                  </w:r>
                </w:p>
                <w:p>
                  <w:pPr>
                    <w:pStyle w:val="null3"/>
                  </w:pPr>
                  <w:r>
                    <w:rPr>
                      <w:rFonts w:ascii="calibri" w:hAnsi="calibri" w:cs="calibri" w:eastAsia="calibri"/>
                      <w:sz w:val="19"/>
                    </w:rPr>
                    <w:t>2</w:t>
                  </w:r>
                  <w:r>
                    <w:rPr>
                      <w:rFonts w:ascii="calibri" w:hAnsi="calibri" w:cs="calibri" w:eastAsia="calibri"/>
                      <w:sz w:val="19"/>
                    </w:rPr>
                    <w:t xml:space="preserve">.11 </w:t>
                  </w:r>
                  <w:r>
                    <w:rPr>
                      <w:rFonts w:ascii="宋体" w:hAnsi="宋体" w:cs="宋体" w:eastAsia="宋体"/>
                      <w:sz w:val="19"/>
                    </w:rPr>
                    <w:t>线扫描分析每条线可包含高达</w:t>
                  </w:r>
                  <w:r>
                    <w:rPr>
                      <w:rFonts w:ascii="calibri" w:hAnsi="calibri" w:cs="calibri" w:eastAsia="calibri"/>
                      <w:sz w:val="19"/>
                    </w:rPr>
                    <w:t>8192</w:t>
                  </w:r>
                  <w:r>
                    <w:rPr>
                      <w:rFonts w:ascii="宋体" w:hAnsi="宋体" w:cs="宋体" w:eastAsia="宋体"/>
                      <w:sz w:val="19"/>
                    </w:rPr>
                    <w:t>点，可从线扫描结果重建单点谱图。可在水平或垂直方向进行多线依次采集。</w:t>
                  </w:r>
                </w:p>
                <w:p>
                  <w:pPr>
                    <w:pStyle w:val="null3"/>
                  </w:pPr>
                  <w:r>
                    <w:rPr>
                      <w:rFonts w:ascii="calibri" w:hAnsi="calibri" w:cs="calibri" w:eastAsia="calibri"/>
                      <w:sz w:val="19"/>
                    </w:rPr>
                    <w:t>2</w:t>
                  </w:r>
                  <w:r>
                    <w:rPr>
                      <w:rFonts w:ascii="calibri" w:hAnsi="calibri" w:cs="calibri" w:eastAsia="calibri"/>
                      <w:sz w:val="19"/>
                    </w:rPr>
                    <w:t>.12</w:t>
                  </w:r>
                  <w:r>
                    <w:rPr>
                      <w:rFonts w:ascii="宋体" w:hAnsi="宋体" w:cs="宋体" w:eastAsia="宋体"/>
                      <w:sz w:val="19"/>
                    </w:rPr>
                    <w:t>电子图像分辨率</w:t>
                  </w:r>
                  <w:r>
                    <w:rPr>
                      <w:rFonts w:ascii="宋体" w:hAnsi="宋体" w:cs="宋体" w:eastAsia="宋体"/>
                      <w:sz w:val="19"/>
                    </w:rPr>
                    <w:t>≥</w:t>
                  </w:r>
                  <w:r>
                    <w:rPr>
                      <w:rFonts w:ascii="calibri" w:hAnsi="calibri" w:cs="calibri" w:eastAsia="calibri"/>
                      <w:sz w:val="19"/>
                    </w:rPr>
                    <w:t>8192*8192</w:t>
                  </w:r>
                  <w:r>
                    <w:rPr>
                      <w:rFonts w:ascii="宋体" w:hAnsi="宋体" w:cs="宋体" w:eastAsia="宋体"/>
                      <w:sz w:val="19"/>
                    </w:rPr>
                    <w:t>像素；元素面分布图分辨率≥</w:t>
                  </w:r>
                  <w:r>
                    <w:rPr>
                      <w:rFonts w:ascii="calibri" w:hAnsi="calibri" w:cs="calibri" w:eastAsia="calibri"/>
                      <w:sz w:val="19"/>
                    </w:rPr>
                    <w:t>4096*4096</w:t>
                  </w:r>
                  <w:r>
                    <w:rPr>
                      <w:rFonts w:ascii="宋体" w:hAnsi="宋体" w:cs="宋体" w:eastAsia="宋体"/>
                      <w:sz w:val="19"/>
                    </w:rPr>
                    <w:t>像素；可在电子图像上叠加元素分布图；可从面分布图上进行点、线谱图重建。</w:t>
                  </w:r>
                </w:p>
                <w:p>
                  <w:pPr>
                    <w:pStyle w:val="null3"/>
                  </w:pPr>
                  <w:r>
                    <w:rPr>
                      <w:rFonts w:ascii="calibri" w:hAnsi="calibri" w:cs="calibri" w:eastAsia="calibri"/>
                      <w:sz w:val="19"/>
                    </w:rPr>
                    <w:t>2</w:t>
                  </w:r>
                  <w:r>
                    <w:rPr>
                      <w:rFonts w:ascii="calibri" w:hAnsi="calibri" w:cs="calibri" w:eastAsia="calibri"/>
                      <w:sz w:val="19"/>
                    </w:rPr>
                    <w:t>.13</w:t>
                  </w:r>
                  <w:r>
                    <w:rPr>
                      <w:rFonts w:ascii="宋体" w:hAnsi="宋体" w:cs="宋体" w:eastAsia="宋体"/>
                      <w:sz w:val="19"/>
                    </w:rPr>
                    <w:t>定性分析：</w:t>
                  </w:r>
                  <w:r>
                    <w:rPr>
                      <w:rFonts w:ascii="calibri" w:hAnsi="calibri" w:cs="calibri" w:eastAsia="calibri"/>
                      <w:sz w:val="19"/>
                    </w:rPr>
                    <w:t>AutoID</w:t>
                  </w:r>
                  <w:r>
                    <w:rPr>
                      <w:rFonts w:ascii="宋体" w:hAnsi="宋体" w:cs="宋体" w:eastAsia="宋体"/>
                      <w:sz w:val="19"/>
                    </w:rPr>
                    <w:t>可自动标识谱峰，可进行谱重构。</w:t>
                  </w:r>
                </w:p>
                <w:p>
                  <w:pPr>
                    <w:pStyle w:val="null3"/>
                  </w:pPr>
                  <w:r>
                    <w:rPr>
                      <w:rFonts w:ascii="calibri" w:hAnsi="calibri" w:cs="calibri" w:eastAsia="calibri"/>
                      <w:sz w:val="19"/>
                    </w:rPr>
                    <w:t>2</w:t>
                  </w:r>
                  <w:r>
                    <w:rPr>
                      <w:rFonts w:ascii="calibri" w:hAnsi="calibri" w:cs="calibri" w:eastAsia="calibri"/>
                      <w:sz w:val="19"/>
                    </w:rPr>
                    <w:t>.14</w:t>
                  </w:r>
                  <w:r>
                    <w:rPr>
                      <w:rFonts w:ascii="宋体" w:hAnsi="宋体" w:cs="宋体" w:eastAsia="宋体"/>
                      <w:sz w:val="19"/>
                    </w:rPr>
                    <w:t>具备</w:t>
                  </w:r>
                  <w:r>
                    <w:rPr>
                      <w:rFonts w:ascii="calibri" w:hAnsi="calibri" w:cs="calibri" w:eastAsia="calibri"/>
                      <w:sz w:val="19"/>
                    </w:rPr>
                    <w:t>KLM</w:t>
                  </w:r>
                  <w:r>
                    <w:rPr>
                      <w:rFonts w:ascii="宋体" w:hAnsi="宋体" w:cs="宋体" w:eastAsia="宋体"/>
                      <w:sz w:val="19"/>
                    </w:rPr>
                    <w:t>全谱线系数据库，配置</w:t>
                  </w:r>
                  <w:r>
                    <w:rPr>
                      <w:rFonts w:ascii="calibri" w:hAnsi="calibri" w:cs="calibri" w:eastAsia="calibri"/>
                      <w:sz w:val="19"/>
                    </w:rPr>
                    <w:t>20kV</w:t>
                  </w:r>
                  <w:r>
                    <w:rPr>
                      <w:rFonts w:ascii="宋体" w:hAnsi="宋体" w:cs="宋体" w:eastAsia="宋体"/>
                      <w:sz w:val="19"/>
                    </w:rPr>
                    <w:t>及</w:t>
                  </w:r>
                  <w:r>
                    <w:rPr>
                      <w:rFonts w:ascii="calibri" w:hAnsi="calibri" w:cs="calibri" w:eastAsia="calibri"/>
                      <w:sz w:val="19"/>
                    </w:rPr>
                    <w:t>5kV</w:t>
                  </w:r>
                  <w:r>
                    <w:rPr>
                      <w:rFonts w:ascii="宋体" w:hAnsi="宋体" w:cs="宋体" w:eastAsia="宋体"/>
                      <w:sz w:val="19"/>
                    </w:rPr>
                    <w:t>高低电压定量数据库，可覆盖不同电压下的定量分析。同时，用户可利用微束分析标样建立相应元素的数据库，进行有标样定量分析。</w:t>
                  </w:r>
                </w:p>
                <w:p>
                  <w:pPr>
                    <w:pStyle w:val="null3"/>
                  </w:pPr>
                  <w:r>
                    <w:rPr>
                      <w:rFonts w:ascii="calibri" w:hAnsi="calibri" w:cs="calibri" w:eastAsia="calibri"/>
                      <w:sz w:val="19"/>
                    </w:rPr>
                    <w:t>2</w:t>
                  </w:r>
                  <w:r>
                    <w:rPr>
                      <w:rFonts w:ascii="calibri" w:hAnsi="calibri" w:cs="calibri" w:eastAsia="calibri"/>
                      <w:sz w:val="19"/>
                    </w:rPr>
                    <w:t>.15</w:t>
                  </w:r>
                  <w:r>
                    <w:rPr>
                      <w:rFonts w:ascii="宋体" w:hAnsi="宋体" w:cs="宋体" w:eastAsia="宋体"/>
                      <w:sz w:val="19"/>
                    </w:rPr>
                    <w:t>采用</w:t>
                  </w:r>
                  <w:r>
                    <w:rPr>
                      <w:rFonts w:ascii="calibri" w:hAnsi="calibri" w:cs="calibri" w:eastAsia="calibri"/>
                      <w:sz w:val="19"/>
                    </w:rPr>
                    <w:t>X4</w:t>
                  </w:r>
                  <w:r>
                    <w:rPr>
                      <w:rFonts w:ascii="宋体" w:hAnsi="宋体" w:cs="宋体" w:eastAsia="宋体"/>
                      <w:sz w:val="19"/>
                    </w:rPr>
                    <w:t>脉冲与图像处理器，具备多探头控制能力，最多可同时控制和处理</w:t>
                  </w:r>
                  <w:r>
                    <w:rPr>
                      <w:rFonts w:ascii="calibri" w:hAnsi="calibri" w:cs="calibri" w:eastAsia="calibri"/>
                      <w:sz w:val="19"/>
                    </w:rPr>
                    <w:t>4</w:t>
                  </w:r>
                  <w:r>
                    <w:rPr>
                      <w:rFonts w:ascii="宋体" w:hAnsi="宋体" w:cs="宋体" w:eastAsia="宋体"/>
                      <w:sz w:val="19"/>
                    </w:rPr>
                    <w:t>个能谱探测器。</w:t>
                  </w:r>
                </w:p>
              </w:tc>
            </w:tr>
            <w:tr>
              <w:tc>
                <w:tcPr>
                  <w:tcW w:type="dxa" w:w="3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19"/>
                    </w:rPr>
                    <w:t>背散射衍射（</w:t>
                  </w:r>
                  <w:r>
                    <w:rPr>
                      <w:rFonts w:ascii="calibri" w:hAnsi="calibri" w:cs="calibri" w:eastAsia="calibri"/>
                      <w:sz w:val="19"/>
                    </w:rPr>
                    <w:t>EBSD</w:t>
                  </w:r>
                  <w:r>
                    <w:rPr>
                      <w:rFonts w:ascii="宋体" w:hAnsi="宋体" w:cs="宋体" w:eastAsia="宋体"/>
                      <w:sz w:val="19"/>
                    </w:rPr>
                    <w:t>）探测器</w:t>
                  </w:r>
                </w:p>
              </w:tc>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19"/>
                    </w:rPr>
                    <w:t>3</w:t>
                  </w:r>
                </w:p>
              </w:tc>
              <w:tc>
                <w:tcPr>
                  <w:tcW w:type="dxa" w:w="18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19"/>
                    </w:rPr>
                    <w:t>▲</w:t>
                  </w:r>
                  <w:r>
                    <w:rPr>
                      <w:rFonts w:ascii="calibri" w:hAnsi="calibri" w:cs="calibri" w:eastAsia="calibri"/>
                      <w:sz w:val="19"/>
                    </w:rPr>
                    <w:t>3.1</w:t>
                  </w:r>
                  <w:r>
                    <w:rPr>
                      <w:rFonts w:ascii="宋体" w:hAnsi="宋体" w:cs="宋体" w:eastAsia="宋体"/>
                      <w:sz w:val="19"/>
                    </w:rPr>
                    <w:t>支持</w:t>
                  </w:r>
                  <w:r>
                    <w:rPr>
                      <w:rFonts w:ascii="宋体" w:hAnsi="宋体" w:cs="宋体" w:eastAsia="宋体"/>
                      <w:sz w:val="19"/>
                    </w:rPr>
                    <w:t>高速低噪音</w:t>
                  </w:r>
                  <w:r>
                    <w:rPr>
                      <w:rFonts w:ascii="calibri" w:hAnsi="calibri" w:cs="calibri" w:eastAsia="calibri"/>
                      <w:sz w:val="19"/>
                    </w:rPr>
                    <w:t>CMOS</w:t>
                  </w:r>
                  <w:r>
                    <w:rPr>
                      <w:rFonts w:ascii="宋体" w:hAnsi="宋体" w:cs="宋体" w:eastAsia="宋体"/>
                      <w:sz w:val="19"/>
                    </w:rPr>
                    <w:t>相机，分辨率≥</w:t>
                  </w:r>
                  <w:r>
                    <w:rPr>
                      <w:rFonts w:ascii="calibri" w:hAnsi="calibri" w:cs="calibri" w:eastAsia="calibri"/>
                      <w:sz w:val="19"/>
                    </w:rPr>
                    <w:t>1244*1024</w:t>
                  </w:r>
                  <w:r>
                    <w:rPr>
                      <w:rFonts w:ascii="宋体" w:hAnsi="宋体" w:cs="宋体" w:eastAsia="宋体"/>
                      <w:sz w:val="19"/>
                    </w:rPr>
                    <w:t>，并与各型号的电镜良好配合</w:t>
                  </w:r>
                  <w:r>
                    <w:rPr>
                      <w:rFonts w:ascii="宋体" w:hAnsi="宋体" w:cs="宋体" w:eastAsia="宋体"/>
                      <w:sz w:val="19"/>
                    </w:rPr>
                    <w:t>，</w:t>
                  </w:r>
                  <w:r>
                    <w:rPr>
                      <w:rFonts w:ascii="calibri" w:hAnsi="calibri" w:cs="calibri" w:eastAsia="calibri"/>
                      <w:sz w:val="19"/>
                    </w:rPr>
                    <w:t>EBSD</w:t>
                  </w:r>
                  <w:r>
                    <w:rPr>
                      <w:rFonts w:ascii="宋体" w:hAnsi="宋体" w:cs="宋体" w:eastAsia="宋体"/>
                      <w:sz w:val="19"/>
                    </w:rPr>
                    <w:t>在线解析最高标定速度≥</w:t>
                  </w:r>
                  <w:r>
                    <w:rPr>
                      <w:rFonts w:ascii="calibri" w:hAnsi="calibri" w:cs="calibri" w:eastAsia="calibri"/>
                      <w:sz w:val="19"/>
                    </w:rPr>
                    <w:t>5700pps</w:t>
                  </w:r>
                  <w:r>
                    <w:rPr>
                      <w:rFonts w:ascii="宋体" w:hAnsi="宋体" w:cs="宋体" w:eastAsia="宋体"/>
                      <w:sz w:val="19"/>
                    </w:rPr>
                    <w:t>，此时花样分辨率仍能保持为</w:t>
                  </w:r>
                  <w:r>
                    <w:rPr>
                      <w:rFonts w:ascii="calibri" w:hAnsi="calibri" w:cs="calibri" w:eastAsia="calibri"/>
                      <w:sz w:val="19"/>
                    </w:rPr>
                    <w:t>156*128</w:t>
                  </w:r>
                  <w:r>
                    <w:rPr>
                      <w:rFonts w:ascii="宋体" w:hAnsi="宋体" w:cs="宋体" w:eastAsia="宋体"/>
                      <w:sz w:val="19"/>
                    </w:rPr>
                    <w:t>；</w:t>
                  </w:r>
                </w:p>
                <w:p>
                  <w:pPr>
                    <w:pStyle w:val="null3"/>
                  </w:pPr>
                  <w:r>
                    <w:rPr>
                      <w:rFonts w:ascii="calibri" w:hAnsi="calibri" w:cs="calibri" w:eastAsia="calibri"/>
                      <w:sz w:val="19"/>
                    </w:rPr>
                    <w:t>3.2</w:t>
                  </w:r>
                  <w:r>
                    <w:rPr>
                      <w:rFonts w:ascii="宋体" w:hAnsi="宋体" w:cs="宋体" w:eastAsia="宋体"/>
                      <w:sz w:val="19"/>
                    </w:rPr>
                    <w:t>取向精度≥</w:t>
                  </w:r>
                  <w:r>
                    <w:rPr>
                      <w:rFonts w:ascii="calibri" w:hAnsi="calibri" w:cs="calibri" w:eastAsia="calibri"/>
                      <w:sz w:val="19"/>
                    </w:rPr>
                    <w:t>0.05</w:t>
                  </w:r>
                  <w:r>
                    <w:rPr>
                      <w:rFonts w:ascii="宋体" w:hAnsi="宋体" w:cs="宋体" w:eastAsia="宋体"/>
                      <w:sz w:val="19"/>
                    </w:rPr>
                    <w:t>度；</w:t>
                  </w:r>
                </w:p>
                <w:p>
                  <w:pPr>
                    <w:pStyle w:val="null3"/>
                  </w:pPr>
                  <w:r>
                    <w:rPr>
                      <w:rFonts w:ascii="calibri" w:hAnsi="calibri" w:cs="calibri" w:eastAsia="calibri"/>
                      <w:sz w:val="19"/>
                    </w:rPr>
                    <w:t xml:space="preserve">3.3 </w:t>
                  </w:r>
                  <w:r>
                    <w:rPr>
                      <w:rFonts w:ascii="宋体" w:hAnsi="宋体" w:cs="宋体" w:eastAsia="宋体"/>
                      <w:sz w:val="19"/>
                    </w:rPr>
                    <w:t>采用专门定制的光纤传导系统，光通量≥透镜模组，特别适合弱信号分析；</w:t>
                  </w:r>
                </w:p>
                <w:p>
                  <w:pPr>
                    <w:pStyle w:val="null3"/>
                  </w:pPr>
                  <w:r>
                    <w:rPr>
                      <w:rFonts w:ascii="calibri" w:hAnsi="calibri" w:cs="calibri" w:eastAsia="calibri"/>
                      <w:sz w:val="19"/>
                    </w:rPr>
                    <w:t>3.4</w:t>
                  </w:r>
                  <w:r>
                    <w:rPr>
                      <w:rFonts w:ascii="宋体" w:hAnsi="宋体" w:cs="宋体" w:eastAsia="宋体"/>
                      <w:sz w:val="19"/>
                    </w:rPr>
                    <w:t>探头仰角自动调节马达，在探测器完全深入状态下，探测器</w:t>
                  </w:r>
                  <w:r>
                    <w:rPr>
                      <w:rFonts w:ascii="calibri" w:hAnsi="calibri" w:cs="calibri" w:eastAsia="calibri"/>
                      <w:sz w:val="19"/>
                    </w:rPr>
                    <w:t>Z</w:t>
                  </w:r>
                  <w:r>
                    <w:rPr>
                      <w:rFonts w:ascii="宋体" w:hAnsi="宋体" w:cs="宋体" w:eastAsia="宋体"/>
                      <w:sz w:val="19"/>
                    </w:rPr>
                    <w:t>轴可通过软件在</w:t>
                  </w:r>
                  <w:r>
                    <w:rPr>
                      <w:rFonts w:ascii="calibri" w:hAnsi="calibri" w:cs="calibri" w:eastAsia="calibri"/>
                      <w:sz w:val="19"/>
                    </w:rPr>
                    <w:t>+/-22.9 mm</w:t>
                  </w:r>
                  <w:r>
                    <w:rPr>
                      <w:rFonts w:ascii="宋体" w:hAnsi="宋体" w:cs="宋体" w:eastAsia="宋体"/>
                      <w:sz w:val="19"/>
                    </w:rPr>
                    <w:t>范围内任意调整，可连续采集</w:t>
                  </w:r>
                  <w:r>
                    <w:rPr>
                      <w:rFonts w:ascii="calibri" w:hAnsi="calibri" w:cs="calibri" w:eastAsia="calibri"/>
                      <w:sz w:val="19"/>
                    </w:rPr>
                    <w:t>EBSD</w:t>
                  </w:r>
                  <w:r>
                    <w:rPr>
                      <w:rFonts w:ascii="宋体" w:hAnsi="宋体" w:cs="宋体" w:eastAsia="宋体"/>
                      <w:sz w:val="19"/>
                    </w:rPr>
                    <w:t>数据；</w:t>
                  </w:r>
                </w:p>
                <w:p>
                  <w:pPr>
                    <w:pStyle w:val="null3"/>
                  </w:pPr>
                  <w:r>
                    <w:rPr>
                      <w:rFonts w:ascii="calibri" w:hAnsi="calibri" w:cs="calibri" w:eastAsia="calibri"/>
                      <w:sz w:val="19"/>
                    </w:rPr>
                    <w:t xml:space="preserve">3.5 </w:t>
                  </w:r>
                  <w:r>
                    <w:rPr>
                      <w:rFonts w:ascii="宋体" w:hAnsi="宋体" w:cs="宋体" w:eastAsia="宋体"/>
                      <w:sz w:val="19"/>
                    </w:rPr>
                    <w:t>配有独立的操作手柄，能够实时显示探头位置，可选择直达指定位置或者步进模式控制探头就位；</w:t>
                  </w:r>
                </w:p>
                <w:p>
                  <w:pPr>
                    <w:pStyle w:val="null3"/>
                  </w:pPr>
                  <w:r>
                    <w:rPr>
                      <w:rFonts w:ascii="calibri" w:hAnsi="calibri" w:cs="calibri" w:eastAsia="calibri"/>
                      <w:sz w:val="19"/>
                    </w:rPr>
                    <w:t>3.6</w:t>
                  </w:r>
                  <w:r>
                    <w:rPr>
                      <w:rFonts w:ascii="宋体" w:hAnsi="宋体" w:cs="宋体" w:eastAsia="宋体"/>
                      <w:sz w:val="19"/>
                    </w:rPr>
                    <w:t>采用防碰撞传感器，在碰撞发生前探测器自动预警并后撤，起到保护</w:t>
                  </w:r>
                  <w:r>
                    <w:rPr>
                      <w:rFonts w:ascii="calibri" w:hAnsi="calibri" w:cs="calibri" w:eastAsia="calibri"/>
                      <w:sz w:val="19"/>
                    </w:rPr>
                    <w:t>EBSD</w:t>
                  </w:r>
                  <w:r>
                    <w:rPr>
                      <w:rFonts w:ascii="宋体" w:hAnsi="宋体" w:cs="宋体" w:eastAsia="宋体"/>
                      <w:sz w:val="19"/>
                    </w:rPr>
                    <w:t>作用；</w:t>
                  </w:r>
                </w:p>
                <w:p>
                  <w:pPr>
                    <w:pStyle w:val="null3"/>
                  </w:pPr>
                  <w:r>
                    <w:rPr>
                      <w:rFonts w:ascii="calibri" w:hAnsi="calibri" w:cs="calibri" w:eastAsia="calibri"/>
                      <w:sz w:val="19"/>
                    </w:rPr>
                    <w:t>3.7</w:t>
                  </w:r>
                  <w:r>
                    <w:rPr>
                      <w:rFonts w:ascii="宋体" w:hAnsi="宋体" w:cs="宋体" w:eastAsia="宋体"/>
                      <w:sz w:val="19"/>
                    </w:rPr>
                    <w:t>探测器插入退出，最快速度：</w:t>
                  </w:r>
                  <w:r>
                    <w:rPr>
                      <w:rFonts w:ascii="calibri" w:hAnsi="calibri" w:cs="calibri" w:eastAsia="calibri"/>
                      <w:sz w:val="19"/>
                    </w:rPr>
                    <w:t>15mm/s</w:t>
                  </w:r>
                  <w:r>
                    <w:rPr>
                      <w:rFonts w:ascii="宋体" w:hAnsi="宋体" w:cs="宋体" w:eastAsia="宋体"/>
                      <w:sz w:val="19"/>
                    </w:rPr>
                    <w:t>，精度：≤</w:t>
                  </w:r>
                  <w:r>
                    <w:rPr>
                      <w:rFonts w:ascii="calibri" w:hAnsi="calibri" w:cs="calibri" w:eastAsia="calibri"/>
                      <w:sz w:val="19"/>
                    </w:rPr>
                    <w:t>10</w:t>
                  </w:r>
                  <w:r>
                    <w:rPr>
                      <w:rFonts w:ascii="宋体" w:hAnsi="宋体" w:cs="宋体" w:eastAsia="宋体"/>
                      <w:sz w:val="19"/>
                    </w:rPr>
                    <w:t>μ</w:t>
                  </w:r>
                  <w:r>
                    <w:rPr>
                      <w:rFonts w:ascii="calibri" w:hAnsi="calibri" w:cs="calibri" w:eastAsia="calibri"/>
                      <w:sz w:val="19"/>
                    </w:rPr>
                    <w:t>m</w:t>
                  </w:r>
                  <w:r>
                    <w:rPr>
                      <w:rFonts w:ascii="宋体" w:hAnsi="宋体" w:cs="宋体" w:eastAsia="宋体"/>
                      <w:sz w:val="19"/>
                    </w:rPr>
                    <w:t>；</w:t>
                  </w:r>
                </w:p>
                <w:p>
                  <w:pPr>
                    <w:pStyle w:val="null3"/>
                  </w:pPr>
                  <w:r>
                    <w:rPr>
                      <w:rFonts w:ascii="calibri" w:hAnsi="calibri" w:cs="calibri" w:eastAsia="calibri"/>
                      <w:sz w:val="19"/>
                    </w:rPr>
                    <w:t xml:space="preserve">3.8 </w:t>
                  </w:r>
                  <w:r>
                    <w:rPr>
                      <w:rFonts w:ascii="宋体" w:hAnsi="宋体" w:cs="宋体" w:eastAsia="宋体"/>
                      <w:sz w:val="19"/>
                    </w:rPr>
                    <w:t>软件配置</w:t>
                  </w:r>
                </w:p>
                <w:p>
                  <w:pPr>
                    <w:pStyle w:val="null3"/>
                  </w:pPr>
                  <w:r>
                    <w:rPr>
                      <w:rFonts w:ascii="calibri" w:hAnsi="calibri" w:cs="calibri" w:eastAsia="calibri"/>
                      <w:sz w:val="19"/>
                    </w:rPr>
                    <w:t xml:space="preserve">3.9.1 </w:t>
                  </w:r>
                  <w:r>
                    <w:rPr>
                      <w:rFonts w:ascii="宋体" w:hAnsi="宋体" w:cs="宋体" w:eastAsia="宋体"/>
                      <w:sz w:val="19"/>
                    </w:rPr>
                    <w:t>操作软件可同时并行数个任务，并支持分屏显示及远程控制；</w:t>
                  </w:r>
                </w:p>
                <w:p>
                  <w:pPr>
                    <w:pStyle w:val="null3"/>
                  </w:pPr>
                  <w:r>
                    <w:rPr>
                      <w:rFonts w:ascii="calibri" w:hAnsi="calibri" w:cs="calibri" w:eastAsia="calibri"/>
                      <w:sz w:val="19"/>
                    </w:rPr>
                    <w:t xml:space="preserve">3.9.2 </w:t>
                  </w:r>
                  <w:r>
                    <w:rPr>
                      <w:rFonts w:ascii="宋体" w:hAnsi="宋体" w:cs="宋体" w:eastAsia="宋体"/>
                      <w:sz w:val="19"/>
                    </w:rPr>
                    <w:t>操作软件完全与能谱仪软件一体化，可根据能谱数据对</w:t>
                  </w:r>
                  <w:r>
                    <w:rPr>
                      <w:rFonts w:ascii="calibri" w:hAnsi="calibri" w:cs="calibri" w:eastAsia="calibri"/>
                      <w:sz w:val="19"/>
                    </w:rPr>
                    <w:t>EBSD</w:t>
                  </w:r>
                  <w:r>
                    <w:rPr>
                      <w:rFonts w:ascii="宋体" w:hAnsi="宋体" w:cs="宋体" w:eastAsia="宋体"/>
                      <w:sz w:val="19"/>
                    </w:rPr>
                    <w:t>花样进行预过滤，实现对未知相的相鉴定，实现能谱</w:t>
                  </w:r>
                  <w:r>
                    <w:rPr>
                      <w:rFonts w:ascii="calibri" w:hAnsi="calibri" w:cs="calibri" w:eastAsia="calibri"/>
                      <w:sz w:val="19"/>
                    </w:rPr>
                    <w:t>EBSD</w:t>
                  </w:r>
                  <w:r>
                    <w:rPr>
                      <w:rFonts w:ascii="宋体" w:hAnsi="宋体" w:cs="宋体" w:eastAsia="宋体"/>
                      <w:sz w:val="19"/>
                    </w:rPr>
                    <w:t>同时联机分析且不降速；</w:t>
                  </w:r>
                </w:p>
                <w:p>
                  <w:pPr>
                    <w:pStyle w:val="null3"/>
                  </w:pPr>
                  <w:r>
                    <w:rPr>
                      <w:rFonts w:ascii="calibri" w:hAnsi="calibri" w:cs="calibri" w:eastAsia="calibri"/>
                      <w:sz w:val="19"/>
                    </w:rPr>
                    <w:t xml:space="preserve">3.9.3 </w:t>
                  </w:r>
                  <w:r>
                    <w:rPr>
                      <w:rFonts w:ascii="宋体" w:hAnsi="宋体" w:cs="宋体" w:eastAsia="宋体"/>
                      <w:sz w:val="19"/>
                    </w:rPr>
                    <w:t>电子图像分辨率≥</w:t>
                  </w:r>
                  <w:r>
                    <w:rPr>
                      <w:rFonts w:ascii="calibri" w:hAnsi="calibri" w:cs="calibri" w:eastAsia="calibri"/>
                      <w:sz w:val="19"/>
                    </w:rPr>
                    <w:t>8192*8192</w:t>
                  </w:r>
                  <w:r>
                    <w:rPr>
                      <w:rFonts w:ascii="宋体" w:hAnsi="宋体" w:cs="宋体" w:eastAsia="宋体"/>
                      <w:sz w:val="19"/>
                    </w:rPr>
                    <w:t>，</w:t>
                  </w:r>
                  <w:r>
                    <w:rPr>
                      <w:rFonts w:ascii="calibri" w:hAnsi="calibri" w:cs="calibri" w:eastAsia="calibri"/>
                      <w:sz w:val="19"/>
                    </w:rPr>
                    <w:t>EBSD</w:t>
                  </w:r>
                  <w:r>
                    <w:rPr>
                      <w:rFonts w:ascii="宋体" w:hAnsi="宋体" w:cs="宋体" w:eastAsia="宋体"/>
                      <w:sz w:val="19"/>
                    </w:rPr>
                    <w:t>面分布图分辨率≥</w:t>
                  </w:r>
                  <w:r>
                    <w:rPr>
                      <w:rFonts w:ascii="calibri" w:hAnsi="calibri" w:cs="calibri" w:eastAsia="calibri"/>
                      <w:sz w:val="19"/>
                    </w:rPr>
                    <w:t>4096*4096</w:t>
                  </w:r>
                  <w:r>
                    <w:rPr>
                      <w:rFonts w:ascii="宋体" w:hAnsi="宋体" w:cs="宋体" w:eastAsia="宋体"/>
                      <w:sz w:val="19"/>
                    </w:rPr>
                    <w:t>；</w:t>
                  </w:r>
                </w:p>
                <w:p>
                  <w:pPr>
                    <w:pStyle w:val="null3"/>
                  </w:pPr>
                  <w:r>
                    <w:rPr>
                      <w:rFonts w:ascii="calibri" w:hAnsi="calibri" w:cs="calibri" w:eastAsia="calibri"/>
                      <w:sz w:val="19"/>
                    </w:rPr>
                    <w:t>3.9.4</w:t>
                  </w:r>
                  <w:r>
                    <w:rPr>
                      <w:rFonts w:ascii="宋体" w:hAnsi="宋体" w:cs="宋体" w:eastAsia="宋体"/>
                      <w:sz w:val="19"/>
                    </w:rPr>
                    <w:t>动态自动背景扣除，探测器参数自动优化。切换样品、更换分析位置、以及</w:t>
                  </w:r>
                  <w:r>
                    <w:rPr>
                      <w:rFonts w:ascii="calibri" w:hAnsi="calibri" w:cs="calibri" w:eastAsia="calibri"/>
                      <w:sz w:val="19"/>
                    </w:rPr>
                    <w:t>EBSD</w:t>
                  </w:r>
                  <w:r>
                    <w:rPr>
                      <w:rFonts w:ascii="宋体" w:hAnsi="宋体" w:cs="宋体" w:eastAsia="宋体"/>
                      <w:sz w:val="19"/>
                    </w:rPr>
                    <w:t>探测器伸缩、倾转后均无需重新扣除动态背景或重新优化；</w:t>
                  </w:r>
                </w:p>
                <w:p>
                  <w:pPr>
                    <w:pStyle w:val="null3"/>
                  </w:pPr>
                  <w:r>
                    <w:rPr>
                      <w:rFonts w:ascii="calibri" w:hAnsi="calibri" w:cs="calibri" w:eastAsia="calibri"/>
                      <w:sz w:val="19"/>
                    </w:rPr>
                    <w:t xml:space="preserve">3.9.5 </w:t>
                  </w:r>
                  <w:r>
                    <w:rPr>
                      <w:rFonts w:ascii="宋体" w:hAnsi="宋体" w:cs="宋体" w:eastAsia="宋体"/>
                      <w:sz w:val="19"/>
                    </w:rPr>
                    <w:t>能对所有对称性（从三斜到立方）晶体材料的</w:t>
                  </w:r>
                  <w:r>
                    <w:rPr>
                      <w:rFonts w:ascii="calibri" w:hAnsi="calibri" w:cs="calibri" w:eastAsia="calibri"/>
                      <w:sz w:val="19"/>
                    </w:rPr>
                    <w:t>EBSP</w:t>
                  </w:r>
                  <w:r>
                    <w:rPr>
                      <w:rFonts w:ascii="宋体" w:hAnsi="宋体" w:cs="宋体" w:eastAsia="宋体"/>
                      <w:sz w:val="19"/>
                    </w:rPr>
                    <w:t>花样进行自动化的标定，且各相的反射面可以独立选择，可利用衍射带边缘或中间进行识别。可识别菊池带宽度以区分晶体结构相似的相。</w:t>
                  </w:r>
                </w:p>
                <w:p>
                  <w:pPr>
                    <w:pStyle w:val="null3"/>
                  </w:pPr>
                  <w:r>
                    <w:rPr>
                      <w:rFonts w:ascii="calibri" w:hAnsi="calibri" w:cs="calibri" w:eastAsia="calibri"/>
                      <w:sz w:val="19"/>
                    </w:rPr>
                    <w:t xml:space="preserve">3.9.6 </w:t>
                  </w:r>
                  <w:r>
                    <w:rPr>
                      <w:rFonts w:ascii="宋体" w:hAnsi="宋体" w:cs="宋体" w:eastAsia="宋体"/>
                      <w:sz w:val="19"/>
                    </w:rPr>
                    <w:t>配置</w:t>
                  </w:r>
                  <w:r>
                    <w:rPr>
                      <w:rFonts w:ascii="calibri" w:hAnsi="calibri" w:cs="calibri" w:eastAsia="calibri"/>
                      <w:sz w:val="19"/>
                    </w:rPr>
                    <w:t>HKL</w:t>
                  </w:r>
                  <w:r>
                    <w:rPr>
                      <w:rFonts w:ascii="宋体" w:hAnsi="宋体" w:cs="宋体" w:eastAsia="宋体"/>
                      <w:sz w:val="19"/>
                    </w:rPr>
                    <w:t>及</w:t>
                  </w:r>
                  <w:r>
                    <w:rPr>
                      <w:rFonts w:ascii="calibri" w:hAnsi="calibri" w:cs="calibri" w:eastAsia="calibri"/>
                      <w:sz w:val="19"/>
                    </w:rPr>
                    <w:t>ICSD</w:t>
                  </w:r>
                  <w:r>
                    <w:rPr>
                      <w:rFonts w:ascii="宋体" w:hAnsi="宋体" w:cs="宋体" w:eastAsia="宋体"/>
                      <w:sz w:val="19"/>
                    </w:rPr>
                    <w:t>海量晶体学数据库，数据容量≥</w:t>
                  </w:r>
                  <w:r>
                    <w:rPr>
                      <w:rFonts w:ascii="calibri" w:hAnsi="calibri" w:cs="calibri" w:eastAsia="calibri"/>
                      <w:sz w:val="19"/>
                    </w:rPr>
                    <w:t>5</w:t>
                  </w:r>
                  <w:r>
                    <w:rPr>
                      <w:rFonts w:ascii="宋体" w:hAnsi="宋体" w:cs="宋体" w:eastAsia="宋体"/>
                      <w:sz w:val="19"/>
                    </w:rPr>
                    <w:t>万种；</w:t>
                  </w:r>
                </w:p>
                <w:p>
                  <w:pPr>
                    <w:pStyle w:val="null3"/>
                  </w:pPr>
                  <w:r>
                    <w:rPr>
                      <w:rFonts w:ascii="calibri" w:hAnsi="calibri" w:cs="calibri" w:eastAsia="calibri"/>
                      <w:sz w:val="19"/>
                    </w:rPr>
                    <w:t xml:space="preserve">3.9.7 </w:t>
                  </w:r>
                  <w:r>
                    <w:rPr>
                      <w:rFonts w:ascii="宋体" w:hAnsi="宋体" w:cs="宋体" w:eastAsia="宋体"/>
                      <w:sz w:val="19"/>
                    </w:rPr>
                    <w:t>采用</w:t>
                  </w:r>
                  <w:r>
                    <w:rPr>
                      <w:rFonts w:ascii="calibri" w:hAnsi="calibri" w:cs="calibri" w:eastAsia="calibri"/>
                      <w:sz w:val="19"/>
                    </w:rPr>
                    <w:t>Hough</w:t>
                  </w:r>
                  <w:r>
                    <w:rPr>
                      <w:rFonts w:ascii="宋体" w:hAnsi="宋体" w:cs="宋体" w:eastAsia="宋体"/>
                      <w:sz w:val="19"/>
                    </w:rPr>
                    <w:t>变换，多条带标定方法（最多可以用</w:t>
                  </w:r>
                  <w:r>
                    <w:rPr>
                      <w:rFonts w:ascii="calibri" w:hAnsi="calibri" w:cs="calibri" w:eastAsia="calibri"/>
                      <w:sz w:val="19"/>
                    </w:rPr>
                    <w:t>12</w:t>
                  </w:r>
                  <w:r>
                    <w:rPr>
                      <w:rFonts w:ascii="宋体" w:hAnsi="宋体" w:cs="宋体" w:eastAsia="宋体"/>
                      <w:sz w:val="19"/>
                    </w:rPr>
                    <w:t>条菊池带进行标定），根据平均角度偏差</w:t>
                  </w:r>
                  <w:r>
                    <w:rPr>
                      <w:rFonts w:ascii="calibri" w:hAnsi="calibri" w:cs="calibri" w:eastAsia="calibri"/>
                      <w:sz w:val="19"/>
                    </w:rPr>
                    <w:t>MAD</w:t>
                  </w:r>
                  <w:r>
                    <w:rPr>
                      <w:rFonts w:ascii="宋体" w:hAnsi="宋体" w:cs="宋体" w:eastAsia="宋体"/>
                      <w:sz w:val="19"/>
                    </w:rPr>
                    <w:t>等进行完全自动化的菊池带识别和花样标定；</w:t>
                  </w:r>
                </w:p>
                <w:p>
                  <w:pPr>
                    <w:pStyle w:val="null3"/>
                  </w:pPr>
                  <w:r>
                    <w:rPr>
                      <w:rFonts w:ascii="calibri" w:hAnsi="calibri" w:cs="calibri" w:eastAsia="calibri"/>
                      <w:sz w:val="19"/>
                    </w:rPr>
                    <w:t xml:space="preserve">3.9.8 </w:t>
                  </w:r>
                  <w:r>
                    <w:rPr>
                      <w:rFonts w:ascii="宋体" w:hAnsi="宋体" w:cs="宋体" w:eastAsia="宋体"/>
                      <w:sz w:val="19"/>
                    </w:rPr>
                    <w:t>配有专用的高精度标定模式，实现更高角度分辨率的标定；</w:t>
                  </w:r>
                </w:p>
                <w:p>
                  <w:pPr>
                    <w:pStyle w:val="null3"/>
                  </w:pPr>
                  <w:r>
                    <w:rPr>
                      <w:rFonts w:ascii="calibri" w:hAnsi="calibri" w:cs="calibri" w:eastAsia="calibri"/>
                      <w:sz w:val="19"/>
                    </w:rPr>
                    <w:t xml:space="preserve">3.9.9 </w:t>
                  </w:r>
                  <w:r>
                    <w:rPr>
                      <w:rFonts w:ascii="宋体" w:hAnsi="宋体" w:cs="宋体" w:eastAsia="宋体"/>
                      <w:sz w:val="19"/>
                    </w:rPr>
                    <w:t>配有</w:t>
                  </w:r>
                  <w:r>
                    <w:rPr>
                      <w:rFonts w:ascii="calibri" w:hAnsi="calibri" w:cs="calibri" w:eastAsia="calibri"/>
                      <w:sz w:val="19"/>
                    </w:rPr>
                    <w:t>64</w:t>
                  </w:r>
                  <w:r>
                    <w:rPr>
                      <w:rFonts w:ascii="宋体" w:hAnsi="宋体" w:cs="宋体" w:eastAsia="宋体"/>
                      <w:sz w:val="19"/>
                    </w:rPr>
                    <w:t>位</w:t>
                  </w:r>
                  <w:r>
                    <w:rPr>
                      <w:rFonts w:ascii="calibri" w:hAnsi="calibri" w:cs="calibri" w:eastAsia="calibri"/>
                      <w:sz w:val="19"/>
                    </w:rPr>
                    <w:t>EBSD</w:t>
                  </w:r>
                  <w:r>
                    <w:rPr>
                      <w:rFonts w:ascii="宋体" w:hAnsi="宋体" w:cs="宋体" w:eastAsia="宋体"/>
                      <w:sz w:val="19"/>
                    </w:rPr>
                    <w:t>数据后处理软件包，和采集软件同一风格，支持≥</w:t>
                  </w:r>
                  <w:r>
                    <w:rPr>
                      <w:rFonts w:ascii="calibri" w:hAnsi="calibri" w:cs="calibri" w:eastAsia="calibri"/>
                      <w:sz w:val="19"/>
                    </w:rPr>
                    <w:t>10</w:t>
                  </w:r>
                  <w:r>
                    <w:rPr>
                      <w:rFonts w:ascii="宋体" w:hAnsi="宋体" w:cs="宋体" w:eastAsia="宋体"/>
                      <w:sz w:val="19"/>
                    </w:rPr>
                    <w:t>种语言界面，可处理包含≥</w:t>
                  </w:r>
                  <w:r>
                    <w:rPr>
                      <w:rFonts w:ascii="calibri" w:hAnsi="calibri" w:cs="calibri" w:eastAsia="calibri"/>
                      <w:sz w:val="19"/>
                    </w:rPr>
                    <w:t>6400</w:t>
                  </w:r>
                  <w:r>
                    <w:rPr>
                      <w:rFonts w:ascii="宋体" w:hAnsi="宋体" w:cs="宋体" w:eastAsia="宋体"/>
                      <w:sz w:val="19"/>
                    </w:rPr>
                    <w:t>万像素的单个文件，包含且不限于如下功能：</w:t>
                  </w:r>
                </w:p>
                <w:p>
                  <w:pPr>
                    <w:pStyle w:val="null3"/>
                  </w:pPr>
                  <w:r>
                    <w:rPr>
                      <w:rFonts w:ascii="宋体" w:hAnsi="宋体" w:cs="宋体" w:eastAsia="宋体"/>
                      <w:sz w:val="19"/>
                    </w:rPr>
                    <w:t>（</w:t>
                  </w:r>
                  <w:r>
                    <w:rPr>
                      <w:rFonts w:ascii="calibri" w:hAnsi="calibri" w:cs="calibri" w:eastAsia="calibri"/>
                      <w:sz w:val="19"/>
                    </w:rPr>
                    <w:t>1</w:t>
                  </w:r>
                  <w:r>
                    <w:rPr>
                      <w:rFonts w:ascii="宋体" w:hAnsi="宋体" w:cs="宋体" w:eastAsia="宋体"/>
                      <w:sz w:val="19"/>
                    </w:rPr>
                    <w:t>）数据修饰；</w:t>
                  </w:r>
                </w:p>
                <w:p>
                  <w:pPr>
                    <w:pStyle w:val="null3"/>
                  </w:pPr>
                  <w:r>
                    <w:rPr>
                      <w:rFonts w:ascii="宋体" w:hAnsi="宋体" w:cs="宋体" w:eastAsia="宋体"/>
                      <w:sz w:val="19"/>
                    </w:rPr>
                    <w:t>（</w:t>
                  </w:r>
                  <w:r>
                    <w:rPr>
                      <w:rFonts w:ascii="calibri" w:hAnsi="calibri" w:cs="calibri" w:eastAsia="calibri"/>
                      <w:sz w:val="19"/>
                    </w:rPr>
                    <w:t>2</w:t>
                  </w:r>
                  <w:r>
                    <w:rPr>
                      <w:rFonts w:ascii="宋体" w:hAnsi="宋体" w:cs="宋体" w:eastAsia="宋体"/>
                      <w:sz w:val="19"/>
                    </w:rPr>
                    <w:t>）晶粒统计（尺寸、形态等）；</w:t>
                  </w:r>
                </w:p>
                <w:p>
                  <w:pPr>
                    <w:pStyle w:val="null3"/>
                  </w:pPr>
                  <w:r>
                    <w:rPr>
                      <w:rFonts w:ascii="宋体" w:hAnsi="宋体" w:cs="宋体" w:eastAsia="宋体"/>
                      <w:sz w:val="19"/>
                    </w:rPr>
                    <w:t>（</w:t>
                  </w:r>
                  <w:r>
                    <w:rPr>
                      <w:rFonts w:ascii="calibri" w:hAnsi="calibri" w:cs="calibri" w:eastAsia="calibri"/>
                      <w:sz w:val="19"/>
                    </w:rPr>
                    <w:t>3</w:t>
                  </w:r>
                  <w:r>
                    <w:rPr>
                      <w:rFonts w:ascii="宋体" w:hAnsi="宋体" w:cs="宋体" w:eastAsia="宋体"/>
                      <w:sz w:val="19"/>
                    </w:rPr>
                    <w:t>）晶界分析（特殊晶界、孪晶、</w:t>
                  </w:r>
                  <w:r>
                    <w:rPr>
                      <w:rFonts w:ascii="calibri" w:hAnsi="calibri" w:cs="calibri" w:eastAsia="calibri"/>
                      <w:sz w:val="19"/>
                    </w:rPr>
                    <w:t>CSL</w:t>
                  </w:r>
                  <w:r>
                    <w:rPr>
                      <w:rFonts w:ascii="宋体" w:hAnsi="宋体" w:cs="宋体" w:eastAsia="宋体"/>
                      <w:sz w:val="19"/>
                    </w:rPr>
                    <w:t>界面等、相邻及随机取向差曲线及其相似性分析等）；</w:t>
                  </w:r>
                </w:p>
                <w:p>
                  <w:pPr>
                    <w:pStyle w:val="null3"/>
                  </w:pPr>
                  <w:r>
                    <w:rPr>
                      <w:rFonts w:ascii="宋体" w:hAnsi="宋体" w:cs="宋体" w:eastAsia="宋体"/>
                      <w:sz w:val="19"/>
                    </w:rPr>
                    <w:t>（</w:t>
                  </w:r>
                  <w:r>
                    <w:rPr>
                      <w:rFonts w:ascii="calibri" w:hAnsi="calibri" w:cs="calibri" w:eastAsia="calibri"/>
                      <w:sz w:val="19"/>
                    </w:rPr>
                    <w:t>4</w:t>
                  </w:r>
                  <w:r>
                    <w:rPr>
                      <w:rFonts w:ascii="宋体" w:hAnsi="宋体" w:cs="宋体" w:eastAsia="宋体"/>
                      <w:sz w:val="19"/>
                    </w:rPr>
                    <w:t>）应变分析（</w:t>
                  </w:r>
                  <w:r>
                    <w:rPr>
                      <w:rFonts w:ascii="calibri" w:hAnsi="calibri" w:cs="calibri" w:eastAsia="calibri"/>
                      <w:sz w:val="19"/>
                    </w:rPr>
                    <w:t>KAM</w:t>
                  </w:r>
                  <w:r>
                    <w:rPr>
                      <w:rFonts w:ascii="宋体" w:hAnsi="宋体" w:cs="宋体" w:eastAsia="宋体"/>
                      <w:sz w:val="19"/>
                    </w:rPr>
                    <w:t>，</w:t>
                  </w:r>
                  <w:r>
                    <w:rPr>
                      <w:rFonts w:ascii="calibri" w:hAnsi="calibri" w:cs="calibri" w:eastAsia="calibri"/>
                      <w:sz w:val="19"/>
                    </w:rPr>
                    <w:t>LAM</w:t>
                  </w:r>
                  <w:r>
                    <w:rPr>
                      <w:rFonts w:ascii="宋体" w:hAnsi="宋体" w:cs="宋体" w:eastAsia="宋体"/>
                      <w:sz w:val="19"/>
                    </w:rPr>
                    <w:t>，</w:t>
                  </w:r>
                  <w:r>
                    <w:rPr>
                      <w:rFonts w:ascii="calibri" w:hAnsi="calibri" w:cs="calibri" w:eastAsia="calibri"/>
                      <w:sz w:val="19"/>
                    </w:rPr>
                    <w:t>GROD</w:t>
                  </w:r>
                  <w:r>
                    <w:rPr>
                      <w:rFonts w:ascii="宋体" w:hAnsi="宋体" w:cs="宋体" w:eastAsia="宋体"/>
                      <w:sz w:val="19"/>
                    </w:rPr>
                    <w:t>，</w:t>
                  </w:r>
                  <w:r>
                    <w:rPr>
                      <w:rFonts w:ascii="calibri" w:hAnsi="calibri" w:cs="calibri" w:eastAsia="calibri"/>
                      <w:sz w:val="19"/>
                    </w:rPr>
                    <w:t>GOS</w:t>
                  </w:r>
                  <w:r>
                    <w:rPr>
                      <w:rFonts w:ascii="宋体" w:hAnsi="宋体" w:cs="宋体" w:eastAsia="宋体"/>
                      <w:sz w:val="19"/>
                    </w:rPr>
                    <w:t>等）；</w:t>
                  </w:r>
                </w:p>
                <w:p>
                  <w:pPr>
                    <w:pStyle w:val="null3"/>
                  </w:pPr>
                  <w:r>
                    <w:rPr>
                      <w:rFonts w:ascii="宋体" w:hAnsi="宋体" w:cs="宋体" w:eastAsia="宋体"/>
                      <w:sz w:val="19"/>
                    </w:rPr>
                    <w:t>（</w:t>
                  </w:r>
                  <w:r>
                    <w:rPr>
                      <w:rFonts w:ascii="calibri" w:hAnsi="calibri" w:cs="calibri" w:eastAsia="calibri"/>
                      <w:sz w:val="19"/>
                    </w:rPr>
                    <w:t>5</w:t>
                  </w:r>
                  <w:r>
                    <w:rPr>
                      <w:rFonts w:ascii="宋体" w:hAnsi="宋体" w:cs="宋体" w:eastAsia="宋体"/>
                      <w:sz w:val="19"/>
                    </w:rPr>
                    <w:t>）极图和反极图；</w:t>
                  </w:r>
                </w:p>
                <w:p>
                  <w:pPr>
                    <w:pStyle w:val="null3"/>
                  </w:pPr>
                  <w:r>
                    <w:rPr>
                      <w:rFonts w:ascii="宋体" w:hAnsi="宋体" w:cs="宋体" w:eastAsia="宋体"/>
                      <w:sz w:val="19"/>
                    </w:rPr>
                    <w:t>（</w:t>
                  </w:r>
                  <w:r>
                    <w:rPr>
                      <w:rFonts w:ascii="calibri" w:hAnsi="calibri" w:cs="calibri" w:eastAsia="calibri"/>
                      <w:sz w:val="19"/>
                    </w:rPr>
                    <w:t>6</w:t>
                  </w:r>
                  <w:r>
                    <w:rPr>
                      <w:rFonts w:ascii="宋体" w:hAnsi="宋体" w:cs="宋体" w:eastAsia="宋体"/>
                      <w:sz w:val="19"/>
                    </w:rPr>
                    <w:t>）校准</w:t>
                  </w:r>
                  <w:r>
                    <w:rPr>
                      <w:rFonts w:ascii="calibri" w:hAnsi="calibri" w:cs="calibri" w:eastAsia="calibri"/>
                      <w:sz w:val="19"/>
                    </w:rPr>
                    <w:t>EBSD</w:t>
                  </w:r>
                  <w:r>
                    <w:rPr>
                      <w:rFonts w:ascii="宋体" w:hAnsi="宋体" w:cs="宋体" w:eastAsia="宋体"/>
                      <w:sz w:val="19"/>
                    </w:rPr>
                    <w:t>分析时由于漂移导致的与电子图像产生的失真；</w:t>
                  </w:r>
                </w:p>
              </w:tc>
            </w:tr>
            <w:tr>
              <w:tc>
                <w:tcPr>
                  <w:tcW w:type="dxa" w:w="3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19"/>
                    </w:rPr>
                    <w:t>原位热台</w:t>
                  </w:r>
                </w:p>
              </w:tc>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19"/>
                    </w:rPr>
                    <w:t>4</w:t>
                  </w:r>
                </w:p>
              </w:tc>
              <w:tc>
                <w:tcPr>
                  <w:tcW w:type="dxa" w:w="18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calibri" w:hAnsi="calibri" w:cs="calibri" w:eastAsia="calibri"/>
                      <w:sz w:val="19"/>
                    </w:rPr>
                    <w:t>4.1</w:t>
                  </w:r>
                  <w:r>
                    <w:rPr>
                      <w:rFonts w:ascii="宋体" w:hAnsi="宋体" w:cs="宋体" w:eastAsia="宋体"/>
                      <w:sz w:val="19"/>
                    </w:rPr>
                    <w:t>温度范围：最高工作温度≥</w:t>
                  </w:r>
                  <w:r>
                    <w:rPr>
                      <w:rFonts w:ascii="calibri" w:hAnsi="calibri" w:cs="calibri" w:eastAsia="calibri"/>
                      <w:sz w:val="19"/>
                    </w:rPr>
                    <w:t>1200</w:t>
                  </w:r>
                  <w:r>
                    <w:rPr>
                      <w:rFonts w:ascii="宋体" w:hAnsi="宋体" w:cs="宋体" w:eastAsia="宋体"/>
                      <w:sz w:val="19"/>
                    </w:rPr>
                    <w:t>℃</w:t>
                  </w:r>
                </w:p>
                <w:p>
                  <w:pPr>
                    <w:pStyle w:val="null3"/>
                  </w:pPr>
                  <w:r>
                    <w:rPr>
                      <w:rFonts w:ascii="calibri" w:hAnsi="calibri" w:cs="calibri" w:eastAsia="calibri"/>
                      <w:sz w:val="19"/>
                    </w:rPr>
                    <w:t>4.2</w:t>
                  </w:r>
                  <w:r>
                    <w:rPr>
                      <w:rFonts w:ascii="宋体" w:hAnsi="宋体" w:cs="宋体" w:eastAsia="宋体"/>
                      <w:sz w:val="19"/>
                    </w:rPr>
                    <w:t>温度精度：</w:t>
                  </w:r>
                  <w:r>
                    <w:rPr>
                      <w:rFonts w:ascii="宋体" w:hAnsi="宋体" w:cs="宋体" w:eastAsia="宋体"/>
                      <w:sz w:val="19"/>
                    </w:rPr>
                    <w:t>≤</w:t>
                  </w:r>
                  <w:r>
                    <w:rPr>
                      <w:rFonts w:ascii="calibri" w:hAnsi="calibri" w:cs="calibri" w:eastAsia="calibri"/>
                      <w:sz w:val="19"/>
                    </w:rPr>
                    <w:t>±</w:t>
                  </w:r>
                  <w:r>
                    <w:rPr>
                      <w:rFonts w:ascii="calibri" w:hAnsi="calibri" w:cs="calibri" w:eastAsia="calibri"/>
                      <w:sz w:val="19"/>
                    </w:rPr>
                    <w:t>1</w:t>
                  </w:r>
                  <w:r>
                    <w:rPr>
                      <w:rFonts w:ascii="宋体" w:hAnsi="宋体" w:cs="宋体" w:eastAsia="宋体"/>
                      <w:sz w:val="19"/>
                    </w:rPr>
                    <w:t>℃</w:t>
                  </w:r>
                </w:p>
                <w:p>
                  <w:pPr>
                    <w:pStyle w:val="null3"/>
                  </w:pPr>
                  <w:r>
                    <w:rPr>
                      <w:rFonts w:ascii="calibri" w:hAnsi="calibri" w:cs="calibri" w:eastAsia="calibri"/>
                      <w:sz w:val="19"/>
                    </w:rPr>
                    <w:t>4.3</w:t>
                  </w:r>
                  <w:r>
                    <w:rPr>
                      <w:rFonts w:ascii="宋体" w:hAnsi="宋体" w:cs="宋体" w:eastAsia="宋体"/>
                      <w:sz w:val="19"/>
                    </w:rPr>
                    <w:t>尺寸要求：和电镜主机匹配，方便取放</w:t>
                  </w:r>
                </w:p>
              </w:tc>
            </w:tr>
            <w:tr>
              <w:tc>
                <w:tcPr>
                  <w:tcW w:type="dxa" w:w="3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19"/>
                    </w:rPr>
                    <w:t>整机配置</w:t>
                  </w:r>
                </w:p>
              </w:tc>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19"/>
                    </w:rPr>
                    <w:t>5</w:t>
                  </w:r>
                </w:p>
              </w:tc>
              <w:tc>
                <w:tcPr>
                  <w:tcW w:type="dxa" w:w="18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calibri" w:hAnsi="calibri" w:cs="calibri" w:eastAsia="calibri"/>
                      <w:sz w:val="19"/>
                    </w:rPr>
                    <w:t>5.1</w:t>
                  </w:r>
                  <w:r>
                    <w:rPr>
                      <w:rFonts w:ascii="宋体" w:hAnsi="宋体" w:cs="宋体" w:eastAsia="宋体"/>
                      <w:sz w:val="19"/>
                    </w:rPr>
                    <w:t>肖特基热场发射扫描电子显微镜（含软件）</w:t>
                  </w:r>
                  <w:r>
                    <w:rPr>
                      <w:rFonts w:ascii="calibri" w:hAnsi="calibri" w:cs="calibri" w:eastAsia="calibri"/>
                      <w:sz w:val="19"/>
                    </w:rPr>
                    <w:t>1</w:t>
                  </w:r>
                  <w:r>
                    <w:rPr>
                      <w:rFonts w:ascii="宋体" w:hAnsi="宋体" w:cs="宋体" w:eastAsia="宋体"/>
                      <w:sz w:val="19"/>
                    </w:rPr>
                    <w:t>套；</w:t>
                  </w:r>
                </w:p>
                <w:p>
                  <w:pPr>
                    <w:pStyle w:val="null3"/>
                  </w:pPr>
                  <w:r>
                    <w:rPr>
                      <w:rFonts w:ascii="calibri" w:hAnsi="calibri" w:cs="calibri" w:eastAsia="calibri"/>
                      <w:sz w:val="19"/>
                    </w:rPr>
                    <w:t>5.2</w:t>
                  </w:r>
                  <w:r>
                    <w:rPr>
                      <w:rFonts w:ascii="宋体" w:hAnsi="宋体" w:cs="宋体" w:eastAsia="宋体"/>
                      <w:sz w:val="19"/>
                    </w:rPr>
                    <w:t>镜筒内超高分辨二次电子探测器</w:t>
                  </w:r>
                  <w:r>
                    <w:rPr>
                      <w:rFonts w:ascii="calibri" w:hAnsi="calibri" w:cs="calibri" w:eastAsia="calibri"/>
                      <w:sz w:val="19"/>
                    </w:rPr>
                    <w:t>1</w:t>
                  </w:r>
                  <w:r>
                    <w:rPr>
                      <w:rFonts w:ascii="宋体" w:hAnsi="宋体" w:cs="宋体" w:eastAsia="宋体"/>
                      <w:sz w:val="19"/>
                    </w:rPr>
                    <w:t>套；</w:t>
                  </w:r>
                </w:p>
                <w:p>
                  <w:pPr>
                    <w:pStyle w:val="null3"/>
                  </w:pPr>
                  <w:r>
                    <w:rPr>
                      <w:rFonts w:ascii="calibri" w:hAnsi="calibri" w:cs="calibri" w:eastAsia="calibri"/>
                      <w:sz w:val="19"/>
                    </w:rPr>
                    <w:t>5.3</w:t>
                  </w:r>
                  <w:r>
                    <w:rPr>
                      <w:rFonts w:ascii="宋体" w:hAnsi="宋体" w:cs="宋体" w:eastAsia="宋体"/>
                      <w:sz w:val="19"/>
                    </w:rPr>
                    <w:t>样品室内二次电子探测器</w:t>
                  </w:r>
                  <w:r>
                    <w:rPr>
                      <w:rFonts w:ascii="calibri" w:hAnsi="calibri" w:cs="calibri" w:eastAsia="calibri"/>
                      <w:sz w:val="19"/>
                    </w:rPr>
                    <w:t>1</w:t>
                  </w:r>
                  <w:r>
                    <w:rPr>
                      <w:rFonts w:ascii="宋体" w:hAnsi="宋体" w:cs="宋体" w:eastAsia="宋体"/>
                      <w:sz w:val="19"/>
                    </w:rPr>
                    <w:t>套；</w:t>
                  </w:r>
                </w:p>
                <w:p>
                  <w:pPr>
                    <w:pStyle w:val="null3"/>
                  </w:pPr>
                  <w:r>
                    <w:rPr>
                      <w:rFonts w:ascii="calibri" w:hAnsi="calibri" w:cs="calibri" w:eastAsia="calibri"/>
                      <w:sz w:val="19"/>
                    </w:rPr>
                    <w:t>5.4</w:t>
                  </w:r>
                  <w:r>
                    <w:rPr>
                      <w:rFonts w:ascii="宋体" w:hAnsi="宋体" w:cs="宋体" w:eastAsia="宋体"/>
                      <w:sz w:val="19"/>
                    </w:rPr>
                    <w:t>样品室内可抽拉式高灵敏度背散射电子探测器</w:t>
                  </w:r>
                  <w:r>
                    <w:rPr>
                      <w:rFonts w:ascii="calibri" w:hAnsi="calibri" w:cs="calibri" w:eastAsia="calibri"/>
                      <w:sz w:val="19"/>
                    </w:rPr>
                    <w:t>1</w:t>
                  </w:r>
                  <w:r>
                    <w:rPr>
                      <w:rFonts w:ascii="宋体" w:hAnsi="宋体" w:cs="宋体" w:eastAsia="宋体"/>
                      <w:sz w:val="19"/>
                    </w:rPr>
                    <w:t>套；</w:t>
                  </w:r>
                </w:p>
                <w:p>
                  <w:pPr>
                    <w:pStyle w:val="null3"/>
                  </w:pPr>
                  <w:r>
                    <w:rPr>
                      <w:rFonts w:ascii="calibri" w:hAnsi="calibri" w:cs="calibri" w:eastAsia="calibri"/>
                      <w:sz w:val="19"/>
                    </w:rPr>
                    <w:t>5.5 EBSD</w:t>
                  </w:r>
                  <w:r>
                    <w:rPr>
                      <w:rFonts w:ascii="宋体" w:hAnsi="宋体" w:cs="宋体" w:eastAsia="宋体"/>
                      <w:sz w:val="19"/>
                    </w:rPr>
                    <w:t>探测器</w:t>
                  </w:r>
                  <w:r>
                    <w:rPr>
                      <w:rFonts w:ascii="calibri" w:hAnsi="calibri" w:cs="calibri" w:eastAsia="calibri"/>
                      <w:sz w:val="19"/>
                    </w:rPr>
                    <w:t>1</w:t>
                  </w:r>
                  <w:r>
                    <w:rPr>
                      <w:rFonts w:ascii="宋体" w:hAnsi="宋体" w:cs="宋体" w:eastAsia="宋体"/>
                      <w:sz w:val="19"/>
                    </w:rPr>
                    <w:t>套；</w:t>
                  </w:r>
                </w:p>
                <w:p>
                  <w:pPr>
                    <w:pStyle w:val="null3"/>
                  </w:pPr>
                  <w:r>
                    <w:rPr>
                      <w:rFonts w:ascii="calibri" w:hAnsi="calibri" w:cs="calibri" w:eastAsia="calibri"/>
                      <w:sz w:val="19"/>
                    </w:rPr>
                    <w:t>5.6</w:t>
                  </w:r>
                  <w:r>
                    <w:rPr>
                      <w:rFonts w:ascii="宋体" w:hAnsi="宋体" w:cs="宋体" w:eastAsia="宋体"/>
                      <w:sz w:val="19"/>
                    </w:rPr>
                    <w:t>样品室内彩色红外</w:t>
                  </w:r>
                  <w:r>
                    <w:rPr>
                      <w:rFonts w:ascii="calibri" w:hAnsi="calibri" w:cs="calibri" w:eastAsia="calibri"/>
                      <w:sz w:val="19"/>
                    </w:rPr>
                    <w:t>CCD</w:t>
                  </w:r>
                  <w:r>
                    <w:rPr>
                      <w:rFonts w:ascii="宋体" w:hAnsi="宋体" w:cs="宋体" w:eastAsia="宋体"/>
                      <w:sz w:val="19"/>
                    </w:rPr>
                    <w:t>相机</w:t>
                  </w:r>
                  <w:r>
                    <w:rPr>
                      <w:rFonts w:ascii="calibri" w:hAnsi="calibri" w:cs="calibri" w:eastAsia="calibri"/>
                      <w:sz w:val="19"/>
                    </w:rPr>
                    <w:t>1</w:t>
                  </w:r>
                  <w:r>
                    <w:rPr>
                      <w:rFonts w:ascii="宋体" w:hAnsi="宋体" w:cs="宋体" w:eastAsia="宋体"/>
                      <w:sz w:val="19"/>
                    </w:rPr>
                    <w:t>套；</w:t>
                  </w:r>
                </w:p>
                <w:p>
                  <w:pPr>
                    <w:pStyle w:val="null3"/>
                  </w:pPr>
                  <w:r>
                    <w:rPr>
                      <w:rFonts w:ascii="calibri" w:hAnsi="calibri" w:cs="calibri" w:eastAsia="calibri"/>
                      <w:sz w:val="19"/>
                    </w:rPr>
                    <w:t>5.7</w:t>
                  </w:r>
                  <w:r>
                    <w:rPr>
                      <w:rFonts w:ascii="宋体" w:hAnsi="宋体" w:cs="宋体" w:eastAsia="宋体"/>
                      <w:sz w:val="19"/>
                    </w:rPr>
                    <w:t>智能能谱仪通讯软件和硬件一体化接口</w:t>
                  </w:r>
                  <w:r>
                    <w:rPr>
                      <w:rFonts w:ascii="calibri" w:hAnsi="calibri" w:cs="calibri" w:eastAsia="calibri"/>
                      <w:sz w:val="19"/>
                    </w:rPr>
                    <w:t>1</w:t>
                  </w:r>
                  <w:r>
                    <w:rPr>
                      <w:rFonts w:ascii="宋体" w:hAnsi="宋体" w:cs="宋体" w:eastAsia="宋体"/>
                      <w:sz w:val="19"/>
                    </w:rPr>
                    <w:t>套；</w:t>
                  </w:r>
                </w:p>
                <w:p>
                  <w:pPr>
                    <w:pStyle w:val="null3"/>
                  </w:pPr>
                  <w:r>
                    <w:rPr>
                      <w:rFonts w:ascii="calibri" w:hAnsi="calibri" w:cs="calibri" w:eastAsia="calibri"/>
                      <w:sz w:val="19"/>
                    </w:rPr>
                    <w:t>5.8 9</w:t>
                  </w:r>
                  <w:r>
                    <w:rPr>
                      <w:rFonts w:ascii="宋体" w:hAnsi="宋体" w:cs="宋体" w:eastAsia="宋体"/>
                      <w:sz w:val="19"/>
                    </w:rPr>
                    <w:t>桩样品座</w:t>
                  </w:r>
                  <w:r>
                    <w:rPr>
                      <w:rFonts w:ascii="calibri" w:hAnsi="calibri" w:cs="calibri" w:eastAsia="calibri"/>
                      <w:sz w:val="19"/>
                    </w:rPr>
                    <w:t>2</w:t>
                  </w:r>
                  <w:r>
                    <w:rPr>
                      <w:rFonts w:ascii="宋体" w:hAnsi="宋体" w:cs="宋体" w:eastAsia="宋体"/>
                      <w:sz w:val="19"/>
                    </w:rPr>
                    <w:t>个；</w:t>
                  </w:r>
                </w:p>
                <w:p>
                  <w:pPr>
                    <w:pStyle w:val="null3"/>
                  </w:pPr>
                  <w:r>
                    <w:rPr>
                      <w:rFonts w:ascii="calibri" w:hAnsi="calibri" w:cs="calibri" w:eastAsia="calibri"/>
                      <w:sz w:val="19"/>
                    </w:rPr>
                    <w:t xml:space="preserve">5.9 </w:t>
                  </w:r>
                  <w:r>
                    <w:rPr>
                      <w:rFonts w:ascii="宋体" w:hAnsi="宋体" w:cs="宋体" w:eastAsia="宋体"/>
                      <w:sz w:val="19"/>
                    </w:rPr>
                    <w:t>样品钉台</w:t>
                  </w:r>
                  <w:r>
                    <w:rPr>
                      <w:rFonts w:ascii="calibri" w:hAnsi="calibri" w:cs="calibri" w:eastAsia="calibri"/>
                      <w:sz w:val="19"/>
                    </w:rPr>
                    <w:t>18</w:t>
                  </w:r>
                  <w:r>
                    <w:rPr>
                      <w:rFonts w:ascii="宋体" w:hAnsi="宋体" w:cs="宋体" w:eastAsia="宋体"/>
                      <w:sz w:val="19"/>
                    </w:rPr>
                    <w:t>个；</w:t>
                  </w:r>
                </w:p>
                <w:p>
                  <w:pPr>
                    <w:pStyle w:val="null3"/>
                  </w:pPr>
                  <w:r>
                    <w:rPr>
                      <w:rFonts w:ascii="calibri" w:hAnsi="calibri" w:cs="calibri" w:eastAsia="calibri"/>
                      <w:sz w:val="19"/>
                    </w:rPr>
                    <w:t>5.10</w:t>
                  </w:r>
                  <w:r>
                    <w:rPr>
                      <w:rFonts w:ascii="宋体" w:hAnsi="宋体" w:cs="宋体" w:eastAsia="宋体"/>
                      <w:sz w:val="19"/>
                    </w:rPr>
                    <w:t>电制冷能谱仪（含软件）</w:t>
                  </w:r>
                  <w:r>
                    <w:rPr>
                      <w:rFonts w:ascii="calibri" w:hAnsi="calibri" w:cs="calibri" w:eastAsia="calibri"/>
                      <w:sz w:val="19"/>
                    </w:rPr>
                    <w:t>1</w:t>
                  </w:r>
                  <w:r>
                    <w:rPr>
                      <w:rFonts w:ascii="宋体" w:hAnsi="宋体" w:cs="宋体" w:eastAsia="宋体"/>
                      <w:sz w:val="19"/>
                    </w:rPr>
                    <w:t>套；</w:t>
                  </w:r>
                </w:p>
                <w:p>
                  <w:pPr>
                    <w:pStyle w:val="null3"/>
                  </w:pPr>
                  <w:r>
                    <w:rPr>
                      <w:rFonts w:ascii="calibri" w:hAnsi="calibri" w:cs="calibri" w:eastAsia="calibri"/>
                      <w:sz w:val="19"/>
                    </w:rPr>
                    <w:t>5.11</w:t>
                  </w:r>
                  <w:r>
                    <w:rPr>
                      <w:rFonts w:ascii="宋体" w:hAnsi="宋体" w:cs="宋体" w:eastAsia="宋体"/>
                      <w:sz w:val="19"/>
                    </w:rPr>
                    <w:t>原位热台</w:t>
                  </w:r>
                  <w:r>
                    <w:rPr>
                      <w:rFonts w:ascii="calibri" w:hAnsi="calibri" w:cs="calibri" w:eastAsia="calibri"/>
                      <w:sz w:val="19"/>
                    </w:rPr>
                    <w:t>1</w:t>
                  </w:r>
                  <w:r>
                    <w:rPr>
                      <w:rFonts w:ascii="宋体" w:hAnsi="宋体" w:cs="宋体" w:eastAsia="宋体"/>
                      <w:sz w:val="19"/>
                    </w:rPr>
                    <w:t>套；</w:t>
                  </w:r>
                </w:p>
                <w:p>
                  <w:pPr>
                    <w:pStyle w:val="null3"/>
                  </w:pPr>
                  <w:r>
                    <w:rPr>
                      <w:rFonts w:ascii="calibri" w:hAnsi="calibri" w:cs="calibri" w:eastAsia="calibri"/>
                      <w:sz w:val="19"/>
                    </w:rPr>
                    <w:t>5.12</w:t>
                  </w:r>
                  <w:r>
                    <w:rPr>
                      <w:rFonts w:ascii="宋体" w:hAnsi="宋体" w:cs="宋体" w:eastAsia="宋体"/>
                      <w:sz w:val="19"/>
                    </w:rPr>
                    <w:t>不间断电源</w:t>
                  </w:r>
                  <w:r>
                    <w:rPr>
                      <w:rFonts w:ascii="calibri" w:hAnsi="calibri" w:cs="calibri" w:eastAsia="calibri"/>
                      <w:sz w:val="19"/>
                    </w:rPr>
                    <w:t>1</w:t>
                  </w:r>
                  <w:r>
                    <w:rPr>
                      <w:rFonts w:ascii="宋体" w:hAnsi="宋体" w:cs="宋体" w:eastAsia="宋体"/>
                      <w:sz w:val="19"/>
                    </w:rPr>
                    <w:t>套，停电状态下供设备待机≥</w:t>
                  </w:r>
                  <w:r>
                    <w:rPr>
                      <w:rFonts w:ascii="calibri" w:hAnsi="calibri" w:cs="calibri" w:eastAsia="calibri"/>
                      <w:sz w:val="19"/>
                    </w:rPr>
                    <w:t>4</w:t>
                  </w:r>
                  <w:r>
                    <w:rPr>
                      <w:rFonts w:ascii="宋体" w:hAnsi="宋体" w:cs="宋体" w:eastAsia="宋体"/>
                      <w:sz w:val="19"/>
                    </w:rPr>
                    <w:t>小时；</w:t>
                  </w:r>
                </w:p>
              </w:tc>
            </w:tr>
          </w:tbl>
          <w:p/>
        </w:tc>
      </w:tr>
    </w:tbl>
    <w:p>
      <w:pPr>
        <w:pStyle w:val="null3"/>
        <w:outlineLvl w:val="2"/>
      </w:pPr>
      <w:r>
        <w:rPr>
          <w:sz w:val="28"/>
          <w:b/>
        </w:rPr>
        <w:t>3.4商务要求</w:t>
      </w:r>
    </w:p>
    <w:p>
      <w:pPr>
        <w:pStyle w:val="null3"/>
        <w:outlineLvl w:val="3"/>
      </w:pPr>
      <w:r>
        <w:rPr>
          <w:sz w:val="24"/>
          <w:b/>
        </w:rPr>
        <w:t xml:space="preserve"> 3.4.1交货时间</w:t>
      </w:r>
    </w:p>
    <w:p>
      <w:pPr>
        <w:pStyle w:val="null3"/>
      </w:pPr>
      <w:r>
        <w:rPr/>
        <w:t>采购包1：</w:t>
      </w:r>
    </w:p>
    <w:p>
      <w:pPr>
        <w:pStyle w:val="null3"/>
      </w:pPr>
      <w:r>
        <w:rPr/>
        <w:t>1、交货日期：自合同生效后 360 日历日，安装日期：到货后15日内。 甲方在设备安装环境不完全具备的条件下，可要求延期交货，乙方应无条件同意。乙方发货前需书面告知甲方，并征求甲方同意。 2、乙方向甲方交货时应移交每套设备的全套档案资料（包括产品合格证、使用说明书、保修卡、技术资料等），否则视为未交货。 3、乙方交货时应为甲方（用户）免费指导和培训设备的操作与维护。 4、乙方逾期完成安装调试的，每逾期一日应向甲方支付违约金1万元，违约金不足以弥补损失的，应继续赔偿甲方损失。相应的安装调试所需工具和标准样品由中标供应商或制造商提供（提供国标内六角扳手一套，以供安装设备，提供验收用金颗粒标准试样1个，验后退还）。 5、乙方安装调试结束后提供设备运行报告，再向甲方申请进行设备初验。</w:t>
      </w:r>
    </w:p>
    <w:p>
      <w:pPr>
        <w:pStyle w:val="null3"/>
        <w:outlineLvl w:val="3"/>
      </w:pPr>
      <w:r>
        <w:rPr>
          <w:sz w:val="24"/>
          <w:b/>
        </w:rPr>
        <w:t>3.4.2交货地点</w:t>
      </w:r>
    </w:p>
    <w:p>
      <w:pPr>
        <w:pStyle w:val="null3"/>
      </w:pPr>
      <w:r>
        <w:rPr/>
        <w:t>采购包1：</w:t>
      </w:r>
    </w:p>
    <w:p>
      <w:pPr>
        <w:pStyle w:val="null3"/>
      </w:pPr>
      <w:r>
        <w:rPr/>
        <w:t>西安工业大学指定地点</w:t>
      </w:r>
    </w:p>
    <w:p>
      <w:pPr>
        <w:pStyle w:val="null3"/>
        <w:outlineLvl w:val="3"/>
      </w:pPr>
      <w:r>
        <w:rPr>
          <w:sz w:val="24"/>
          <w:b/>
        </w:rPr>
        <w:t>3.4.3支付方式</w:t>
      </w:r>
    </w:p>
    <w:p>
      <w:pPr>
        <w:pStyle w:val="null3"/>
      </w:pPr>
      <w:r>
        <w:rPr/>
        <w:t>采购包1：</w:t>
      </w:r>
    </w:p>
    <w:p>
      <w:pPr>
        <w:pStyle w:val="null3"/>
      </w:pPr>
      <w:r>
        <w:rPr/>
        <w:t>一次付清</w:t>
      </w:r>
    </w:p>
    <w:p>
      <w:pPr>
        <w:pStyle w:val="null3"/>
        <w:outlineLvl w:val="3"/>
      </w:pPr>
      <w:r>
        <w:rPr>
          <w:sz w:val="24"/>
          <w:b/>
        </w:rPr>
        <w:t>3.4.4支付约定</w:t>
      </w:r>
    </w:p>
    <w:p>
      <w:pPr>
        <w:pStyle w:val="null3"/>
      </w:pPr>
      <w:r>
        <w:rPr/>
        <w:t>采购包1：</w:t>
      </w:r>
      <w:r>
        <w:rPr/>
        <w:t xml:space="preserve"> 付款条件说明： </w:t>
      </w:r>
      <w:r>
        <w:rPr/>
        <w:t>进口设备：外贸公司出具成交等额预付款保函原件后，技术协议签订后，15日内，采购人通过委托的外贸公司向中标供应商指定的境外厂商开具100%不可撤销即期跟单信用证。货到采购人指定地点后，采购人退还预付款保函原件，信用证90%的合同货款凭外贸合同约定单据及西安工业大学出具的开箱点货报告原件解付；剩余10%合同尾款凭西安工业大学出具的设备终验验收报告原件解付；国产设备：货到西安工业大学指定地点经验收合格后，采购人15日内支付成交金额的100%</w:t>
      </w:r>
      <w:r>
        <w:rPr/>
        <w:t xml:space="preserve"> ，达到付款条件起 </w:t>
      </w:r>
      <w:r>
        <w:rPr/>
        <w:t>15</w:t>
      </w:r>
      <w:r>
        <w:rPr/>
        <w:t xml:space="preserve"> 日内，支付合同总金额的 </w:t>
      </w:r>
      <w:r>
        <w:rPr/>
        <w:t>100.00</w:t>
      </w:r>
      <w:r>
        <w:rPr/>
        <w:t>%。</w:t>
      </w:r>
    </w:p>
    <w:p>
      <w:pPr>
        <w:pStyle w:val="null3"/>
        <w:outlineLvl w:val="3"/>
      </w:pPr>
      <w:r>
        <w:rPr>
          <w:sz w:val="24"/>
          <w:b/>
        </w:rPr>
        <w:t>3.4.5验收标准和方法</w:t>
      </w:r>
    </w:p>
    <w:p>
      <w:pPr>
        <w:pStyle w:val="null3"/>
      </w:pPr>
      <w:r>
        <w:rPr/>
        <w:t>采购包1：</w:t>
      </w:r>
    </w:p>
    <w:p>
      <w:pPr>
        <w:pStyle w:val="null3"/>
      </w:pPr>
      <w:r>
        <w:rPr/>
        <w:t>国产产品： 1、初验：货物安装调试合格后，进行试运行测试，通过试运行测试后进入试运行，试运行不少于30工作日。由乙方向甲方提供详细的试运行报告，报告中至少应详细记录各种实测、运行数据。项目试运行且通过乙方自测后提交甲方使用单位进行初验。验收内容按试运行报告，现场查看货物运行情况。初验完成后，乙方填写初验验收报告并经甲方使用单位确认。 2、整体验收即终验：该项目初验完成后，甲方根据使用单位提供的初验验收报告，组织甲方相关人员和专家组成的验收小组对系统设备进行最终验收。验收依据为本合同文本、招投标文件和国内相应的标准、规范，本合同内所列功能参数逐条验收，并符合甲方稳定安全正常使用的需求。验收合格后，甲方填写终验验收单，并由乙方向甲方提交货物所包含的所有资料，以便甲方使用单位日后管理和维护。验收不合格的，限期整改，整改过程中产生的费用和货物发生的一切损失由乙方承担；整改超过二次的，甲方有权单方解除本合同，乙方应无条件退还已收取的全部合同价款，并按合同总价20%向甲方支付违约金，违约金不足弥补甲方损失的，由乙方负责赔偿。 进口产品： 1、交付检验：所供货物应付有进口开箱单，到货后由甲方（使用单位）及乙方对货物进行试运行测试，检查核对内容包括：产品名称、类型、版本、参数、功能需求等（乙方协助）。核对无误后，甲方或甲方指定使用单位在到货签收单上签字。若货物与合同约定不符，甲方有权拒绝接收，乙方应无条件退换货直至合格，并承担逾期交货的违约责任。 2、初验：货物通过试运行测试后进入试运行，试运行不少于30工作日。由乙方向甲方（用户）提供详细的试运行报告，报告中至少应详细记录各种实测、运行数据。项目试运行且通过乙方自测后提交甲方（用户）进行初验。验收内容按试运行报告，现场查看货物运行情况。初验合格后，甲方（用户）填写初验验收报告。 3、整体验收即终验：该项目初验合格后，甲方根据供应商提供的初验验收报告，组织甲方相关人员或甲方专家组成验收小组对设备进行最终验收。验收依据为本合同文本、招投标文件和国内相应的标准、规范。验收合格后，甲方填写终验验收单，作为付款依据。验收不合格的，限期整改，整改过程中产生的费用和货物发生的一切损失由乙方承担；整改超过二次的，甲方有权单方解除本合同，乙方应无条件退还已收取的全部合同价款，并按合同总价20%向甲方支付违约金，违约金不足弥补甲方损失的，由乙方负责赔偿，货款尾款甲方有权不予支付。</w:t>
      </w:r>
    </w:p>
    <w:p>
      <w:pPr>
        <w:pStyle w:val="null3"/>
        <w:outlineLvl w:val="3"/>
      </w:pPr>
      <w:r>
        <w:rPr>
          <w:sz w:val="24"/>
          <w:b/>
        </w:rPr>
        <w:t>3.4.6包装方式及运输</w:t>
      </w:r>
    </w:p>
    <w:p>
      <w:pPr>
        <w:pStyle w:val="null3"/>
      </w:pPr>
      <w:r>
        <w:rPr/>
        <w:t>采购包1：</w:t>
      </w:r>
    </w:p>
    <w:p>
      <w:pPr>
        <w:pStyle w:val="null3"/>
      </w:pPr>
      <w:r>
        <w:rPr/>
        <w:t>1、货物包装必须符合国际标准或国家标准或行业标准，满足海上、航空、铁路或公路运输以及货物装卸要求。交付的货物如有损坏，由乙方负责无条件退换货直至达到合格，供货期不予顺延。 2、运输由乙方及制造厂商负责，所发生的一切费用已包含在合同总价中。由乙方承担，包括从货物供应地点所含的运输费、装卸费、仓储费、保险费等。</w:t>
      </w:r>
    </w:p>
    <w:p>
      <w:pPr>
        <w:pStyle w:val="null3"/>
        <w:outlineLvl w:val="3"/>
      </w:pPr>
      <w:r>
        <w:rPr>
          <w:sz w:val="24"/>
          <w:b/>
        </w:rPr>
        <w:t>3.4.7质量保修范围和保修期</w:t>
      </w:r>
    </w:p>
    <w:p>
      <w:pPr>
        <w:pStyle w:val="null3"/>
      </w:pPr>
      <w:r>
        <w:rPr/>
        <w:t>采购包1：</w:t>
      </w:r>
    </w:p>
    <w:p>
      <w:pPr>
        <w:pStyle w:val="null3"/>
      </w:pPr>
      <w:r>
        <w:rPr/>
        <w:t>1、设备质保期（保修期）为 1 年，自设备终验合格之日起开始计算。 2、质保期内乙方免费提供人员培训及上门维修服务，负责修理或更换因生产工艺或材质质量原因而出现故障的零部件，一切材料及人工费用全免。如乙方原因不能履行质保义务，甲方有权委托第三方处理，由此产生的费用和风险由乙方承担，造成甲方损失的应予以赔偿。 3、质保期内免费回访，及时为设备进行检查和问诊。质保期满后乙方继续承担仪器的终身维护，对甲方提供支持，如回答甲方提出的问题、排除甲方的软、硬件故障等，并按成本价格酌情收取部件维修或更换费用。</w:t>
      </w:r>
    </w:p>
    <w:p>
      <w:pPr>
        <w:pStyle w:val="null3"/>
        <w:outlineLvl w:val="3"/>
      </w:pPr>
      <w:r>
        <w:rPr>
          <w:sz w:val="24"/>
          <w:b/>
        </w:rPr>
        <w:t>3.4.8违约责任与解决争议的方法</w:t>
      </w:r>
    </w:p>
    <w:p>
      <w:pPr>
        <w:pStyle w:val="null3"/>
      </w:pPr>
      <w:r>
        <w:rPr/>
        <w:t>采购包1：</w:t>
      </w:r>
    </w:p>
    <w:p>
      <w:pPr>
        <w:pStyle w:val="null3"/>
      </w:pPr>
      <w:r>
        <w:rPr/>
        <w:t>1、除本合同约定的违约责任之外，双方按《中华人民共和国民法典》中的相关条款执行。 2、提供的货物不符合合同要求，或者不能满足招标文件技术要求，乙方必须无条件退换直到合格，并承担逾期供货违约责任。否则，甲方有权终止合同，乙方及制造厂商共同退还货款，并支付合同金额20%的违约金，违约金不足以弥补损失的，应继续赔偿损失。 3、除因不可抗力，乙方逾期交货，每天应按合同总价的千分之一向甲方支付违约金。如乙方逾期三十天仍未交齐货物的，甲方有权终止合同，乙方及制造厂商共同退还货款，并按合同总价20%向甲方支付违约金，违约金不足以弥补损失的，应继续赔偿损失。 4、乙方所交货物的类型、版本、参数、功能需求等在使用中如发生不符合合同约定、国家标准，或者所供货物达不到约定技术要求的，或者运行存在较大潜在风险的，导致甲方无法正常使用的，乙方应无条件全额向甲方退还已收取的合同款，并向甲方支付合同总价款20%的违约金，违约金不足以弥补损失的，应继续赔偿损失。 5、乙方所供货物在合理使用期限内，因质量或安装问题造成甲方或第三方人身伤亡、财产损失的，乙方应负责解决并承担赔偿责任，并赔偿甲方所有损失（包含但不限于律师费、诉讼费等一切损失）；乙方应按甲方要求采取退货、换货等方式处理，退换货的一切费用由乙方承担，并应退还甲方支付的合同总货款。 6、若乙方逾期完成安装调试的，每逾期一日应向甲方支付违约金1万元，违约金不足以弥补损失的，应继续赔偿甲方损失。</w:t>
      </w:r>
    </w:p>
    <w:p>
      <w:pPr>
        <w:pStyle w:val="null3"/>
        <w:jc w:val="left"/>
        <w:outlineLvl w:val="2"/>
      </w:pPr>
      <w:r>
        <w:rPr>
          <w:sz w:val="28"/>
          <w:b/>
        </w:rPr>
        <w:t>3.5其他要求</w:t>
      </w:r>
    </w:p>
    <w:p>
      <w:pPr>
        <w:pStyle w:val="null3"/>
      </w:pPr>
      <w:r>
        <w:rPr/>
        <w:t>一、项目说明： 1、本项目允许采购进口产品。 如果因信息不对称等原因，仍有满足需求的国内产品要求参与采购竞争的，采购人及其委托的采购代理机构不对其加以限制，按照公平竞争原则实施采购。 2、“进口产品”是指通过中国海关报关验放进入中国境内且产自关境外的产品。 二、投标有效期： 本项目投标有效期为从开标之日起120日历天。中标供应商的投标文件有效期自动延长合同履行完毕。 三、合同签订时限要求： 中标公告发出2日内，中标供应商凭中标通知书到西安工业大学签订合同。 四、报价说明： 1、因采购人具有教科文进口环节减免税资格，进口设备可以报免税报价，不在教科文减免范围的设备应按含税开展报价。免税报价包含外贸代理服务费。 2、免税报价免除仅为进口环节的教科文减免税（进口环节增值税） 3、供应商报价未明确免税报价的视为含税报价。 五、支付条件相关要求： 1、国产设备： 货到西安工业大学指定地点经验收合格后，采购人15日内支付成交金额的100%； 2、进口设备： 外贸公司出具成交等额预付款保函原件后，技术协议签订后，15日内，采购人通过委托的外贸公司向中标供应商指定的境外厂商开具100%不可撤销即期跟单信用证。货到采购人指定地点后，采购人退还预付款保函原件，信用证90%的合同货款凭外贸合同约定单据及西安工业大学出具的开箱点货报告原件解付；剩余10%合同尾款凭西安工业大学出具的设备终验验收报告原件解付。 3、预付款保函 预付款保函期限：一年（根据采购人需要可以适当延长时限）。 预付款保函受益人：西安工业大学。 六、安装和培训要求： 1、本项目采购货物到学校后，供应商须在学校现有实验室基础条件上将设备安装到位，保证环境、运行条件满足使用要求。 2、培训服务：设备安装到位后，供应商须安排售后工程师进行不少于3次以上的操作培训，保证2名以上操作人员熟练操作。 七、其他备注说明（因本项目使用电子招投标系统，格式无法调整，招标文件中其他部分与本部分不一致时以本部分要求为准）： 1、在合同履行过程中，如发生合同纠纷，合同双方应按照中华人民共和国法律解释，按照《中华人民共和国民法典》规定及合同条款约定进行处理。 2、本项目已通过进口产品论证，投标文件中接受外文资料，但主要部分仍应尽量对应翻译成中文并附在相关外文资料后面。 3、本项目不强制要求文件第2.4.4知识产权第二条要求。</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t>资格审查标准及要求如下：</w:t>
      </w:r>
    </w:p>
    <w:p>
      <w:pPr>
        <w:pStyle w:val="null3"/>
        <w:outlineLvl w:val="2"/>
      </w:pPr>
      <w:r>
        <w:rPr>
          <w:sz w:val="28"/>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1、具有独立承担民事责任的能力（企业法人应提供统一社会信用代码的营业执照；事业法人应提供事业单位法人证、组织机构代码证等证明文件；其他组织应提供合法证明文件；自然人提供身份证明文件）； 2、具有良好的商业信誉和健全的财务会计制度（提供2023年度财务审计报告或开标前近12个月内的银行资信证明或财政部门认可的政府采购专业担保机构出具的担保函）； 3、具有履行合同所必需的设备和专业技术能力（格式详见附件）； 4、具有依法缴纳税收和社会保障资金的良好记录（同时提供投标截止时间前12个月内缴存的任意时段的社保及税收缴纳证明；依法不需要缴纳的应提供相关证明文件)； 5、参加政府采购活动前三年内，在经营活动中没有重大违法记录（格式详见附件）；供应商需在项目电子化交易系统中按要求上传相应证明文件并进行电子签章。</w:t>
            </w:r>
          </w:p>
        </w:tc>
        <w:tc>
          <w:tcPr>
            <w:tcW w:type="dxa" w:w="1661"/>
          </w:tcPr>
          <w:p>
            <w:pPr>
              <w:pStyle w:val="null3"/>
            </w:pPr>
            <w:r>
              <w:rPr/>
              <w:t>投标函 供应商资格证明文件</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具有良好的商业信誉和健全的财务会计制度（提供2023年度财务审计报告或开标前近12个月内的银行资信证明或财政部门认可的政府采购专业担保机构出具的担保函）。供应商需在项目电子化交易系统中按要求上传相应证明文件并进行电子签章。</w:t>
            </w:r>
          </w:p>
        </w:tc>
        <w:tc>
          <w:tcPr>
            <w:tcW w:type="dxa" w:w="1661"/>
          </w:tcPr>
          <w:p>
            <w:pPr>
              <w:pStyle w:val="null3"/>
            </w:pPr>
            <w:r>
              <w:rPr/>
              <w:t>供应商资格证明文件</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 投标文件封面</w:t>
            </w:r>
          </w:p>
        </w:tc>
      </w:tr>
    </w:tbl>
    <w:p>
      <w:pPr>
        <w:pStyle w:val="null3"/>
        <w:outlineLvl w:val="2"/>
      </w:pPr>
      <w:r>
        <w:rPr>
          <w:sz w:val="28"/>
          <w:b/>
        </w:rPr>
        <w:t>4.2特殊资格审查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法定代表人授权要求</w:t>
            </w:r>
          </w:p>
        </w:tc>
        <w:tc>
          <w:tcPr>
            <w:tcW w:type="dxa" w:w="3322"/>
          </w:tcPr>
          <w:p>
            <w:pPr>
              <w:pStyle w:val="null3"/>
            </w:pPr>
            <w:r>
              <w:rPr/>
              <w:t>法定代表人授权代表参加投标的，须出具法定代表人授权书及授权代表身份证（法定代表人直接参加投标的，须出具法定代表人身份证）。供应商需在项目电子化交易系统中按要求上传相应证明文件并进行电子签章。</w:t>
            </w:r>
          </w:p>
        </w:tc>
        <w:tc>
          <w:tcPr>
            <w:tcW w:type="dxa" w:w="1661"/>
          </w:tcPr>
          <w:p>
            <w:pPr>
              <w:pStyle w:val="null3"/>
            </w:pPr>
            <w:r>
              <w:rPr/>
              <w:t>供应商资格证明文件</w:t>
            </w:r>
          </w:p>
        </w:tc>
      </w:tr>
      <w:tr>
        <w:tc>
          <w:tcPr>
            <w:tcW w:type="dxa" w:w="831"/>
          </w:tcPr>
          <w:p>
            <w:pPr>
              <w:pStyle w:val="null3"/>
            </w:pPr>
            <w:r>
              <w:rPr/>
              <w:t>2</w:t>
            </w:r>
          </w:p>
        </w:tc>
        <w:tc>
          <w:tcPr>
            <w:tcW w:type="dxa" w:w="2492"/>
          </w:tcPr>
          <w:p>
            <w:pPr>
              <w:pStyle w:val="null3"/>
            </w:pPr>
            <w:r>
              <w:rPr/>
              <w:t>进口产品授权要求</w:t>
            </w:r>
          </w:p>
        </w:tc>
        <w:tc>
          <w:tcPr>
            <w:tcW w:type="dxa" w:w="3322"/>
          </w:tcPr>
          <w:p>
            <w:pPr>
              <w:pStyle w:val="null3"/>
            </w:pPr>
            <w:r>
              <w:rPr/>
              <w:t>本项目已进行进口产品论证，所投产品为进口产品的，须提供所投产品厂家授权书或总代理商授权书（提供总代理商授权书的须出具有效授权权限的相关证明文件，证明文件须能显示产品制造厂家对所投产品授权链条的完整性），国产产品不需要提供。供应商需在项目电子化交易系统中按要求上传相应证明文件并进行电子签章。</w:t>
            </w:r>
          </w:p>
        </w:tc>
        <w:tc>
          <w:tcPr>
            <w:tcW w:type="dxa" w:w="1661"/>
          </w:tcPr>
          <w:p>
            <w:pPr>
              <w:pStyle w:val="null3"/>
            </w:pPr>
            <w:r>
              <w:rPr/>
              <w:t>供应商资格证明文件</w:t>
            </w:r>
          </w:p>
        </w:tc>
      </w:tr>
      <w:tr>
        <w:tc>
          <w:tcPr>
            <w:tcW w:type="dxa" w:w="831"/>
          </w:tcPr>
          <w:p>
            <w:pPr>
              <w:pStyle w:val="null3"/>
            </w:pPr>
            <w:r>
              <w:rPr/>
              <w:t>3</w:t>
            </w:r>
          </w:p>
        </w:tc>
        <w:tc>
          <w:tcPr>
            <w:tcW w:type="dxa" w:w="2492"/>
          </w:tcPr>
          <w:p>
            <w:pPr>
              <w:pStyle w:val="null3"/>
            </w:pPr>
            <w:r>
              <w:rPr/>
              <w:t>本项目不接受联合体投标</w:t>
            </w:r>
          </w:p>
        </w:tc>
        <w:tc>
          <w:tcPr>
            <w:tcW w:type="dxa" w:w="3322"/>
          </w:tcPr>
          <w:p>
            <w:pPr>
              <w:pStyle w:val="null3"/>
            </w:pPr>
            <w:r>
              <w:rPr/>
              <w:t>本项目不接受联合体投标，不得分包、转包。单位负责人为同一人或者存在直接控股、管理关系的不同供应商，不得参加同一合同项下的投标活动；对列入失信被执行人、政府采购严重违法失信行为记录名单的供应商，拒绝参与本项目投标。供应商需在项目电子化交易系统中按要求上传相应证明文件并进行电子签章。</w:t>
            </w:r>
          </w:p>
        </w:tc>
        <w:tc>
          <w:tcPr>
            <w:tcW w:type="dxa" w:w="1661"/>
          </w:tcPr>
          <w:p>
            <w:pPr>
              <w:pStyle w:val="null3"/>
            </w:pPr>
            <w:r>
              <w:rPr/>
              <w:t>供应商资格证明文件</w:t>
            </w:r>
          </w:p>
        </w:tc>
      </w:tr>
    </w:tbl>
    <w:p>
      <w:pPr>
        <w:pStyle w:val="null3"/>
        <w:outlineLvl w:val="2"/>
      </w:pPr>
      <w:r>
        <w:rPr>
          <w:sz w:val="28"/>
          <w:b/>
        </w:rPr>
        <w:t>4.3落实政府采购政策资格审查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 xml:space="preserve"> </w:t>
        <w:br/>
        <w:br w:type="page"/>
      </w:r>
    </w:p>
    <w:p>
      <w:pPr>
        <w:pStyle w:val="null3"/>
        <w:jc w:val="center"/>
        <w:outlineLvl w:val="1"/>
      </w:pPr>
      <w:r>
        <w:rPr>
          <w:sz w:val="36"/>
          <w:b/>
        </w:rPr>
        <w:t>第五章 评标办法</w:t>
      </w:r>
    </w:p>
    <w:p>
      <w:pPr>
        <w:pStyle w:val="null3"/>
        <w:outlineLvl w:val="2"/>
      </w:pPr>
      <w:r>
        <w:rPr>
          <w:sz w:val="28"/>
          <w:b/>
        </w:rPr>
        <w:t>5.1总则</w:t>
      </w:r>
    </w:p>
    <w:p>
      <w:pPr>
        <w:pStyle w:val="null3"/>
        <w:ind w:firstLine="480"/>
      </w:pPr>
      <w:r>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t xml:space="preserve"> 二、评标工作由代理机构负责组织，具体评标事务由采购人或代理机构依法组建的评标委员会负责。评标委员会由采购人代表和评审专家组成。</w:t>
      </w:r>
    </w:p>
    <w:p>
      <w:pPr>
        <w:pStyle w:val="null3"/>
        <w:ind w:firstLine="480"/>
      </w:pPr>
      <w:r>
        <w:rPr/>
        <w:t>三、评标工作应遵循公平、公正、科学及择优的原则，并以相同的评标程序和标准对待所有的投标人。</w:t>
      </w:r>
    </w:p>
    <w:p>
      <w:pPr>
        <w:pStyle w:val="null3"/>
        <w:ind w:firstLine="480"/>
      </w:pPr>
      <w:r>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sz w:val="28"/>
          <w:b/>
        </w:rPr>
        <w:t>5.2评标委员会</w:t>
      </w:r>
    </w:p>
    <w:p>
      <w:pPr>
        <w:pStyle w:val="null3"/>
        <w:ind w:firstLine="480"/>
      </w:pPr>
      <w:r>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t>四、评标委员会按照招标文件规定的评标程序、评标方法和标准进行评标，并独立履行下列职责：</w:t>
      </w:r>
    </w:p>
    <w:p>
      <w:pPr>
        <w:pStyle w:val="null3"/>
        <w:ind w:firstLine="480"/>
      </w:pPr>
      <w:r>
        <w:rPr/>
        <w:t>（一）熟悉和理解招标文件；</w:t>
      </w:r>
    </w:p>
    <w:p>
      <w:pPr>
        <w:pStyle w:val="null3"/>
        <w:ind w:firstLine="480"/>
      </w:pPr>
      <w:r>
        <w:rPr/>
        <w:t>（二）审查供应商投标文件等是否满足招标文件要求，并作出评价；</w:t>
      </w:r>
    </w:p>
    <w:p>
      <w:pPr>
        <w:pStyle w:val="null3"/>
        <w:ind w:firstLine="480"/>
      </w:pPr>
      <w:r>
        <w:rPr/>
        <w:t xml:space="preserve"> （三）根据需要要求采购组织单位对招标文件作出解释；根据需要要求供应商对投标文件有关事项作出澄清、说明或者更正；</w:t>
      </w:r>
    </w:p>
    <w:p>
      <w:pPr>
        <w:pStyle w:val="null3"/>
        <w:ind w:firstLine="480"/>
      </w:pPr>
      <w:r>
        <w:rPr/>
        <w:t>（四）推荐中标候选供应商，或者受采购人委托确定中标供应商；</w:t>
      </w:r>
    </w:p>
    <w:p>
      <w:pPr>
        <w:pStyle w:val="null3"/>
        <w:ind w:firstLine="480"/>
      </w:pPr>
      <w:r>
        <w:rPr/>
        <w:t>（五）起草评标报告并进行签署；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5.3 评标方法</w:t>
      </w:r>
    </w:p>
    <w:p>
      <w:pPr>
        <w:pStyle w:val="null3"/>
      </w:pPr>
      <w:r>
        <w:rPr/>
        <w:t>采购包1：综合评分法</w:t>
      </w:r>
    </w:p>
    <w:p>
      <w:pPr>
        <w:pStyle w:val="null3"/>
        <w:outlineLvl w:val="2"/>
      </w:pPr>
      <w:r>
        <w:rPr>
          <w:sz w:val="28"/>
          <w:b/>
        </w:rPr>
        <w:t>5.4评标程序</w:t>
      </w:r>
    </w:p>
    <w:p>
      <w:pPr>
        <w:pStyle w:val="null3"/>
        <w:outlineLvl w:val="3"/>
      </w:pPr>
      <w:r>
        <w:rPr>
          <w:sz w:val="24"/>
          <w:b/>
        </w:rPr>
        <w:t xml:space="preserve"> 5.4.1熟悉和理解招标文件和停止评标</w:t>
      </w:r>
    </w:p>
    <w:p>
      <w:pPr>
        <w:pStyle w:val="null3"/>
        <w:ind w:firstLine="480"/>
      </w:pPr>
      <w:r>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t>二、本招标文件有下列情形之一的，评标委员会应当停止评标：</w:t>
      </w:r>
    </w:p>
    <w:p>
      <w:pPr>
        <w:pStyle w:val="null3"/>
        <w:ind w:firstLine="480"/>
      </w:pPr>
      <w:r>
        <w:rPr/>
        <w:t>（一）招标文件的规定存在歧义、重大缺陷的；</w:t>
      </w:r>
    </w:p>
    <w:p>
      <w:pPr>
        <w:pStyle w:val="null3"/>
        <w:ind w:firstLine="480"/>
      </w:pPr>
      <w:r>
        <w:rPr/>
        <w:t>（二）招标文件明显以不合理条件对供应商实行差别待遇或者歧视待遇的；</w:t>
      </w:r>
    </w:p>
    <w:p>
      <w:pPr>
        <w:pStyle w:val="null3"/>
        <w:ind w:firstLine="480"/>
      </w:pPr>
      <w:r>
        <w:rPr/>
        <w:t>（三）采购项目属于国家规定的优先、强制采购范围，但是招标文件未依法体现优先、强制采购相关规定的；</w:t>
      </w:r>
    </w:p>
    <w:p>
      <w:pPr>
        <w:pStyle w:val="null3"/>
        <w:ind w:firstLine="480"/>
      </w:pPr>
      <w:r>
        <w:rPr/>
        <w:t>（四）采购项目属于政府采购促进中小企业发展的范围，但是招标文件未依法体现促进中小企业发展相关规定的；</w:t>
      </w:r>
    </w:p>
    <w:p>
      <w:pPr>
        <w:pStyle w:val="null3"/>
        <w:ind w:firstLine="480"/>
      </w:pPr>
      <w:r>
        <w:rPr/>
        <w:t xml:space="preserve"> （五）招标文件规定的评标方法是综合评分法、最低评标价法之外的评标方法，或者虽然名称为综合评分法、最低评标价法，但实际上不符合国家规定；</w:t>
      </w:r>
    </w:p>
    <w:p>
      <w:pPr>
        <w:pStyle w:val="null3"/>
        <w:ind w:firstLine="480"/>
      </w:pPr>
      <w:r>
        <w:rPr/>
        <w:t>（六）招标文件将投标人的资格条件列为评分因素的；</w:t>
      </w:r>
    </w:p>
    <w:p>
      <w:pPr>
        <w:pStyle w:val="null3"/>
        <w:ind w:firstLine="480"/>
      </w:pPr>
      <w:r>
        <w:rPr/>
        <w:t>（七）招标文件有违反国家其他有关强制性规定的情形。</w:t>
      </w:r>
    </w:p>
    <w:p>
      <w:pPr>
        <w:pStyle w:val="null3"/>
        <w:ind w:firstLine="480"/>
      </w:pPr>
      <w:r>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sz w:val="24"/>
          <w:b/>
        </w:rPr>
        <w:t>5.4.2符合性审查</w:t>
      </w:r>
    </w:p>
    <w:p>
      <w:pPr>
        <w:pStyle w:val="null3"/>
        <w:ind w:firstLine="480"/>
      </w:pPr>
      <w:r>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t xml:space="preserve"> 在符合性审查过程中，如果出现评标委员会成员意见不一致的情况，按照少数服从多数的原则确定，但不得违背政府采购基本原则和招标文件规定。</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开标记录表 标的清单</w:t>
            </w:r>
          </w:p>
        </w:tc>
      </w:tr>
      <w:tr>
        <w:tc>
          <w:tcPr>
            <w:tcW w:type="dxa" w:w="831"/>
          </w:tcPr>
          <w:p>
            <w:pPr>
              <w:pStyle w:val="null3"/>
            </w:pPr>
            <w:r>
              <w:rPr/>
              <w:t>2</w:t>
            </w:r>
          </w:p>
        </w:tc>
        <w:tc>
          <w:tcPr>
            <w:tcW w:type="dxa" w:w="2492"/>
          </w:tcPr>
          <w:p>
            <w:pPr>
              <w:pStyle w:val="null3"/>
            </w:pPr>
            <w:r>
              <w:rPr/>
              <w:t>交货期是否响应</w:t>
            </w:r>
          </w:p>
        </w:tc>
        <w:tc>
          <w:tcPr>
            <w:tcW w:type="dxa" w:w="3322"/>
          </w:tcPr>
          <w:p>
            <w:pPr>
              <w:pStyle w:val="null3"/>
            </w:pPr>
            <w:r>
              <w:rPr/>
              <w:t>交货期是否按招标文件要求的各项节点响应</w:t>
            </w:r>
          </w:p>
        </w:tc>
        <w:tc>
          <w:tcPr>
            <w:tcW w:type="dxa" w:w="1661"/>
          </w:tcPr>
          <w:p>
            <w:pPr>
              <w:pStyle w:val="null3"/>
            </w:pPr>
            <w:r>
              <w:rPr/>
              <w:t>商务要求偏离表 开标记录表</w:t>
            </w:r>
          </w:p>
        </w:tc>
      </w:tr>
      <w:tr>
        <w:tc>
          <w:tcPr>
            <w:tcW w:type="dxa" w:w="831"/>
          </w:tcPr>
          <w:p>
            <w:pPr>
              <w:pStyle w:val="null3"/>
            </w:pPr>
            <w:r>
              <w:rPr/>
              <w:t>3</w:t>
            </w:r>
          </w:p>
        </w:tc>
        <w:tc>
          <w:tcPr>
            <w:tcW w:type="dxa" w:w="2492"/>
          </w:tcPr>
          <w:p>
            <w:pPr>
              <w:pStyle w:val="null3"/>
            </w:pPr>
            <w:r>
              <w:rPr/>
              <w:t>安装期是否响应</w:t>
            </w:r>
          </w:p>
        </w:tc>
        <w:tc>
          <w:tcPr>
            <w:tcW w:type="dxa" w:w="3322"/>
          </w:tcPr>
          <w:p>
            <w:pPr>
              <w:pStyle w:val="null3"/>
            </w:pPr>
            <w:r>
              <w:rPr/>
              <w:t>安装期是否按招标文件要求的各项节点响应</w:t>
            </w:r>
          </w:p>
        </w:tc>
        <w:tc>
          <w:tcPr>
            <w:tcW w:type="dxa" w:w="1661"/>
          </w:tcPr>
          <w:p>
            <w:pPr>
              <w:pStyle w:val="null3"/>
            </w:pPr>
            <w:r>
              <w:rPr/>
              <w:t>商务要求偏离表 开标记录表</w:t>
            </w:r>
          </w:p>
        </w:tc>
      </w:tr>
      <w:tr>
        <w:tc>
          <w:tcPr>
            <w:tcW w:type="dxa" w:w="831"/>
          </w:tcPr>
          <w:p>
            <w:pPr>
              <w:pStyle w:val="null3"/>
            </w:pPr>
            <w:r>
              <w:rPr/>
              <w:t>4</w:t>
            </w:r>
          </w:p>
        </w:tc>
        <w:tc>
          <w:tcPr>
            <w:tcW w:type="dxa" w:w="2492"/>
          </w:tcPr>
          <w:p>
            <w:pPr>
              <w:pStyle w:val="null3"/>
            </w:pPr>
            <w:r>
              <w:rPr/>
              <w:t>质保期是否响应</w:t>
            </w:r>
          </w:p>
        </w:tc>
        <w:tc>
          <w:tcPr>
            <w:tcW w:type="dxa" w:w="3322"/>
          </w:tcPr>
          <w:p>
            <w:pPr>
              <w:pStyle w:val="null3"/>
            </w:pPr>
            <w:r>
              <w:rPr/>
              <w:t>质保期是否按照招标文件的相关要求响应</w:t>
            </w:r>
          </w:p>
        </w:tc>
        <w:tc>
          <w:tcPr>
            <w:tcW w:type="dxa" w:w="1661"/>
          </w:tcPr>
          <w:p>
            <w:pPr>
              <w:pStyle w:val="null3"/>
            </w:pPr>
            <w:r>
              <w:rPr/>
              <w:t>商务要求偏离表 开标记录表</w:t>
            </w:r>
          </w:p>
        </w:tc>
      </w:tr>
      <w:tr>
        <w:tc>
          <w:tcPr>
            <w:tcW w:type="dxa" w:w="831"/>
          </w:tcPr>
          <w:p>
            <w:pPr>
              <w:pStyle w:val="null3"/>
            </w:pPr>
            <w:r>
              <w:rPr/>
              <w:t>5</w:t>
            </w:r>
          </w:p>
        </w:tc>
        <w:tc>
          <w:tcPr>
            <w:tcW w:type="dxa" w:w="2492"/>
          </w:tcPr>
          <w:p>
            <w:pPr>
              <w:pStyle w:val="null3"/>
            </w:pPr>
            <w:r>
              <w:rPr/>
              <w:t>付款方式是否响应</w:t>
            </w:r>
          </w:p>
        </w:tc>
        <w:tc>
          <w:tcPr>
            <w:tcW w:type="dxa" w:w="3322"/>
          </w:tcPr>
          <w:p>
            <w:pPr>
              <w:pStyle w:val="null3"/>
            </w:pPr>
            <w:r>
              <w:rPr/>
              <w:t>付款方式是否响应招标文件的要求</w:t>
            </w:r>
          </w:p>
        </w:tc>
        <w:tc>
          <w:tcPr>
            <w:tcW w:type="dxa" w:w="1661"/>
          </w:tcPr>
          <w:p>
            <w:pPr>
              <w:pStyle w:val="null3"/>
            </w:pPr>
            <w:r>
              <w:rPr/>
              <w:t>商务要求偏离表 开标记录表</w:t>
            </w:r>
          </w:p>
        </w:tc>
      </w:tr>
      <w:tr>
        <w:tc>
          <w:tcPr>
            <w:tcW w:type="dxa" w:w="831"/>
          </w:tcPr>
          <w:p>
            <w:pPr>
              <w:pStyle w:val="null3"/>
            </w:pPr>
            <w:r>
              <w:rPr/>
              <w:t>6</w:t>
            </w:r>
          </w:p>
        </w:tc>
        <w:tc>
          <w:tcPr>
            <w:tcW w:type="dxa" w:w="2492"/>
          </w:tcPr>
          <w:p>
            <w:pPr>
              <w:pStyle w:val="null3"/>
            </w:pPr>
            <w:r>
              <w:rPr/>
              <w:t>投标保证金是否按要求缴纳</w:t>
            </w:r>
          </w:p>
        </w:tc>
        <w:tc>
          <w:tcPr>
            <w:tcW w:type="dxa" w:w="3322"/>
          </w:tcPr>
          <w:p>
            <w:pPr>
              <w:pStyle w:val="null3"/>
            </w:pPr>
            <w:r>
              <w:rPr/>
              <w:t>投标保证金是否按要求缴纳</w:t>
            </w:r>
          </w:p>
        </w:tc>
        <w:tc>
          <w:tcPr>
            <w:tcW w:type="dxa" w:w="1661"/>
          </w:tcPr>
          <w:p>
            <w:pPr>
              <w:pStyle w:val="null3"/>
            </w:pPr>
            <w:r>
              <w:rPr/>
              <w:t>商务要求偏离表 投标保证金缴纳凭证</w:t>
            </w:r>
          </w:p>
        </w:tc>
      </w:tr>
      <w:tr>
        <w:tc>
          <w:tcPr>
            <w:tcW w:type="dxa" w:w="831"/>
          </w:tcPr>
          <w:p>
            <w:pPr>
              <w:pStyle w:val="null3"/>
            </w:pPr>
            <w:r>
              <w:rPr/>
              <w:t>7</w:t>
            </w:r>
          </w:p>
        </w:tc>
        <w:tc>
          <w:tcPr>
            <w:tcW w:type="dxa" w:w="2492"/>
          </w:tcPr>
          <w:p>
            <w:pPr>
              <w:pStyle w:val="null3"/>
            </w:pPr>
            <w:r>
              <w:rPr/>
              <w:t>投标报价是否超过采购预算或最高限价</w:t>
            </w:r>
          </w:p>
        </w:tc>
        <w:tc>
          <w:tcPr>
            <w:tcW w:type="dxa" w:w="3322"/>
          </w:tcPr>
          <w:p>
            <w:pPr>
              <w:pStyle w:val="null3"/>
            </w:pPr>
            <w:r>
              <w:rPr/>
              <w:t>投标报价是否超过采购预算或最高限价</w:t>
            </w:r>
          </w:p>
        </w:tc>
        <w:tc>
          <w:tcPr>
            <w:tcW w:type="dxa" w:w="1661"/>
          </w:tcPr>
          <w:p>
            <w:pPr>
              <w:pStyle w:val="null3"/>
            </w:pPr>
            <w:r>
              <w:rPr/>
              <w:t>商务要求偏离表 开标记录表 标的清单</w:t>
            </w:r>
          </w:p>
        </w:tc>
      </w:tr>
    </w:tbl>
    <w:p>
      <w:pPr>
        <w:pStyle w:val="null3"/>
        <w:ind w:firstLine="480"/>
      </w:pPr>
      <w:r>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sz w:val="24"/>
          <w:b/>
        </w:rPr>
        <w:t>5.4.3解释、澄清有关问题</w:t>
      </w:r>
    </w:p>
    <w:p>
      <w:pPr>
        <w:pStyle w:val="null3"/>
        <w:ind w:firstLine="480"/>
      </w:pPr>
      <w:r>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t>（一）投标人投标文件中不响应招标文件规定的技术参数指标和商务应答；</w:t>
      </w:r>
    </w:p>
    <w:p>
      <w:pPr>
        <w:pStyle w:val="null3"/>
        <w:ind w:firstLine="480"/>
      </w:pPr>
      <w:r>
        <w:rPr/>
        <w:t>（二）投标人投标文件中未提供的证明其是否符合招标文件资格、符合性规定要求的相关材料。</w:t>
      </w:r>
    </w:p>
    <w:p>
      <w:pPr>
        <w:pStyle w:val="null3"/>
        <w:ind w:firstLine="480"/>
      </w:pPr>
      <w:r>
        <w:rPr/>
        <w:t>（三）投标人投标文件中的材料因印刷、影印等不清晰而难以辨认的。</w:t>
      </w:r>
    </w:p>
    <w:p>
      <w:pPr>
        <w:pStyle w:val="null3"/>
        <w:ind w:firstLine="480"/>
      </w:pPr>
      <w:r>
        <w:rPr/>
        <w:t>四、投标文件报价出现下列情况的，按以下原则处理：</w:t>
      </w:r>
    </w:p>
    <w:p>
      <w:pPr>
        <w:pStyle w:val="null3"/>
        <w:ind w:firstLine="480"/>
      </w:pPr>
      <w:r>
        <w:rPr/>
        <w:t>（一）投标文件中开标一览表（报价表）内容与投标文件中相应内容不一致的，以开标一览表（报价表）为准；</w:t>
      </w:r>
    </w:p>
    <w:p>
      <w:pPr>
        <w:pStyle w:val="null3"/>
        <w:ind w:firstLine="480"/>
      </w:pPr>
      <w:r>
        <w:rPr/>
        <w:t>（二）大写金额和小写金额不一致的，以大写金额为准，但大写金额出现文字错误，导致金额无法判断的除外；</w:t>
      </w:r>
    </w:p>
    <w:p>
      <w:pPr>
        <w:pStyle w:val="null3"/>
        <w:ind w:firstLine="480"/>
      </w:pPr>
      <w:r>
        <w:rPr/>
        <w:t>（三）单价金额小数点或者百分比有明显错位的，以开标一览表总价为准，并修改单价；</w:t>
      </w:r>
    </w:p>
    <w:p>
      <w:pPr>
        <w:pStyle w:val="null3"/>
        <w:ind w:firstLine="480"/>
      </w:pPr>
      <w:r>
        <w:rPr/>
        <w:t>（四）总价金额与按单价汇总金额不一致的，以单价金额计算结果为准。</w:t>
      </w:r>
    </w:p>
    <w:p>
      <w:pPr>
        <w:pStyle w:val="null3"/>
        <w:ind w:firstLine="480"/>
      </w:pPr>
      <w:r>
        <w:rPr/>
        <w:t xml:space="preserve"> 同时出现两种以上不一致的，按照前款规定的顺序修正。修正后的报价经投标人确认后产生约束力，投标人不确认的，其投标无效。</w:t>
      </w:r>
    </w:p>
    <w:p>
      <w:pPr>
        <w:pStyle w:val="null3"/>
        <w:ind w:firstLine="480"/>
      </w:pPr>
      <w:r>
        <w:rPr/>
        <w:t>五、对不同语言文本投标文件的解释发生异议的，以中文文本为准。</w:t>
      </w:r>
    </w:p>
    <w:p>
      <w:pPr>
        <w:pStyle w:val="null3"/>
        <w:ind w:firstLine="480"/>
      </w:pPr>
      <w:r>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t>评标委员会应当积极履行澄清、说明或者更正的职责，不得滥用权力。</w:t>
      </w:r>
    </w:p>
    <w:p>
      <w:pPr>
        <w:pStyle w:val="null3"/>
        <w:outlineLvl w:val="3"/>
      </w:pPr>
      <w:r>
        <w:rPr>
          <w:sz w:val="24"/>
          <w:b/>
        </w:rPr>
        <w:t>5.4.4比较与评价</w:t>
      </w:r>
    </w:p>
    <w:p>
      <w:pPr>
        <w:pStyle w:val="null3"/>
        <w:ind w:firstLine="480"/>
      </w:pPr>
      <w:r>
        <w:rPr/>
        <w:t xml:space="preserve"> 评标委员会应当按照招标文件规定的评标细则及标准，对符合性检查合格的投标文件进行商务和技术评估，综合比较和评价。</w:t>
      </w:r>
    </w:p>
    <w:p>
      <w:pPr>
        <w:pStyle w:val="null3"/>
        <w:outlineLvl w:val="3"/>
      </w:pPr>
      <w:r>
        <w:rPr>
          <w:sz w:val="24"/>
          <w:b/>
        </w:rPr>
        <w:t xml:space="preserve"> 5.4.5复核</w:t>
      </w:r>
    </w:p>
    <w:p>
      <w:pPr>
        <w:pStyle w:val="null3"/>
        <w:ind w:firstLine="480"/>
      </w:pPr>
      <w:r>
        <w:rPr/>
        <w:t xml:space="preserve"> 评分汇总结束后，评标委员会应当进行复核，对拟推荐为中标候选供应商、报价最低、投标文件被认定为无效等进行重点复核。</w:t>
      </w:r>
    </w:p>
    <w:p>
      <w:pPr>
        <w:pStyle w:val="null3"/>
        <w:ind w:firstLine="480"/>
      </w:pPr>
      <w:r>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t>评标结果汇总完成后，除下列情形外，任何人不得修改评标结果：</w:t>
      </w:r>
    </w:p>
    <w:p>
      <w:pPr>
        <w:pStyle w:val="null3"/>
        <w:ind w:firstLine="480"/>
      </w:pPr>
      <w:r>
        <w:rPr/>
        <w:t>（一）分值汇总计算错误的；</w:t>
      </w:r>
    </w:p>
    <w:p>
      <w:pPr>
        <w:pStyle w:val="null3"/>
        <w:ind w:firstLine="480"/>
      </w:pPr>
      <w:r>
        <w:rPr/>
        <w:t>（二）分项评分超出评分标准范围的；</w:t>
      </w:r>
    </w:p>
    <w:p>
      <w:pPr>
        <w:pStyle w:val="null3"/>
        <w:ind w:firstLine="480"/>
      </w:pPr>
      <w:r>
        <w:rPr/>
        <w:t>（三）评标委员会成员对客观评审因素评分不一致的；</w:t>
      </w:r>
    </w:p>
    <w:p>
      <w:pPr>
        <w:pStyle w:val="null3"/>
        <w:ind w:firstLine="480"/>
      </w:pPr>
      <w:r>
        <w:rPr/>
        <w:t>（四）经评标委员会认定评分畸高、畸低的。</w:t>
      </w:r>
    </w:p>
    <w:p>
      <w:pPr>
        <w:pStyle w:val="null3"/>
        <w:ind w:firstLine="480"/>
      </w:pPr>
      <w:r>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sz w:val="24"/>
          <w:b/>
        </w:rPr>
        <w:t>5.4.6确定中标候选人名单</w:t>
      </w:r>
    </w:p>
    <w:p>
      <w:pPr>
        <w:pStyle w:val="null3"/>
      </w:pPr>
      <w:r>
        <w:rPr/>
        <w:t>采购包1：</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sz w:val="24"/>
          <w:b/>
        </w:rPr>
        <w:t>5.4.7编写评标报告</w:t>
      </w:r>
    </w:p>
    <w:p>
      <w:pPr>
        <w:pStyle w:val="null3"/>
        <w:ind w:firstLine="480"/>
      </w:pPr>
      <w:r>
        <w:rPr/>
        <w:t>评标报告是评标委员会根据全体评标成员签字的评标记录和评标结果编写的报告，其主要内容包括：</w:t>
      </w:r>
    </w:p>
    <w:p>
      <w:pPr>
        <w:pStyle w:val="null3"/>
        <w:ind w:firstLine="480"/>
      </w:pPr>
      <w:r>
        <w:rPr/>
        <w:t>一、招标公告刊登的媒体名称、开标日期和地点；</w:t>
      </w:r>
    </w:p>
    <w:p>
      <w:pPr>
        <w:pStyle w:val="null3"/>
        <w:ind w:firstLine="480"/>
      </w:pPr>
      <w:r>
        <w:rPr/>
        <w:t>二、投标人名单和评标委员会成员名单；</w:t>
      </w:r>
    </w:p>
    <w:p>
      <w:pPr>
        <w:pStyle w:val="null3"/>
        <w:ind w:firstLine="480"/>
      </w:pPr>
      <w:r>
        <w:rPr/>
        <w:t>三、评审方法和标准；</w:t>
      </w:r>
    </w:p>
    <w:p>
      <w:pPr>
        <w:pStyle w:val="null3"/>
        <w:ind w:firstLine="480"/>
      </w:pPr>
      <w:r>
        <w:rPr/>
        <w:t>四、开标记录和评审情况及说明，包括投标无效供应商名单及原因；</w:t>
      </w:r>
    </w:p>
    <w:p>
      <w:pPr>
        <w:pStyle w:val="null3"/>
        <w:ind w:firstLine="480"/>
      </w:pPr>
      <w:r>
        <w:rPr/>
        <w:t>五、评标结果，确定的中标候选人名单或者经采购人委托直接确定的中标人</w:t>
      </w:r>
    </w:p>
    <w:p>
      <w:pPr>
        <w:pStyle w:val="null3"/>
        <w:ind w:firstLine="480"/>
      </w:pPr>
      <w:r>
        <w:rPr/>
        <w:t xml:space="preserve"> 六、其他需要说明的情况，包括评标过程中投标人根据评标委员会要求进行的澄清、说明或者补正，评标委员会成员的更换等；</w:t>
      </w:r>
    </w:p>
    <w:p>
      <w:pPr>
        <w:pStyle w:val="null3"/>
        <w:ind w:firstLine="480"/>
      </w:pPr>
      <w:r>
        <w:rPr/>
        <w:t>七、报价最高的投标人为中标候选人的，评标委员会应当对其报价的合理性予以特别说明。</w:t>
      </w:r>
    </w:p>
    <w:p>
      <w:pPr>
        <w:pStyle w:val="null3"/>
        <w:ind w:firstLine="480"/>
      </w:pPr>
      <w:r>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sz w:val="28"/>
          <w:b/>
        </w:rPr>
        <w:t>5.5评标争议处理规则</w:t>
      </w:r>
    </w:p>
    <w:p>
      <w:pPr>
        <w:pStyle w:val="null3"/>
        <w:ind w:firstLine="480"/>
      </w:pPr>
      <w:r>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sz w:val="28"/>
          <w:b/>
        </w:rPr>
        <w:t>5.6评标细则及标准</w:t>
      </w:r>
    </w:p>
    <w:p>
      <w:pPr>
        <w:pStyle w:val="null3"/>
        <w:ind w:firstLine="480"/>
      </w:pPr>
      <w:r>
        <w:rPr/>
        <w:t xml:space="preserve"> 一、评标委员会只对通过资格审查的投标文件，根据招标文件的要求采用相同的评标程序、评分办法及标准进行评价和比较。</w:t>
      </w:r>
    </w:p>
    <w:p>
      <w:pPr>
        <w:pStyle w:val="null3"/>
        <w:ind w:firstLine="480"/>
      </w:pPr>
      <w:r>
        <w:rPr/>
        <w:t>二、评标委员会成员应依据招标文件规定的评分标准和方法独立评审。</w:t>
      </w:r>
    </w:p>
    <w:p>
      <w:pPr>
        <w:pStyle w:val="null3"/>
        <w:outlineLvl w:val="3"/>
      </w:pPr>
      <w:r>
        <w:rPr>
          <w:sz w:val="24"/>
          <w:b/>
        </w:rPr>
        <w:t>5.6.1评分办法</w:t>
      </w:r>
    </w:p>
    <w:p>
      <w:pPr>
        <w:pStyle w:val="null3"/>
        <w:ind w:firstLine="480"/>
      </w:pPr>
      <w:r>
        <w:rPr/>
        <w:t>若采用综合评分法的，由评标委员会各成员对通过资格检查和符合性审查的投标人的投标文件进行独立评审。 投标报价得分=（评标基准价／投标报价）×100</w:t>
      </w:r>
    </w:p>
    <w:p>
      <w:pPr>
        <w:pStyle w:val="null3"/>
        <w:ind w:firstLine="480"/>
      </w:pPr>
      <w:r>
        <w:rPr/>
        <w:t>评标总得分＝F1×A1＋F2×A2＋……＋Fn×An</w:t>
      </w:r>
    </w:p>
    <w:p>
      <w:pPr>
        <w:pStyle w:val="null3"/>
        <w:ind w:firstLine="480"/>
      </w:pPr>
      <w:r>
        <w:rPr/>
        <w:t>F1、F2……Fn分别为各项评审因素的得分；</w:t>
      </w:r>
    </w:p>
    <w:p>
      <w:pPr>
        <w:pStyle w:val="null3"/>
        <w:ind w:firstLine="480"/>
      </w:pPr>
      <w:r>
        <w:rPr/>
        <w:t>A1、A2、……An 分别为各项评审因素所占的权重（A1＋A2＋……＋An＝1）。</w:t>
      </w:r>
    </w:p>
    <w:p>
      <w:pPr>
        <w:pStyle w:val="null3"/>
        <w:ind w:firstLine="480"/>
      </w:pPr>
      <w:r>
        <w:rPr/>
        <w:t>评标过程中，不得去掉报价中的最高报价和最低报价。</w:t>
      </w:r>
    </w:p>
    <w:p>
      <w:pPr>
        <w:pStyle w:val="null3"/>
        <w:ind w:firstLine="480"/>
      </w:pPr>
      <w:r>
        <w:rPr/>
        <w:t>因落实政府采购政策进行价格调整的，以调整后的价格计算评标基准价和投标报价。</w:t>
      </w:r>
    </w:p>
    <w:p>
      <w:pPr>
        <w:pStyle w:val="null3"/>
        <w:outlineLvl w:val="3"/>
      </w:pPr>
      <w:r>
        <w:rPr>
          <w:sz w:val="24"/>
          <w:b/>
        </w:rPr>
        <w:t>5.6.2评分标准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详细评审70.0000分</w:t>
            </w:r>
          </w:p>
          <w:p>
            <w:pPr>
              <w:pStyle w:val="null3"/>
            </w:pPr>
            <w:r>
              <w:rPr/>
              <w:t>报价得分30.0000分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技术参数</w:t>
            </w:r>
          </w:p>
        </w:tc>
        <w:tc>
          <w:tcPr>
            <w:tcW w:type="dxa" w:w="2492"/>
          </w:tcPr>
          <w:p>
            <w:pPr>
              <w:pStyle w:val="null3"/>
            </w:pPr>
            <w:r>
              <w:rPr/>
              <w:t>技术方案中各项设备及软件功能的技术参数响应清晰明确，符合使用要求，技术指标和性能完全响应招标文件要求，满足使用需求，计40分。 结合规格、技术参数偏离表的响应证明材料，按招标文件内配置最低要求，带“▲”号指标项每出现1个负偏离扣3分，非“▲”号指标项每出现1个负偏离，扣1分，供应商须按招标文件要求提供带“▲”号指标项的证明材料（包括但不限于加盖厂商公章的技术参数说明、产品彩页、检测报告和功能截图等技术支持性文件），否则自行承担未提供证明材料导致技术参数被视为负偏离的风险。</w:t>
            </w:r>
          </w:p>
        </w:tc>
        <w:tc>
          <w:tcPr>
            <w:tcW w:type="dxa" w:w="831"/>
          </w:tcPr>
          <w:p>
            <w:pPr>
              <w:pStyle w:val="null3"/>
              <w:jc w:val="right"/>
            </w:pPr>
            <w:r>
              <w:rPr/>
              <w:t>40.0000</w:t>
            </w:r>
          </w:p>
        </w:tc>
        <w:tc>
          <w:tcPr>
            <w:tcW w:type="dxa" w:w="831"/>
          </w:tcPr>
          <w:p>
            <w:pPr>
              <w:pStyle w:val="null3"/>
            </w:pPr>
            <w:r>
              <w:rPr/>
              <w:t>客观</w:t>
            </w:r>
          </w:p>
        </w:tc>
        <w:tc>
          <w:tcPr>
            <w:tcW w:type="dxa" w:w="1661"/>
          </w:tcPr>
          <w:p>
            <w:pPr>
              <w:pStyle w:val="null3"/>
            </w:pPr>
            <w:r>
              <w:rPr/>
              <w:t>规格、技术参数偏离表</w:t>
            </w:r>
          </w:p>
          <w:p>
            <w:pPr>
              <w:pStyle w:val="null3"/>
            </w:pPr>
            <w:r>
              <w:rPr/>
              <w:t>货物简要说明一览表</w:t>
            </w:r>
          </w:p>
        </w:tc>
      </w:tr>
      <w:tr>
        <w:tc>
          <w:tcPr>
            <w:tcW w:type="dxa" w:w="831"/>
            <w:vMerge/>
          </w:tcPr>
          <w:p/>
        </w:tc>
        <w:tc>
          <w:tcPr>
            <w:tcW w:type="dxa" w:w="1661"/>
          </w:tcPr>
          <w:p>
            <w:pPr>
              <w:pStyle w:val="null3"/>
            </w:pPr>
            <w:r>
              <w:rPr/>
              <w:t>产品质量保障</w:t>
            </w:r>
          </w:p>
        </w:tc>
        <w:tc>
          <w:tcPr>
            <w:tcW w:type="dxa" w:w="2492"/>
          </w:tcPr>
          <w:p>
            <w:pPr>
              <w:pStyle w:val="null3"/>
            </w:pPr>
            <w:r>
              <w:rPr/>
              <w:t>投标产品技术工艺先进，性能稳定，方便操作，安全可靠，符合国际、国内相关标准或行业标准，整体配置具有合理性、一致性、兼容性，产品品牌、型号、产地明确，备品配件供应有保障，有具体可行的质量保证承诺，保证使用单位能熟练操作维护和正常使用。 选型方案先进可靠，质量保证承诺详尽得6分； 选型方案全部满足采购需求，有质量保证承诺得4分；选型方案部分满足采购需求，有质量保证承诺得2分，未提供或选型导致严重负偏离得0分。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供应商认为有必要说明的其他资料</w:t>
            </w:r>
          </w:p>
          <w:p>
            <w:pPr>
              <w:pStyle w:val="null3"/>
            </w:pPr>
            <w:r>
              <w:rPr/>
              <w:t>货物简要说明一览表</w:t>
            </w:r>
          </w:p>
        </w:tc>
      </w:tr>
      <w:tr>
        <w:tc>
          <w:tcPr>
            <w:tcW w:type="dxa" w:w="831"/>
            <w:vMerge/>
          </w:tcPr>
          <w:p/>
        </w:tc>
        <w:tc>
          <w:tcPr>
            <w:tcW w:type="dxa" w:w="1661"/>
          </w:tcPr>
          <w:p>
            <w:pPr>
              <w:pStyle w:val="null3"/>
            </w:pPr>
            <w:r>
              <w:rPr/>
              <w:t>整体实施方案</w:t>
            </w:r>
          </w:p>
        </w:tc>
        <w:tc>
          <w:tcPr>
            <w:tcW w:type="dxa" w:w="2492"/>
          </w:tcPr>
          <w:p>
            <w:pPr>
              <w:pStyle w:val="null3"/>
            </w:pPr>
            <w:r>
              <w:rPr/>
              <w:t>供应商针对本项目时间合理性，提供具体可行的实施方案，具体的供货组织安排，详细的人员、财力调配、运输、派送措施及设备到货后验收、实施进度及保证措施、设备安装、人员组成及人员调配、安装调试等，根据方案的完整全面， 实施方案组织合理，调配运输方案清晰明确，进度保障措施先进可靠，能够切实保障项目时效性的得6分； 实施方案组织合理，有较为详细的调配运输方案，进度保障措施可靠，基本能够保障项目时效性的得4分； 实施方案组织基本合理，运输方案不够详尽，有一定的进度保障措施，具备保障项目时效性的承诺的得2分； 未提供或无法证明可以达到时效要求的得0分。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服务承诺</w:t>
            </w:r>
          </w:p>
          <w:p>
            <w:pPr>
              <w:pStyle w:val="null3"/>
            </w:pPr>
            <w:r>
              <w:rPr/>
              <w:t>拟配备团队情况</w:t>
            </w:r>
          </w:p>
          <w:p>
            <w:pPr>
              <w:pStyle w:val="null3"/>
            </w:pPr>
            <w:r>
              <w:rPr/>
              <w:t>实施方案</w:t>
            </w:r>
          </w:p>
        </w:tc>
      </w:tr>
      <w:tr>
        <w:tc>
          <w:tcPr>
            <w:tcW w:type="dxa" w:w="831"/>
            <w:vMerge/>
          </w:tcPr>
          <w:p/>
        </w:tc>
        <w:tc>
          <w:tcPr>
            <w:tcW w:type="dxa" w:w="1661"/>
          </w:tcPr>
          <w:p>
            <w:pPr>
              <w:pStyle w:val="null3"/>
            </w:pPr>
            <w:r>
              <w:rPr/>
              <w:t>培训方案</w:t>
            </w:r>
          </w:p>
        </w:tc>
        <w:tc>
          <w:tcPr>
            <w:tcW w:type="dxa" w:w="2492"/>
          </w:tcPr>
          <w:p>
            <w:pPr>
              <w:pStyle w:val="null3"/>
            </w:pPr>
            <w:r>
              <w:rPr/>
              <w:t>针对本项目具有可行的技术培训方案，培训采购人指定的技术人员和管理人员，制定培训课程计划表，列出每种培训的地点和时间，培训内容应包括所提供产品的原理和技术性能、操作维护方法、安装调试、排除故障等各个方面，培训的具体日期及人数由使用单位确定。 培训方案明确，培训内容完整，计划安排清晰可靠得6分； 培训方案不够明确，培训内容基本完整，计划安排清晰得4分； 培训内容较完整，计划安排基本清晰得2分； 未提供或培训内容缺失得0分。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服务承诺</w:t>
            </w:r>
          </w:p>
          <w:p>
            <w:pPr>
              <w:pStyle w:val="null3"/>
            </w:pPr>
            <w:r>
              <w:rPr/>
              <w:t>拟配备团队情况</w:t>
            </w:r>
          </w:p>
          <w:p>
            <w:pPr>
              <w:pStyle w:val="null3"/>
            </w:pPr>
            <w:r>
              <w:rPr/>
              <w:t>实施方案</w:t>
            </w:r>
          </w:p>
        </w:tc>
      </w:tr>
      <w:tr>
        <w:tc>
          <w:tcPr>
            <w:tcW w:type="dxa" w:w="831"/>
            <w:vMerge/>
          </w:tcPr>
          <w:p/>
        </w:tc>
        <w:tc>
          <w:tcPr>
            <w:tcW w:type="dxa" w:w="1661"/>
          </w:tcPr>
          <w:p>
            <w:pPr>
              <w:pStyle w:val="null3"/>
            </w:pPr>
            <w:r>
              <w:rPr/>
              <w:t>售后服务</w:t>
            </w:r>
          </w:p>
        </w:tc>
        <w:tc>
          <w:tcPr>
            <w:tcW w:type="dxa" w:w="2492"/>
          </w:tcPr>
          <w:p>
            <w:pPr>
              <w:pStyle w:val="null3"/>
            </w:pPr>
            <w:r>
              <w:rPr/>
              <w:t>具有相应的物力、人力保障，能够保证产、供、销，服务正常运转，运维期间服务人员的的工作内容及服务方式，有详细的在设备（产品）发生故障后解决故障办法、补救措施等方面的措施或方案，提供详细的售后服务方案及售后服务承诺等，进行赋分。 售后服务方案清晰明确，承诺完整得6分；售后服务方案存在部分偏差，但承诺基本完整得4分；售后服务方案存在部分偏差，承诺未覆盖上述内容得2分； 未提供或售后服务方案过于简略无法满足使用需求的得0分。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服务承诺</w:t>
            </w:r>
          </w:p>
          <w:p>
            <w:pPr>
              <w:pStyle w:val="null3"/>
            </w:pPr>
            <w:r>
              <w:rPr/>
              <w:t>拟配备团队情况</w:t>
            </w:r>
          </w:p>
          <w:p>
            <w:pPr>
              <w:pStyle w:val="null3"/>
            </w:pPr>
            <w:r>
              <w:rPr/>
              <w:t>实施方案</w:t>
            </w:r>
          </w:p>
        </w:tc>
      </w:tr>
      <w:tr>
        <w:tc>
          <w:tcPr>
            <w:tcW w:type="dxa" w:w="831"/>
            <w:vMerge/>
          </w:tcPr>
          <w:p/>
        </w:tc>
        <w:tc>
          <w:tcPr>
            <w:tcW w:type="dxa" w:w="1661"/>
          </w:tcPr>
          <w:p>
            <w:pPr>
              <w:pStyle w:val="null3"/>
            </w:pPr>
            <w:r>
              <w:rPr/>
              <w:t>节能环保</w:t>
            </w:r>
          </w:p>
        </w:tc>
        <w:tc>
          <w:tcPr>
            <w:tcW w:type="dxa" w:w="2492"/>
          </w:tcPr>
          <w:p>
            <w:pPr>
              <w:pStyle w:val="null3"/>
            </w:pPr>
            <w:r>
              <w:rPr/>
              <w:t>供应商投标产品中每有一项为节能产品或环境标志产品经国家认证的得1分。（以经国家确定的认证机构出具的、处于有效期内的节能产品、环境标志产品认证证书为准。）</w:t>
            </w:r>
          </w:p>
        </w:tc>
        <w:tc>
          <w:tcPr>
            <w:tcW w:type="dxa" w:w="831"/>
          </w:tcPr>
          <w:p>
            <w:pPr>
              <w:pStyle w:val="null3"/>
              <w:jc w:val="right"/>
            </w:pPr>
            <w:r>
              <w:rPr/>
              <w:t>1.0000</w:t>
            </w:r>
          </w:p>
        </w:tc>
        <w:tc>
          <w:tcPr>
            <w:tcW w:type="dxa" w:w="831"/>
          </w:tcPr>
          <w:p>
            <w:pPr>
              <w:pStyle w:val="null3"/>
            </w:pPr>
            <w:r>
              <w:rPr/>
              <w:t>客观</w:t>
            </w:r>
          </w:p>
        </w:tc>
        <w:tc>
          <w:tcPr>
            <w:tcW w:type="dxa" w:w="1661"/>
          </w:tcPr>
          <w:p>
            <w:pPr>
              <w:pStyle w:val="null3"/>
            </w:pPr>
            <w:r>
              <w:rPr/>
              <w:t>供应商认为有必要说明的其他资料</w:t>
            </w:r>
          </w:p>
          <w:p>
            <w:pPr>
              <w:pStyle w:val="null3"/>
            </w:pPr>
            <w:r>
              <w:rPr/>
              <w:t>货物简要说明一览表</w:t>
            </w:r>
          </w:p>
        </w:tc>
      </w:tr>
      <w:tr>
        <w:tc>
          <w:tcPr>
            <w:tcW w:type="dxa" w:w="831"/>
            <w:vMerge/>
          </w:tcPr>
          <w:p/>
        </w:tc>
        <w:tc>
          <w:tcPr>
            <w:tcW w:type="dxa" w:w="1661"/>
          </w:tcPr>
          <w:p>
            <w:pPr>
              <w:pStyle w:val="null3"/>
            </w:pPr>
            <w:r>
              <w:rPr/>
              <w:t>业绩</w:t>
            </w:r>
          </w:p>
        </w:tc>
        <w:tc>
          <w:tcPr>
            <w:tcW w:type="dxa" w:w="2492"/>
          </w:tcPr>
          <w:p>
            <w:pPr>
              <w:pStyle w:val="null3"/>
            </w:pPr>
            <w:r>
              <w:rPr/>
              <w:t>提供2021年1月1日至今所投产品业绩（以合同签订时间为准），提供合同复印件（扫描件）加盖供应商公章，每份有效业绩计1分，最高得5分。</w:t>
            </w:r>
          </w:p>
        </w:tc>
        <w:tc>
          <w:tcPr>
            <w:tcW w:type="dxa" w:w="831"/>
          </w:tcPr>
          <w:p>
            <w:pPr>
              <w:pStyle w:val="null3"/>
              <w:jc w:val="right"/>
            </w:pPr>
            <w:r>
              <w:rPr/>
              <w:t>5.0000</w:t>
            </w:r>
          </w:p>
        </w:tc>
        <w:tc>
          <w:tcPr>
            <w:tcW w:type="dxa" w:w="831"/>
          </w:tcPr>
          <w:p>
            <w:pPr>
              <w:pStyle w:val="null3"/>
            </w:pPr>
            <w:r>
              <w:rPr/>
              <w:t>客观</w:t>
            </w:r>
          </w:p>
        </w:tc>
        <w:tc>
          <w:tcPr>
            <w:tcW w:type="dxa" w:w="1661"/>
          </w:tcPr>
          <w:p>
            <w:pPr>
              <w:pStyle w:val="null3"/>
            </w:pPr>
            <w:r>
              <w:rPr/>
              <w:t>项目业绩一览表</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满足招标文件要求且投标价格最低的投标报价为评标基准价，其价格分为满分30分。其他供应商的价格分统一按照下列公式计算：投标报价得分=（评标基准价/投标报价）×30 符合招标文件规定的小微企业、监狱企业、残疾人福利性单位优惠的供应商，价格给予10%的扣除，用扣除后的价格参与评审。</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开标记录表</w:t>
            </w:r>
          </w:p>
          <w:p>
            <w:pPr>
              <w:pStyle w:val="null3"/>
            </w:pPr>
            <w:r>
              <w:rPr/>
              <w:t>开标一览表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开标一览表 中小企业声明函 残疾人福利性单位声明函 开标记录表 标的清单 监狱企业的证明文件</w:t>
            </w:r>
          </w:p>
        </w:tc>
      </w:tr>
    </w:tbl>
    <w:p>
      <w:pPr>
        <w:pStyle w:val="null3"/>
        <w:ind w:firstLine="480"/>
      </w:pPr>
      <w:r>
        <w:rPr/>
        <w:t>说明：</w:t>
      </w:r>
    </w:p>
    <w:p>
      <w:pPr>
        <w:pStyle w:val="null3"/>
        <w:ind w:firstLine="480"/>
      </w:pPr>
      <w:r>
        <w:rPr/>
        <w:t>1、评分的取值按四舍五入法，保留小数点后两位；</w:t>
      </w:r>
    </w:p>
    <w:p>
      <w:pPr>
        <w:pStyle w:val="null3"/>
        <w:ind w:firstLine="480"/>
      </w:pPr>
      <w:r>
        <w:rPr/>
        <w:t>2、评分标准中要求提供复印件的证明材料须清晰可辨。</w:t>
      </w:r>
    </w:p>
    <w:p>
      <w:pPr>
        <w:pStyle w:val="null3"/>
        <w:ind w:firstLine="480"/>
      </w:pPr>
      <w:r>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sz w:val="28"/>
          <w:b/>
        </w:rPr>
        <w:t>5.7废标</w:t>
      </w:r>
    </w:p>
    <w:p>
      <w:pPr>
        <w:pStyle w:val="null3"/>
        <w:ind w:firstLine="480"/>
      </w:pPr>
      <w:r>
        <w:rPr/>
        <w:t>本次政府采购活动中，出现下列情形之一的，予以废标：</w:t>
      </w:r>
    </w:p>
    <w:p>
      <w:pPr>
        <w:pStyle w:val="null3"/>
        <w:ind w:firstLine="480"/>
      </w:pPr>
      <w:r>
        <w:rPr/>
        <w:t>一、符合专业条件的投标人或者对招标文件作实质响应的投标人不足三家的；</w:t>
      </w:r>
    </w:p>
    <w:p>
      <w:pPr>
        <w:pStyle w:val="null3"/>
        <w:ind w:firstLine="480"/>
      </w:pPr>
      <w:r>
        <w:rPr/>
        <w:t>二、出现影响采购公正的违法、违规行为的；</w:t>
      </w:r>
    </w:p>
    <w:p>
      <w:pPr>
        <w:pStyle w:val="null3"/>
        <w:ind w:firstLine="480"/>
      </w:pPr>
      <w:r>
        <w:rPr/>
        <w:t>三、投标人的报价均超过了采购预算，采购人不能支付的；</w:t>
      </w:r>
    </w:p>
    <w:p>
      <w:pPr>
        <w:pStyle w:val="null3"/>
        <w:ind w:firstLine="480"/>
      </w:pPr>
      <w:r>
        <w:rPr/>
        <w:t>四、因重大变故，采购任务取消的；</w:t>
      </w:r>
    </w:p>
    <w:p>
      <w:pPr>
        <w:pStyle w:val="null3"/>
        <w:ind w:firstLine="480"/>
      </w:pPr>
      <w:r>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sz w:val="28"/>
          <w:b/>
        </w:rPr>
        <w:t>5.8定标</w:t>
      </w:r>
    </w:p>
    <w:p>
      <w:pPr>
        <w:pStyle w:val="null3"/>
        <w:outlineLvl w:val="3"/>
      </w:pPr>
      <w:r>
        <w:rPr>
          <w:sz w:val="24"/>
          <w:b/>
        </w:rPr>
        <w:t>5.8.1 定标原则</w:t>
      </w:r>
    </w:p>
    <w:p>
      <w:pPr>
        <w:pStyle w:val="null3"/>
      </w:pPr>
      <w:r>
        <w:rPr/>
        <w:t>采购人在评标报告确定的中标候选人名单中按顺序确定1名中标人。中标候选人并列的，由采购人采取随机抽取的方式确定中标人。</w:t>
      </w:r>
    </w:p>
    <w:p>
      <w:pPr>
        <w:pStyle w:val="null3"/>
        <w:outlineLvl w:val="3"/>
      </w:pPr>
      <w:r>
        <w:rPr>
          <w:sz w:val="24"/>
          <w:b/>
        </w:rPr>
        <w:t>5.8.2定标程序</w:t>
      </w:r>
    </w:p>
    <w:p>
      <w:pPr>
        <w:pStyle w:val="null3"/>
      </w:pPr>
      <w:r>
        <w:rPr/>
        <w:t>一、评标委员会在项目电子化交易系统中编制评标情况，生成评标报告。</w:t>
      </w:r>
    </w:p>
    <w:p>
      <w:pPr>
        <w:pStyle w:val="null3"/>
      </w:pPr>
      <w:r>
        <w:rPr/>
        <w:t>二、代理机构在评标结束之日起2个工作日内将评标报告送采购人。</w:t>
      </w:r>
    </w:p>
    <w:p>
      <w:pPr>
        <w:pStyle w:val="null3"/>
      </w:pPr>
      <w:r>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t>四、根据确定的中标供应商，代理机构在陕西省政府采购网上发布中标结果公告，通过项目电子化交易系统向中标供应商发出中标通知书。</w:t>
      </w:r>
    </w:p>
    <w:p>
      <w:pPr>
        <w:pStyle w:val="null3"/>
        <w:outlineLvl w:val="2"/>
      </w:pPr>
      <w:r>
        <w:rPr>
          <w:sz w:val="28"/>
          <w:b/>
        </w:rPr>
        <w:t>5.9评审专家在政府采购活动中承担以下义务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5.10评审专家在政府采购活动中应当遵守以下工作纪律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（六）服从评审现场采购组织单位的现场秩序管理，接受评审现场监督人员的合法监督。</w:t>
      </w:r>
    </w:p>
    <w:p>
      <w:pPr>
        <w:pStyle w:val="null3"/>
        <w:ind w:firstLine="480"/>
      </w:pPr>
      <w:r>
        <w:rPr/>
        <w:t>（七）遵守有关廉洁自律规定，不得私下接触供应商， 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第六章 投标文件格式</w:t>
      </w:r>
    </w:p>
    <w:p>
      <w:pPr>
        <w:pStyle w:val="null3"/>
      </w:pPr>
      <w:r>
        <w:rPr/>
        <w:t>采购包1：</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详见附件：开标一览表</w:t>
      </w:r>
    </w:p>
    <w:p>
      <w:pPr>
        <w:pStyle w:val="null3"/>
        <w:ind w:firstLine="960"/>
      </w:pPr>
      <w:r>
        <w:rPr/>
        <w:t>详见附件：标的清单</w:t>
      </w:r>
    </w:p>
    <w:p>
      <w:pPr>
        <w:pStyle w:val="null3"/>
        <w:ind w:firstLine="960"/>
      </w:pPr>
      <w:r>
        <w:rPr/>
        <w:t>详见附件：项目业绩一览表</w:t>
      </w:r>
    </w:p>
    <w:p>
      <w:pPr>
        <w:pStyle w:val="null3"/>
        <w:ind w:firstLine="960"/>
      </w:pPr>
      <w:r>
        <w:rPr/>
        <w:t>详见附件：服务承诺</w:t>
      </w:r>
    </w:p>
    <w:p>
      <w:pPr>
        <w:pStyle w:val="null3"/>
        <w:ind w:firstLine="960"/>
      </w:pPr>
      <w:r>
        <w:rPr/>
        <w:t>详见附件：供应商认为有必要说明的其他资料</w:t>
      </w:r>
    </w:p>
    <w:p>
      <w:pPr>
        <w:pStyle w:val="null3"/>
        <w:ind w:firstLine="960"/>
      </w:pPr>
      <w:r>
        <w:rPr/>
        <w:t>详见附件：供应商资格证明文件</w:t>
      </w:r>
    </w:p>
    <w:p>
      <w:pPr>
        <w:pStyle w:val="null3"/>
        <w:ind w:firstLine="960"/>
      </w:pPr>
      <w:r>
        <w:rPr/>
        <w:t>详见附件：规格、技术参数偏离表</w:t>
      </w:r>
    </w:p>
    <w:p>
      <w:pPr>
        <w:pStyle w:val="null3"/>
        <w:ind w:firstLine="960"/>
      </w:pPr>
      <w:r>
        <w:rPr/>
        <w:t>详见附件：货物简要说明一览表</w:t>
      </w:r>
    </w:p>
    <w:p>
      <w:pPr>
        <w:pStyle w:val="null3"/>
        <w:ind w:firstLine="960"/>
      </w:pPr>
      <w:r>
        <w:rPr/>
        <w:t>详见附件：开标记录表</w:t>
      </w:r>
    </w:p>
    <w:p>
      <w:pPr>
        <w:pStyle w:val="null3"/>
        <w:ind w:firstLine="960"/>
      </w:pPr>
      <w:r>
        <w:rPr/>
        <w:t>详见附件：拟配备团队情况</w:t>
      </w:r>
    </w:p>
    <w:p>
      <w:pPr>
        <w:pStyle w:val="null3"/>
        <w:ind w:firstLine="960"/>
      </w:pPr>
      <w:r>
        <w:rPr/>
        <w:t>详见附件：商务要求偏离表</w:t>
      </w:r>
    </w:p>
    <w:p>
      <w:pPr>
        <w:pStyle w:val="null3"/>
        <w:ind w:firstLine="960"/>
      </w:pPr>
      <w:r>
        <w:rPr/>
        <w:t>详见附件：实施方案</w:t>
      </w:r>
    </w:p>
    <w:p>
      <w:pPr>
        <w:pStyle w:val="null3"/>
        <w:ind w:firstLine="960"/>
      </w:pPr>
      <w:r>
        <w:rPr/>
        <w:t>详见附件：投标保证金缴纳凭证</w:t>
      </w:r>
    </w:p>
    <w:p>
      <w:pPr>
        <w:pStyle w:val="null3"/>
      </w:pPr>
      <w:r>
        <w:rPr/>
        <w:t xml:space="preserve"> </w:t>
        <w:br/>
        <w:br w:type="page"/>
      </w:r>
    </w:p>
    <w:p>
      <w:pPr>
        <w:pStyle w:val="null3"/>
        <w:jc w:val="center"/>
        <w:outlineLvl w:val="1"/>
      </w:pPr>
      <w:r>
        <w:rPr>
          <w:sz w:val="36"/>
          <w:b/>
        </w:rPr>
        <w:t>第七章 拟签订合同文本</w:t>
      </w:r>
    </w:p>
    <w:p>
      <w:pPr>
        <w:pStyle w:val="null3"/>
      </w:pPr>
      <w:r>
        <w:rPr/>
        <w:t>详见附件：合同模板.docx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