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长安校区东区1-4号学生公寓楼科研用房改造工程项目</w:t>
      </w:r>
    </w:p>
    <w:p>
      <w:pPr>
        <w:pStyle w:val="null3"/>
        <w:jc w:val="center"/>
        <w:outlineLvl w:val="2"/>
      </w:pPr>
      <w:r>
        <w:rPr>
          <w:sz w:val="28"/>
          <w:b/>
        </w:rPr>
        <w:t>采购项目编号：</w:t>
      </w:r>
      <w:r>
        <w:rPr>
          <w:sz w:val="28"/>
          <w:b/>
        </w:rPr>
        <w:t>SZT2024-SN-SC-ZC-GC-1266.</w:t>
      </w:r>
      <w:r>
        <w:br/>
      </w:r>
      <w:r>
        <w:br/>
      </w:r>
      <w:r>
        <w:br/>
      </w:r>
    </w:p>
    <w:p>
      <w:pPr>
        <w:pStyle w:val="null3"/>
        <w:jc w:val="center"/>
        <w:outlineLvl w:val="2"/>
      </w:pPr>
      <w:r>
        <w:rPr>
          <w:sz w:val="28"/>
          <w:b/>
        </w:rPr>
        <w:t>西安邮电大学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西安邮电大学</w:t>
      </w:r>
      <w:r>
        <w:rPr/>
        <w:t>委托，拟对</w:t>
      </w:r>
      <w:r>
        <w:rPr/>
        <w:t>长安校区东区1-4号学生公寓楼科研用房改造工程项目</w:t>
      </w:r>
      <w:r>
        <w:rPr/>
        <w:t>采用竞争性磋商采购方式进行采购，兹邀请供应商参加本项目的竞争性磋商。</w:t>
      </w:r>
    </w:p>
    <w:p>
      <w:pPr>
        <w:pStyle w:val="null3"/>
        <w:outlineLvl w:val="2"/>
      </w:pPr>
      <w:r>
        <w:rPr>
          <w:sz w:val="28"/>
          <w:b/>
        </w:rPr>
        <w:t>一、采购项目编号：</w:t>
      </w:r>
      <w:r>
        <w:rPr>
          <w:sz w:val="28"/>
          <w:b/>
        </w:rPr>
        <w:t>SZT2024-SN-SC-ZC-GC-1266.</w:t>
      </w:r>
    </w:p>
    <w:p>
      <w:pPr>
        <w:pStyle w:val="null3"/>
        <w:outlineLvl w:val="2"/>
      </w:pPr>
      <w:r>
        <w:rPr>
          <w:sz w:val="28"/>
          <w:b/>
        </w:rPr>
        <w:t>二、采购项目名称：</w:t>
      </w:r>
      <w:r>
        <w:rPr>
          <w:sz w:val="28"/>
          <w:b/>
        </w:rPr>
        <w:t>长安校区东区1-4号学生公寓楼科研用房改造工程项目</w:t>
      </w:r>
    </w:p>
    <w:p>
      <w:pPr>
        <w:pStyle w:val="null3"/>
        <w:outlineLvl w:val="2"/>
      </w:pPr>
      <w:r>
        <w:rPr>
          <w:sz w:val="28"/>
          <w:b/>
        </w:rPr>
        <w:t>三、磋商项目简介</w:t>
      </w:r>
    </w:p>
    <w:p>
      <w:pPr>
        <w:pStyle w:val="null3"/>
        <w:ind w:firstLine="480"/>
      </w:pPr>
      <w:r>
        <w:rPr/>
        <w:t>为缓解当前学生住宿压力，充分利用现有资源，将东区1－4#学生公寓楼内的3～6层16间原科研用房进行分隔，部分用于学生宿舍房间使用。 16间原科研用房总净面积约1400㎡。根据科研用房不同户型结构的特点，拟分隔成4大类不同户型结构房间共48间，按照利用空间、充分安排床位测算，可设置6人间15间、5人间8间，4人间14间、2人间3间，共40间；其它8间不适合作为学生宿舍使用，可作为其它用途使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采购包1（长安校区东区1-4号学生公寓楼科研用房改造）：属于专门面向中小企业采购。</w:t>
      </w:r>
    </w:p>
    <w:p>
      <w:pPr>
        <w:pStyle w:val="null3"/>
        <w:ind w:firstLine="480"/>
      </w:pPr>
      <w:r>
        <w:rPr/>
        <w:t>（三）本项目的特定资格要求：</w:t>
      </w:r>
    </w:p>
    <w:p>
      <w:pPr>
        <w:pStyle w:val="null3"/>
      </w:pPr>
      <w:r>
        <w:rPr/>
        <w:t>采购包1：</w:t>
      </w:r>
    </w:p>
    <w:p>
      <w:pPr>
        <w:pStyle w:val="null3"/>
      </w:pPr>
      <w:r>
        <w:rPr/>
        <w:t>1、供应商：具备具备建筑工程施工总承包三级及以上（含三级），并具备有效的安全生产许可证</w:t>
      </w:r>
    </w:p>
    <w:p>
      <w:pPr>
        <w:pStyle w:val="null3"/>
      </w:pPr>
      <w:r>
        <w:rPr/>
        <w:t>2、拟派项目项目经理要求：拟派项目经理具备建筑工程专业注册建造师二级及以上（含二级）执业资格，且同时具备有效的安全生产考核证（建安B证），在本单位注册；（提供证书复印件） 未担任其他在建工程项目的项目经理（提供承诺函）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西安邮电大学</w:t>
      </w:r>
    </w:p>
    <w:p>
      <w:pPr>
        <w:pStyle w:val="null3"/>
      </w:pPr>
      <w:r>
        <w:rPr/>
        <w:t xml:space="preserve"> 地址： </w:t>
      </w:r>
      <w:r>
        <w:rPr/>
        <w:t>西安市长安区西长安街618号</w:t>
      </w:r>
    </w:p>
    <w:p>
      <w:pPr>
        <w:pStyle w:val="null3"/>
      </w:pPr>
      <w:r>
        <w:rPr/>
        <w:t xml:space="preserve"> 邮编： </w:t>
      </w:r>
      <w:r>
        <w:rPr/>
        <w:t>710055</w:t>
      </w:r>
    </w:p>
    <w:p>
      <w:pPr>
        <w:pStyle w:val="null3"/>
      </w:pPr>
      <w:r>
        <w:rPr/>
        <w:t xml:space="preserve"> 联系人： </w:t>
      </w:r>
      <w:r>
        <w:rPr/>
        <w:t>汪老师</w:t>
      </w:r>
    </w:p>
    <w:p>
      <w:pPr>
        <w:pStyle w:val="null3"/>
      </w:pPr>
      <w:r>
        <w:rPr/>
        <w:t xml:space="preserve"> 联系电话： </w:t>
      </w:r>
      <w:r>
        <w:rPr/>
        <w:t>029-88166850</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赵静</w:t>
      </w:r>
    </w:p>
    <w:p>
      <w:pPr>
        <w:pStyle w:val="null3"/>
      </w:pPr>
      <w:r>
        <w:rPr/>
        <w:t xml:space="preserve"> 联系电话： </w:t>
      </w:r>
      <w:r>
        <w:rPr/>
        <w:t>029-88364979-805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不属于</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不属于</w:t>
            </w:r>
            <w:r>
              <w:rPr/>
              <w:t>产品属于节能产品政府采购品目清单中应优先采购的产品范围，本项目采购</w:t>
            </w:r>
            <w:r>
              <w:rPr/>
              <w:t>不属于</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收取参见国家计委颁布的《招标代理服务收费管理暂行办法》（计价格[2002]1980号）和（发改办价格[2003]857号）工程类收费标准下浮20%收取。此采购代理服务费应计入投标中，但不需要单独开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西安邮电大学</w:t>
      </w:r>
      <w:r>
        <w:rPr/>
        <w:t>和</w:t>
      </w:r>
      <w:r>
        <w:rPr/>
        <w:t>陕西中技招标有限公司</w:t>
      </w:r>
      <w:r>
        <w:rPr/>
        <w:t>享有。对磋商文件中供应商参加本次政府采购活动应当具备的条件，磋商项目技术、服务、商务及其他要求，评审细则及标准由</w:t>
      </w:r>
      <w:r>
        <w:rPr/>
        <w:t>西安邮电大学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西安邮电大学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 xml:space="preserve"> 一、交付竣工验收的工程，必须符合规定的工程质量标准，有完整的工程技术经济资料和经签署的工程保修书，并具备国家规定的其他竣工条件。 工程竣工经验收合格后，方可交付使用；未经验收或者验收不合格的，不得交付使用 二、验收结果合格的，采购人应向成交供应商出具履约验收报告，成交供应商凭验收报告办理相关手续。 三、验收结果不合格的，供应商应进行无偿返修，并应当对采购人的损失承担赔偿责任。 四、验收的所有费用由成交供应商承担。</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联系人：戴阳</w:t>
      </w:r>
    </w:p>
    <w:p>
      <w:pPr>
        <w:pStyle w:val="null3"/>
      </w:pPr>
      <w:r>
        <w:rPr/>
        <w:t>联系电话：029-88364979-856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1,800,000.00</w:t>
      </w:r>
    </w:p>
    <w:p>
      <w:pPr>
        <w:pStyle w:val="null3"/>
      </w:pPr>
      <w:r>
        <w:rPr/>
        <w:t>采购包最高限价（元）: 1,701,862.57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长安校区东区1-4号学生公寓楼科研用房改造</w:t>
            </w:r>
          </w:p>
        </w:tc>
        <w:tc>
          <w:tcPr>
            <w:tcW w:type="dxa" w:w="1384"/>
          </w:tcPr>
          <w:p>
            <w:pPr>
              <w:pStyle w:val="null3"/>
              <w:jc w:val="right"/>
            </w:pPr>
            <w:r>
              <w:rPr/>
              <w:t>1.00</w:t>
            </w:r>
          </w:p>
        </w:tc>
        <w:tc>
          <w:tcPr>
            <w:tcW w:type="dxa" w:w="1384"/>
          </w:tcPr>
          <w:p>
            <w:pPr>
              <w:pStyle w:val="null3"/>
              <w:jc w:val="right"/>
            </w:pPr>
            <w:r>
              <w:rPr/>
              <w:t>1,800,000.00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标的名称：长安校区东区1-4号学生公寓楼科研用房改造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b/>
              </w:rPr>
              <w:t>技术要求</w:t>
            </w:r>
          </w:p>
          <w:p>
            <w:pPr>
              <w:pStyle w:val="null3"/>
            </w:pPr>
            <w:r>
              <w:rPr>
                <w:rFonts w:ascii="calibri" w:hAnsi="calibri" w:cs="calibri" w:eastAsia="calibri"/>
              </w:rPr>
              <w:t>1.</w:t>
            </w:r>
            <w:r>
              <w:rPr>
                <w:rFonts w:ascii="宋体" w:hAnsi="宋体" w:cs="宋体" w:eastAsia="宋体"/>
              </w:rPr>
              <w:t>工程项目内容及主要材料设备清单，详见</w:t>
            </w:r>
            <w:r>
              <w:rPr>
                <w:rFonts w:ascii="宋体" w:hAnsi="宋体" w:cs="宋体" w:eastAsia="宋体"/>
              </w:rPr>
              <w:t>工程量清单</w:t>
            </w:r>
          </w:p>
          <w:p>
            <w:pPr>
              <w:pStyle w:val="null3"/>
              <w:jc w:val="both"/>
            </w:pPr>
            <w:r>
              <w:rPr>
                <w:rFonts w:ascii="calibri" w:hAnsi="calibri" w:cs="calibri" w:eastAsia="calibri"/>
                <w:sz w:val="21"/>
              </w:rPr>
              <w:t>2.</w:t>
            </w:r>
            <w:r>
              <w:rPr>
                <w:rFonts w:ascii="宋体" w:hAnsi="宋体" w:cs="宋体" w:eastAsia="宋体"/>
                <w:sz w:val="21"/>
              </w:rPr>
              <w:t>施工及技术</w:t>
            </w:r>
            <w:r>
              <w:rPr>
                <w:rFonts w:ascii="宋体" w:hAnsi="宋体" w:cs="宋体" w:eastAsia="宋体"/>
                <w:sz w:val="21"/>
              </w:rPr>
              <w:t>要求</w:t>
            </w:r>
            <w:r>
              <w:rPr>
                <w:rFonts w:ascii="宋体" w:hAnsi="宋体" w:cs="宋体" w:eastAsia="宋体"/>
                <w:sz w:val="21"/>
              </w:rPr>
              <w:t>：除符合国家相应标准、规范等外，不得影响学生正常起居生活，保证施工和学生安全。现场拆除后的玻璃隔断、防盗门等需向建设单位报备，并对对方在指定地点。进场后按照具体施工情况绘制电子版竣工图。</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0"/>
                <w:b/>
              </w:rPr>
              <w:t>项目需执行的国家标准、行业标准、地方标准或者其他标准、规范等：</w:t>
            </w:r>
          </w:p>
          <w:tbl>
            <w:tblPr>
              <w:tblInd w:type="dxa" w:w="120"/>
              <w:tblBorders>
                <w:top w:val="none" w:color="000000" w:sz="4"/>
                <w:left w:val="none" w:color="000000" w:sz="4"/>
                <w:bottom w:val="none" w:color="000000" w:sz="4"/>
                <w:right w:val="none" w:color="000000" w:sz="4"/>
                <w:insideH w:val="none"/>
                <w:insideV w:val="none"/>
              </w:tblBorders>
            </w:tblPr>
            <w:tblGrid>
              <w:gridCol w:w="218"/>
              <w:gridCol w:w="2335"/>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2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标准、规范、规程名称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《火灾自动报警系统施工与验收规范》（</w:t>
                  </w:r>
                  <w:r>
                    <w:rPr>
                      <w:rFonts w:ascii="宋体" w:hAnsi="宋体" w:cs="宋体" w:eastAsia="宋体"/>
                      <w:sz w:val="20"/>
                    </w:rPr>
                    <w:t>GB50166-2019）</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《消防给水及消火栓系统技术规范》（</w:t>
                  </w:r>
                  <w:r>
                    <w:rPr>
                      <w:rFonts w:ascii="宋体" w:hAnsi="宋体" w:cs="宋体" w:eastAsia="宋体"/>
                      <w:sz w:val="20"/>
                    </w:rPr>
                    <w:t>GB60974-2014）</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《建筑给排水及采暖施工质量验收规范》（</w:t>
                  </w:r>
                  <w:r>
                    <w:rPr>
                      <w:rFonts w:ascii="宋体" w:hAnsi="宋体" w:cs="宋体" w:eastAsia="宋体"/>
                      <w:sz w:val="20"/>
                    </w:rPr>
                    <w:t>GB50242-2002）</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《采暖通风与空气调节设计规范》（</w:t>
                  </w:r>
                  <w:r>
                    <w:rPr>
                      <w:rFonts w:ascii="宋体" w:hAnsi="宋体" w:cs="宋体" w:eastAsia="宋体"/>
                      <w:sz w:val="20"/>
                    </w:rPr>
                    <w:t>GB50019-20023）</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《建筑设计防火规范》（</w:t>
                  </w:r>
                  <w:r>
                    <w:rPr>
                      <w:rFonts w:ascii="宋体" w:hAnsi="宋体" w:cs="宋体" w:eastAsia="宋体"/>
                      <w:sz w:val="20"/>
                    </w:rPr>
                    <w:t>GB50016-2014）（2018 版）</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《火灾自动报警系统设计规范》（</w:t>
                  </w:r>
                  <w:r>
                    <w:rPr>
                      <w:rFonts w:ascii="宋体" w:hAnsi="宋体" w:cs="宋体" w:eastAsia="宋体"/>
                      <w:sz w:val="20"/>
                    </w:rPr>
                    <w:t>GB50116-2013）</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《自动喷水灭火系统设计规范》（</w:t>
                  </w:r>
                  <w:r>
                    <w:rPr>
                      <w:rFonts w:ascii="宋体" w:hAnsi="宋体" w:cs="宋体" w:eastAsia="宋体"/>
                      <w:sz w:val="20"/>
                    </w:rPr>
                    <w:t>GB50084-2001）</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《消防应急照明和疏散指示系统》</w:t>
                  </w:r>
                  <w:r>
                    <w:rPr>
                      <w:rFonts w:ascii="宋体" w:hAnsi="宋体" w:cs="宋体" w:eastAsia="宋体"/>
                      <w:sz w:val="20"/>
                    </w:rPr>
                    <w:t>GB17945-2010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《建筑给水排水设计规范》</w:t>
                  </w:r>
                  <w:r>
                    <w:rPr>
                      <w:rFonts w:ascii="宋体" w:hAnsi="宋体" w:cs="宋体" w:eastAsia="宋体"/>
                      <w:sz w:val="20"/>
                    </w:rPr>
                    <w:t>GB50015-2003（2009 年版）</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《建筑灭火器配置设计规范》</w:t>
                  </w:r>
                  <w:r>
                    <w:rPr>
                      <w:rFonts w:ascii="宋体" w:hAnsi="宋体" w:cs="宋体" w:eastAsia="宋体"/>
                      <w:sz w:val="20"/>
                    </w:rPr>
                    <w:t>GB50140-2005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《消防设备电源监控系统》</w:t>
                  </w:r>
                  <w:r>
                    <w:rPr>
                      <w:rFonts w:ascii="宋体" w:hAnsi="宋体" w:cs="宋体" w:eastAsia="宋体"/>
                      <w:sz w:val="20"/>
                    </w:rPr>
                    <w:t>GB28184-2011</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《消防控制室通用技术要求》</w:t>
                  </w:r>
                  <w:r>
                    <w:rPr>
                      <w:rFonts w:ascii="宋体" w:hAnsi="宋体" w:cs="宋体" w:eastAsia="宋体"/>
                      <w:sz w:val="20"/>
                    </w:rPr>
                    <w:t>GB25506-2010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《自动喷水灭火系统施工与验收规范》</w:t>
                  </w:r>
                  <w:r>
                    <w:rPr>
                      <w:rFonts w:ascii="宋体" w:hAnsi="宋体" w:cs="宋体" w:eastAsia="宋体"/>
                      <w:sz w:val="20"/>
                    </w:rPr>
                    <w:t>GB 50261-2017</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2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《建筑防排烟系统技术标准》</w:t>
                  </w:r>
                  <w:r>
                    <w:rPr>
                      <w:rFonts w:ascii="宋体" w:hAnsi="宋体" w:cs="宋体" w:eastAsia="宋体"/>
                      <w:sz w:val="20"/>
                    </w:rPr>
                    <w:t>GB51251-2017</w:t>
                  </w:r>
                </w:p>
              </w:tc>
            </w:tr>
          </w:tbl>
          <w:p>
            <w:pPr>
              <w:pStyle w:val="null3"/>
              <w:jc w:val="both"/>
            </w:pPr>
            <w:r>
              <w:rPr>
                <w:rFonts w:ascii="宋体" w:hAnsi="宋体" w:cs="宋体" w:eastAsia="宋体"/>
                <w:sz w:val="20"/>
              </w:rPr>
              <w:t>注：包括但不限于以上规范、标准，且以上规范、标准若有更新及替换，自动按最新现行版执行。</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工程量清单（详见附件）</w:t>
            </w:r>
            <w:r>
              <w:rPr>
                <w:rFonts w:ascii="宋体" w:hAnsi="宋体" w:cs="宋体" w:eastAsia="宋体"/>
                <w:sz w:val="21"/>
              </w:rPr>
              <w:t>（说明：工程量清单应当结合《政府采购需求管理办法》（财库〔</w:t>
            </w:r>
            <w:r>
              <w:rPr>
                <w:rFonts w:ascii="calibri" w:hAnsi="calibri" w:cs="calibri" w:eastAsia="calibri"/>
                <w:sz w:val="21"/>
              </w:rPr>
              <w:t>2021</w:t>
            </w:r>
            <w:r>
              <w:rPr>
                <w:rFonts w:ascii="宋体" w:hAnsi="宋体" w:cs="宋体" w:eastAsia="宋体"/>
                <w:sz w:val="21"/>
              </w:rPr>
              <w:t>〕</w:t>
            </w:r>
            <w:r>
              <w:rPr>
                <w:rFonts w:ascii="calibri" w:hAnsi="calibri" w:cs="calibri" w:eastAsia="calibri"/>
                <w:sz w:val="21"/>
              </w:rPr>
              <w:t>22</w:t>
            </w:r>
            <w:r>
              <w:rPr>
                <w:rFonts w:ascii="宋体" w:hAnsi="宋体" w:cs="宋体" w:eastAsia="宋体"/>
                <w:sz w:val="21"/>
              </w:rPr>
              <w:t>号）第六条第二款规定，明确相关性能、材料、结构、外观、安全、标准等。）</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工艺达到国家级行业现行技术规范标准，符合国家国家级行业验收合格标准。</w:t>
      </w:r>
    </w:p>
    <w:p>
      <w:pPr>
        <w:pStyle w:val="null3"/>
        <w:ind w:firstLine="480"/>
      </w:pPr>
      <w:r>
        <w:rPr/>
        <w:t>三、针对本项目的其他技术服务要求：</w:t>
      </w:r>
    </w:p>
    <w:p>
      <w:pPr>
        <w:pStyle w:val="null3"/>
      </w:pPr>
      <w:r>
        <w:rPr/>
        <w:t>其中项目预备费（暂列金）10万元，（1）项目预算:1,800,000.00元，项目预备费（暂列金）为不可竞争费用，供应商不得变更。 （2）工期：（1）第一阶段：2024年寒假期间；（2）第二阶段2025年暑假期间（暑假结束前5天全部完工，不扣除节假日）。合计70天。 （3）地点：采购人指定地点。 （4）现场条件：现场具备维修施工条件。（5）合同类型：固定全费用单价合同，全费用单价不受市场价格及税率变化因素的影响，据实结算。 （6）支付方式：①按照寒假期间完成工程量的60%支付一次进度款②验收合格支付至合同金额60%③审计审核后支付至审计金额97%，扣留3%质保金（质保期限2年） （7）质量标准：达到国家消防规范验收合格标准，通过采购人使用部门验收合格，且需满足以下质量要求：①供应商须提供全新的货物(含零部件、配件、使用说明书等)，表面无划伤、无碰撞痕迹，且权属清楚，不得侵害他人的知识产权，并按照相关要求包装完好。②产品必须符合或优于国家(行业)标准、地方标准或者其他标准、规范要求。③交货验收时每台货物上均应有产品质量检验合格标志，且须提供产品质检部门从同类产品中抽样检查合格的检测报告。④货物制造质量出现问题，供应商应负责三包，费用由供应商负担。⑤本次采购货物中若涉及消防产品强制性产品认证目录（国内消防产品3C认证目录（强制））内的产品，供应商需承诺其产品均具备3C认证，并且在中标后签订合同前向采购人提供相关证书。⑥拆除掉的原设施设备需交回采购人，未交者视为未更换维修。 （8）投标标价：投标报价以暂定总价为评审依据，结算时以下浮后的全费用单价据实结算，全费用单价包括消防系统但不限于完成检测维修的人工费、材料费（须列明主要材料品牌）、机械费、垃圾清运费、材料吊运费、设施常规/临时维修保养费、脚手架安拆费、垂直运输费、设计费、加工费、第三方环境检测费、材料试验、检验试验费及保管费、管理费、利润、措施费、安全文明施工费、社会保障费、各类保险费、政策性文件规定费用、税金等全部工程费用，并包括各项费用和价格的涨价风险，建材生产企业或建筑施工企业政策性停产、限产带来的风险，以及合同明示或暗示的所有责任、义务和不可抗力以外的一切风险。供应商应充分考虑风险和采购人的特殊要求等而增加的费用，成交后不得改变服务内容、质量标准、期限与追加项目预算。 （9）质保期及保修要求 ①质保期：本项目竣工验收合格通过之日起 2 年； ②保修要求：属于保修范围和内容的项目，成交供应商提供2人24小时驻校技术支持服务（食宿费用自理），应在接到维修通知后，10分钟内到达现场，一般故障不更换设施配件1小时内修复；更换配件、系统重装等4小时内修复；如不能及时解决，成交供应商负责提供备用设备、材料等替用，直到故障修复解决。故障问题解决后 24 小时内，向采购人提交问题处理报告，说明问题种类、问题原因、问题解决中使用的方法及造成的损失等情况。 质保期满前1个月，供应商应负责一次全面的检查，并出具书面检查报告，如发现潜在问题应负责排除且不收取任何费用。 培训服务：合同生效后，成交供应商应组织厂家给采购人提供专业、全方位的培训服务，包括产品的使用、日常维护及注意事项。培训故障诊断人员及维修人员3人，保证采购人正常使用。产品技术服务以及所有培训均免费为采购人提供。</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1、安装环境、配套工作和绿色、节能、环保要求及其他需说明的情况 ①成交供应商应严格遵守采购人的有关规章制度，施工人员进入施工现场应佩戴证件并穿戴必要的防护用品，配置齐全的检测维修设备设施、专业工具器械等（所有费用成交供应商自行承担）。施工期间必须严格按照有关规定，做好施工现场管理，做到安全施工、文明施工，防火、防电、防盗、防高空坠落，保证施工人员安全和其他工作人员安全，出现的一切人身伤亡事故和安全责任事故均由成交供应商负责；对于不按规定要求施工的，采购人有权中止其施工，不听劝阻的，将做罚款处理，直至停止施工。 ②施工现场要设置醒目的符合安全规定的安全警示标志、安全标语、夜间须设警示灯，设置标准及数量需满足安全法的相关规定，并设专人负责值班，作业现场有安全操作规章制度。 ③现场维修施工条件。施工前，根据成交供应商施工进度方案，采购人委派专人协调消防重点部位所属物业管理部门，协助成交供应商维修施工。成交供应商因施工需要需断电、断水等，应提前3-5日告知采购人，及时发布停电、停水公告。 ④成交供应商应做好场区内环境保护，防止环境污染。成交供应商使用任何机械前须经采购人同意；施工中不得污染周边环境；做好各类设施维护。任何因施工造成的环境破坏和污染，成交供应商都有责任采取措施予以防止和消除。由于成交供应商过失、疏忽或未按采购人指示做好环境保护工作导致需要另外采取环境保护措施，这部分额外工作的费用应由成交供应商负担。 ⑤在施工期间或竣工后，注意保护施工现场的环境卫生，工程施工中的垃圾要及时外运，不得在现场存放。工程竣工后，将施工垃圾全部清理完毕，做到工完、料净、场地清。 ⑥工程质量保修要求：成交供应商中标后应与采购人协商工程保修相关事项，并签订工程质量保修书. 2、为顺利推进政府采购电子化交易平台试点应用工作，供应商需要在线提交所有通过电子化交易平台实施的政府采购项目的投标文件，同时，线下提交投标文件正本 壹 份、副本 壹套。若系统电子投标文件与纸质投标文件不一致的，以系统电子投标文件为准。 3、定标环节采购人有权对投标文件承诺响应的内容进行复核，如有虚假响应，一经发现，取消成交资格并上报财政主管部门，列入政府采购黑名单。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供应商为本项目提供的资格证明文件及其他</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需要落实的政府采购政策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w:t>
            </w:r>
          </w:p>
        </w:tc>
        <w:tc>
          <w:tcPr>
            <w:tcW w:type="dxa" w:w="3322"/>
          </w:tcPr>
          <w:p>
            <w:pPr>
              <w:pStyle w:val="null3"/>
            </w:pPr>
            <w:r>
              <w:rPr/>
              <w:t>具备具备建筑工程施工总承包三级及以上（含三级），并具备有效的安全生产许可证</w:t>
            </w:r>
          </w:p>
        </w:tc>
        <w:tc>
          <w:tcPr>
            <w:tcW w:type="dxa" w:w="1661"/>
          </w:tcPr>
          <w:p>
            <w:pPr>
              <w:pStyle w:val="null3"/>
            </w:pPr>
            <w:r>
              <w:rPr/>
              <w:t>响应文件封面 供应商为本项目提供的资格证明文件及其他 响应函</w:t>
            </w:r>
          </w:p>
        </w:tc>
      </w:tr>
      <w:tr>
        <w:tc>
          <w:tcPr>
            <w:tcW w:type="dxa" w:w="831"/>
          </w:tcPr>
          <w:p>
            <w:pPr>
              <w:pStyle w:val="null3"/>
            </w:pPr>
            <w:r>
              <w:rPr/>
              <w:t>2</w:t>
            </w:r>
          </w:p>
        </w:tc>
        <w:tc>
          <w:tcPr>
            <w:tcW w:type="dxa" w:w="2492"/>
          </w:tcPr>
          <w:p>
            <w:pPr>
              <w:pStyle w:val="null3"/>
            </w:pPr>
            <w:r>
              <w:rPr/>
              <w:t>拟派项目项目经理要求</w:t>
            </w:r>
          </w:p>
        </w:tc>
        <w:tc>
          <w:tcPr>
            <w:tcW w:type="dxa" w:w="3322"/>
          </w:tcPr>
          <w:p>
            <w:pPr>
              <w:pStyle w:val="null3"/>
            </w:pPr>
            <w:r>
              <w:rPr/>
              <w:t>拟派项目经理具备建筑工程专业注册建造师二级及以上（含二级）执业资格，且同时具备有效的安全生产考核证（建安B证），在本单位注册；（提供证书复印件） 未担任其他在建工程项目的项目经理（提供承诺函）</w:t>
            </w:r>
          </w:p>
        </w:tc>
        <w:tc>
          <w:tcPr>
            <w:tcW w:type="dxa" w:w="1661"/>
          </w:tcPr>
          <w:p>
            <w:pPr>
              <w:pStyle w:val="null3"/>
            </w:pPr>
            <w:r>
              <w:rPr/>
              <w:t>供应商为本项目提供的资格证明文件及其他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供应商提供自2022年1月至今承接的类似业绩证明材料，每提供1项得2分，满分10分。 注：业绩证明材料为加盖供应商公章的合同复印件或扫描件，时间以合同签订时间为准，缺少资料或未按照上述要求提供的，均按照0分计入。</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拟派项目经理</w:t>
            </w:r>
          </w:p>
        </w:tc>
        <w:tc>
          <w:tcPr>
            <w:tcW w:type="dxa" w:w="2492"/>
          </w:tcPr>
          <w:p>
            <w:pPr>
              <w:pStyle w:val="null3"/>
            </w:pPr>
            <w:r>
              <w:rPr/>
              <w:t>1.拟派项目经理的职称（2分） 拟派项目经理具备高级工程师及以上技术职称的（含高级工程师），得2分；具备工程师技术职称的，得1分；其余情况不得分。 评审依据：评审时以供应商提供的加盖供应商公章的拟派项目经理最高职称证书的扫描件或复印件为准，提供多个职称证明材料的，以最高职称材料为准，未提供的不得分。 2.拟派项目经理经验（2分） 供应商每提供1项拟派项目经理自2021年1月以来至今已完成的类似工程项目业绩的（在该项目中担任项目经理一职），得1分；最高得2分。 评审依据：附合同复印件或扫描件并加盖供应商公章，时间以合同签订时间为准。缺少资料或未按照上述要求提供的，均按照0分计入。 注：所提供合同复印件或扫描件中必须体现拟派项目经理在该项目中担任项目经理一职，否则不予赋分；与企业业绩可重复提供。</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参与本项目主要人员配备表</w:t>
            </w:r>
          </w:p>
        </w:tc>
      </w:tr>
      <w:tr>
        <w:tc>
          <w:tcPr>
            <w:tcW w:type="dxa" w:w="831"/>
            <w:vMerge/>
          </w:tcPr>
          <w:p/>
        </w:tc>
        <w:tc>
          <w:tcPr>
            <w:tcW w:type="dxa" w:w="1661"/>
          </w:tcPr>
          <w:p>
            <w:pPr>
              <w:pStyle w:val="null3"/>
            </w:pPr>
            <w:r>
              <w:rPr/>
              <w:t>节能环保</w:t>
            </w:r>
          </w:p>
        </w:tc>
        <w:tc>
          <w:tcPr>
            <w:tcW w:type="dxa" w:w="2492"/>
          </w:tcPr>
          <w:p>
            <w:pPr>
              <w:pStyle w:val="null3"/>
            </w:pPr>
            <w:r>
              <w:rPr/>
              <w:t>供应商拟投入本项目所使用的主要材料中的产品属于政府采购优先采购范围的，则每有一项为节能产品或者环境标志产品的得0.5分，非节能、环境标志产品的不得分。本项最多得2分。 注：属于优先采购范围内的节能产品或者环境标志产品的，提供国家确定的认证机构出具的、处于有效期之内的节能产品、环境标志产品认证证书复印件加盖供应商公章。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节能环保表</w:t>
            </w:r>
          </w:p>
        </w:tc>
      </w:tr>
      <w:tr>
        <w:tc>
          <w:tcPr>
            <w:tcW w:type="dxa" w:w="831"/>
            <w:vMerge/>
          </w:tcPr>
          <w:p/>
        </w:tc>
        <w:tc>
          <w:tcPr>
            <w:tcW w:type="dxa" w:w="1661"/>
          </w:tcPr>
          <w:p>
            <w:pPr>
              <w:pStyle w:val="null3"/>
            </w:pPr>
            <w:r>
              <w:rPr/>
              <w:t>主要材料要求</w:t>
            </w:r>
          </w:p>
        </w:tc>
        <w:tc>
          <w:tcPr>
            <w:tcW w:type="dxa" w:w="2492"/>
          </w:tcPr>
          <w:p>
            <w:pPr>
              <w:pStyle w:val="null3"/>
            </w:pPr>
            <w:r>
              <w:rPr/>
              <w:t>供应商需针对本项目提供项目的主材清单（清单内容包括但不限于材料名称、品牌、规格、材质等）及主材检测报告、技术参数性能证明材料等资料，根据提供内容的完整程度进行综合评分： ①提供主材及清单内容完整齐全，技术参数性能完全满足采购人要求根据响应情况得4分； ②提供主材及清单内容基本齐全，技术参数性能基本满足采购人要求根据响应情况得2分； ③未提供得0分。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主材及型号表</w:t>
            </w:r>
          </w:p>
        </w:tc>
      </w:tr>
      <w:tr>
        <w:tc>
          <w:tcPr>
            <w:tcW w:type="dxa" w:w="831"/>
            <w:vMerge/>
          </w:tcPr>
          <w:p/>
        </w:tc>
        <w:tc>
          <w:tcPr>
            <w:tcW w:type="dxa" w:w="1661"/>
          </w:tcPr>
          <w:p>
            <w:pPr>
              <w:pStyle w:val="null3"/>
            </w:pPr>
            <w:r>
              <w:rPr/>
              <w:t>供应商针对本项目在质量保修期内如出现质量问题的解决措施、解决问题的响应时效等进行说明。</w:t>
            </w:r>
          </w:p>
        </w:tc>
        <w:tc>
          <w:tcPr>
            <w:tcW w:type="dxa" w:w="2492"/>
          </w:tcPr>
          <w:p>
            <w:pPr>
              <w:pStyle w:val="null3"/>
            </w:pPr>
            <w:r>
              <w:rPr/>
              <w:t>①措施明确可行、响应时效迅速及时得7分； ②措施有缺失或可行性一般得3分； ③未提供不得分。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质量保修</w:t>
            </w:r>
          </w:p>
        </w:tc>
        <w:tc>
          <w:tcPr>
            <w:tcW w:type="dxa" w:w="2492"/>
          </w:tcPr>
          <w:p>
            <w:pPr>
              <w:pStyle w:val="null3"/>
            </w:pPr>
            <w:r>
              <w:rPr/>
              <w:t>供应商承诺在项目验收通过后，保修期在采购文件要求基础上，质保期每增加一年加 1分，最多3分。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施工方案</w:t>
            </w:r>
          </w:p>
        </w:tc>
      </w:tr>
      <w:tr>
        <w:tc>
          <w:tcPr>
            <w:tcW w:type="dxa" w:w="831"/>
            <w:vMerge/>
          </w:tcPr>
          <w:p/>
        </w:tc>
        <w:tc>
          <w:tcPr>
            <w:tcW w:type="dxa" w:w="1661"/>
          </w:tcPr>
          <w:p>
            <w:pPr>
              <w:pStyle w:val="null3"/>
            </w:pPr>
            <w:r>
              <w:rPr/>
              <w:t>施工方案</w:t>
            </w:r>
          </w:p>
        </w:tc>
        <w:tc>
          <w:tcPr>
            <w:tcW w:type="dxa" w:w="2492"/>
          </w:tcPr>
          <w:p>
            <w:pPr>
              <w:pStyle w:val="null3"/>
            </w:pPr>
            <w:r>
              <w:rPr/>
              <w:t xml:space="preserve"> ①未提供方案得 0 分； ②方案不完整或部分合理的得2 分； ③针对本工程现场实际情况的方案完整、合理得5分；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①未提供方案得 0 分； ②方案不完整或部分合理的得 2 分； ③针对本工程现场实际情况的方案完整、合理得5分；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确保安全生产的技术组织措施（包括人员安全防控技术组织措施，包括但不限于以下内容：外来人员排查管理、现场安全作业封闭管理、应急措施等方面）</w:t>
            </w:r>
          </w:p>
        </w:tc>
        <w:tc>
          <w:tcPr>
            <w:tcW w:type="dxa" w:w="2492"/>
          </w:tcPr>
          <w:p>
            <w:pPr>
              <w:pStyle w:val="null3"/>
            </w:pPr>
            <w:r>
              <w:rPr/>
              <w:t>①未提供方案得 0 分； ②方案不完整或部分合理的得 1分； ③针对本工程现场实际情况的方案完整、合理得4分；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确保文明 施工的技术组织措施及环境保护措施</w:t>
            </w:r>
          </w:p>
        </w:tc>
        <w:tc>
          <w:tcPr>
            <w:tcW w:type="dxa" w:w="2492"/>
          </w:tcPr>
          <w:p>
            <w:pPr>
              <w:pStyle w:val="null3"/>
            </w:pPr>
            <w:r>
              <w:rPr/>
              <w:t>①未提供方案得 0 分； ②方案不完整或部分合理的得 1 分； ③针对本工程现场实际情况的方案完整、合理得4分；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①未提供方案得 0 分； ②方案不完整或部分合理的得 1 分； ③针对本工程现场实际情况的方案完整、合理得4分；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①未提供方案得 0 分； ②方案不完整或部分合理的得 1 分； ③针对本工程现场实际情况的方案完整、合理得4分；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施工进度表或施工网络图</w:t>
            </w:r>
          </w:p>
        </w:tc>
        <w:tc>
          <w:tcPr>
            <w:tcW w:type="dxa" w:w="2492"/>
          </w:tcPr>
          <w:p>
            <w:pPr>
              <w:pStyle w:val="null3"/>
            </w:pPr>
            <w:r>
              <w:rPr/>
              <w:t xml:space="preserve"> ①未提供方案得 0 分； ②方案不完整或部分合理的得 1 分； ③针对本工程现场实际情况的方案完整、合理得4分；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p>
            <w:pPr>
              <w:pStyle w:val="null3"/>
            </w:pPr>
            <w:r>
              <w:rPr/>
              <w:t>拟投入设备、工具一览表</w:t>
            </w:r>
          </w:p>
        </w:tc>
      </w:tr>
      <w:tr>
        <w:tc>
          <w:tcPr>
            <w:tcW w:type="dxa" w:w="831"/>
            <w:vMerge/>
          </w:tcPr>
          <w:p/>
        </w:tc>
        <w:tc>
          <w:tcPr>
            <w:tcW w:type="dxa" w:w="1661"/>
          </w:tcPr>
          <w:p>
            <w:pPr>
              <w:pStyle w:val="null3"/>
            </w:pPr>
            <w:r>
              <w:rPr/>
              <w:t>针对高校特点，为减少对校内科研及师生生活影响的施工举措</w:t>
            </w:r>
          </w:p>
        </w:tc>
        <w:tc>
          <w:tcPr>
            <w:tcW w:type="dxa" w:w="2492"/>
          </w:tcPr>
          <w:p>
            <w:pPr>
              <w:pStyle w:val="null3"/>
            </w:pPr>
            <w:r>
              <w:rPr/>
              <w:t>①未提供方案得0分； ②方案不完整或部分合理的得1分； ③针对本工程现场实际情况的方案完整、合理得4分；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项目进展情况汇报、沟通措施</w:t>
            </w:r>
          </w:p>
        </w:tc>
        <w:tc>
          <w:tcPr>
            <w:tcW w:type="dxa" w:w="2492"/>
          </w:tcPr>
          <w:p>
            <w:pPr>
              <w:pStyle w:val="null3"/>
            </w:pPr>
            <w:r>
              <w:rPr/>
              <w:t>①未提供方案得 0 分； ②方案不完整或部分合理的得 1 分； ③针对本工程现场实际情况的方案完整、合理得4分；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突发、应急事项处理举措</w:t>
            </w:r>
          </w:p>
        </w:tc>
        <w:tc>
          <w:tcPr>
            <w:tcW w:type="dxa" w:w="2492"/>
          </w:tcPr>
          <w:p>
            <w:pPr>
              <w:pStyle w:val="null3"/>
            </w:pPr>
            <w:r>
              <w:rPr/>
              <w:t>①未提供方案得 0 分； ②方案不完整或部分合理的得 1 分； ③针对本工程现场实际情况的方案完整、合理得4分；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及时有效响应甲方、监理方管理及监督的举措</w:t>
            </w:r>
          </w:p>
        </w:tc>
        <w:tc>
          <w:tcPr>
            <w:tcW w:type="dxa" w:w="2492"/>
          </w:tcPr>
          <w:p>
            <w:pPr>
              <w:pStyle w:val="null3"/>
            </w:pPr>
            <w:r>
              <w:rPr/>
              <w:t>①未提供方案得 0 分； ②方案不完整或部分合理的得 1 分； ③针对本工程现场实际情况的方案完整、合理得4分；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项目经理部人员组成</w:t>
            </w:r>
          </w:p>
        </w:tc>
        <w:tc>
          <w:tcPr>
            <w:tcW w:type="dxa" w:w="2492"/>
          </w:tcPr>
          <w:p>
            <w:pPr>
              <w:pStyle w:val="null3"/>
            </w:pPr>
            <w:r>
              <w:rPr/>
              <w:t>①未提供方案得 0 分； ②方案不完整或部分合理的得 1 分； ③方案完整、合理得4分；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p>
            <w:pPr>
              <w:pStyle w:val="null3"/>
            </w:pPr>
            <w:r>
              <w:rPr/>
              <w:t>参与本项目主要人员配备表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满足磋商文件要求且最后磋商价格最低的磋商报价为评标基准价，其价格分为满分。其他供应商的价格分统一按照下列公式计算：磋商报价得分=（评标基准价/磋商报价）×20。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标的清单</w:t>
            </w:r>
          </w:p>
          <w:p>
            <w:pPr>
              <w:pStyle w:val="null3"/>
            </w:pPr>
            <w:r>
              <w:rPr/>
              <w:t>响应函</w:t>
            </w:r>
          </w:p>
          <w:p>
            <w:pPr>
              <w:pStyle w:val="null3"/>
            </w:pPr>
            <w:r>
              <w:rPr/>
              <w:t>报价函</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详见附件：供应商类似项目业绩一览表</w:t>
      </w:r>
    </w:p>
    <w:p>
      <w:pPr>
        <w:pStyle w:val="null3"/>
        <w:ind w:firstLine="960"/>
      </w:pPr>
      <w:r>
        <w:rPr/>
        <w:t>详见附件：标的清单</w:t>
      </w:r>
    </w:p>
    <w:p>
      <w:pPr>
        <w:pStyle w:val="null3"/>
        <w:ind w:firstLine="960"/>
      </w:pPr>
      <w:r>
        <w:rPr/>
        <w:t>详见附件：主材及型号表</w:t>
      </w:r>
    </w:p>
    <w:p>
      <w:pPr>
        <w:pStyle w:val="null3"/>
        <w:ind w:firstLine="960"/>
      </w:pPr>
      <w:r>
        <w:rPr/>
        <w:t>详见附件：参与本项目主要人员配备表</w:t>
      </w:r>
    </w:p>
    <w:p>
      <w:pPr>
        <w:pStyle w:val="null3"/>
        <w:ind w:firstLine="960"/>
      </w:pPr>
      <w:r>
        <w:rPr/>
        <w:t>详见附件：供应商为本项目提供的资格证明文件及其他</w:t>
      </w:r>
    </w:p>
    <w:p>
      <w:pPr>
        <w:pStyle w:val="null3"/>
        <w:ind w:firstLine="960"/>
      </w:pPr>
      <w:r>
        <w:rPr/>
        <w:t>详见附件：拟投入设备、工具一览表</w:t>
      </w:r>
    </w:p>
    <w:p>
      <w:pPr>
        <w:pStyle w:val="null3"/>
        <w:ind w:firstLine="960"/>
      </w:pPr>
      <w:r>
        <w:rPr/>
        <w:t>详见附件：需要落实的政府采购政策</w:t>
      </w:r>
    </w:p>
    <w:p>
      <w:pPr>
        <w:pStyle w:val="null3"/>
        <w:ind w:firstLine="960"/>
      </w:pPr>
      <w:r>
        <w:rPr/>
        <w:t>详见附件：施工方案</w:t>
      </w:r>
    </w:p>
    <w:p>
      <w:pPr>
        <w:pStyle w:val="null3"/>
        <w:ind w:firstLine="960"/>
      </w:pPr>
      <w:r>
        <w:rPr/>
        <w:t>详见附件：节能环保表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