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版本号：241209001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铁电分析仪采购项目</w:t>
      </w:r>
    </w:p>
    <w:p>
      <w:pPr>
        <w:pStyle w:val="null3"/>
        <w:jc w:val="center"/>
        <w:outlineLvl w:val="2"/>
      </w:pPr>
      <w:r>
        <w:rPr>
          <w:sz w:val="28"/>
          <w:b/>
        </w:rPr>
        <w:t>采购项目编号：</w:t>
      </w:r>
      <w:r>
        <w:rPr>
          <w:sz w:val="28"/>
          <w:b/>
        </w:rPr>
        <w:t>SZT2024-SN-SC-ZC-HW-1207</w:t>
      </w:r>
      <w:r>
        <w:br/>
      </w:r>
      <w:r>
        <w:br/>
      </w:r>
      <w:r>
        <w:br/>
      </w:r>
    </w:p>
    <w:p>
      <w:pPr>
        <w:pStyle w:val="null3"/>
        <w:jc w:val="center"/>
        <w:outlineLvl w:val="2"/>
      </w:pPr>
      <w:r>
        <w:rPr>
          <w:sz w:val="28"/>
          <w:b/>
        </w:rPr>
        <w:t>西安工业大学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2024年12月12日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西安工业大学</w:t>
      </w:r>
      <w:r>
        <w:rPr/>
        <w:t>委托，拟对</w:t>
      </w:r>
      <w:r>
        <w:rPr/>
        <w:t>铁电分析仪采购项目</w:t>
      </w:r>
      <w:r>
        <w:rPr/>
        <w:t>进行国内公开招标，兹邀请符合本次招标要求的供应商参加投标。</w:t>
      </w:r>
    </w:p>
    <w:p>
      <w:pPr>
        <w:pStyle w:val="null3"/>
        <w:outlineLvl w:val="2"/>
      </w:pPr>
      <w:r>
        <w:rPr>
          <w:sz w:val="28"/>
          <w:b/>
        </w:rPr>
        <w:t>一、采购项目编号：</w:t>
      </w:r>
      <w:r>
        <w:rPr>
          <w:sz w:val="28"/>
          <w:b/>
        </w:rPr>
        <w:t>SZT2024-SN-SC-ZC-HW-1207</w:t>
      </w:r>
    </w:p>
    <w:p>
      <w:pPr>
        <w:pStyle w:val="null3"/>
        <w:outlineLvl w:val="2"/>
      </w:pPr>
      <w:r>
        <w:rPr>
          <w:sz w:val="28"/>
          <w:b/>
        </w:rPr>
        <w:t>二、采购项目名称：</w:t>
      </w:r>
      <w:r>
        <w:rPr>
          <w:sz w:val="28"/>
          <w:b/>
        </w:rPr>
        <w:t>铁电分析仪采购项目</w:t>
      </w:r>
    </w:p>
    <w:p>
      <w:pPr>
        <w:pStyle w:val="null3"/>
        <w:outlineLvl w:val="2"/>
      </w:pPr>
      <w:r>
        <w:rPr>
          <w:sz w:val="28"/>
          <w:b/>
        </w:rPr>
        <w:t>三、招标项目简介</w:t>
      </w:r>
    </w:p>
    <w:p>
      <w:pPr>
        <w:pStyle w:val="null3"/>
        <w:ind w:firstLine="480"/>
      </w:pPr>
      <w:r>
        <w:rPr/>
        <w:t>本项目拟采购一套铁电分析仪，该设备用于铁电、压电、薄膜、厚膜、体材料和电子陶瓷等的电学性能测试，表征材料在不同工况下的铁电和压电性能。</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要求：法定代表人授权代表参加投标的，须出具法定代表人授权书及授权代表身份证（法定代表人直接参加投标的，须出具法定代表人身份证）。供应商需在项目电子化交易系统中按要求上传相应证明文件并进行电子签章。</w:t>
      </w:r>
    </w:p>
    <w:p>
      <w:pPr>
        <w:pStyle w:val="null3"/>
      </w:pPr>
      <w:r>
        <w:rPr/>
        <w:t>2、进口产品授权要求：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供应商需在项目电子化交易系统中按要求上传相应证明文件并进行电子签章。</w:t>
      </w:r>
    </w:p>
    <w:p>
      <w:pPr>
        <w:pStyle w:val="null3"/>
      </w:pPr>
      <w:r>
        <w:rPr/>
        <w:t>3、本项目不接受联合体投标：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供应商需在项目电子化交易系统中按要求上传相应证明文件并进行电子签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未央区学府中路2号</w:t>
      </w:r>
    </w:p>
    <w:p>
      <w:pPr>
        <w:pStyle w:val="null3"/>
      </w:pPr>
      <w:r>
        <w:rPr/>
        <w:t xml:space="preserve"> 邮编： </w:t>
      </w:r>
      <w:r>
        <w:rPr/>
        <w:t>710021</w:t>
      </w:r>
    </w:p>
    <w:p>
      <w:pPr>
        <w:pStyle w:val="null3"/>
      </w:pPr>
      <w:r>
        <w:rPr/>
        <w:t xml:space="preserve"> 联系人： </w:t>
      </w:r>
      <w:r>
        <w:rPr/>
        <w:t>西安工业大学经办</w:t>
      </w:r>
    </w:p>
    <w:p>
      <w:pPr>
        <w:pStyle w:val="null3"/>
      </w:pPr>
      <w:r>
        <w:rPr/>
        <w:t xml:space="preserve"> 联系电话： </w:t>
      </w:r>
      <w:r>
        <w:rPr/>
        <w:t>029-86173142</w:t>
      </w:r>
    </w:p>
    <w:p>
      <w:pPr>
        <w:pStyle w:val="null3"/>
        <w:outlineLvl w:val="2"/>
      </w:pPr>
      <w:r>
        <w:rPr>
          <w:sz w:val="28"/>
          <w:b/>
        </w:rPr>
        <w:t>代理机构：</w:t>
      </w:r>
      <w:r>
        <w:rPr>
          <w:sz w:val="28"/>
          <w:b/>
        </w:rPr>
        <w:t>陕西中技招标有限公司</w:t>
      </w:r>
    </w:p>
    <w:p>
      <w:pPr>
        <w:pStyle w:val="null3"/>
      </w:pPr>
      <w:r>
        <w:rPr/>
        <w:t xml:space="preserve"> 地址： </w:t>
      </w:r>
      <w:r>
        <w:rPr/>
        <w:t>西安市高新区高新四路1号高科广场A座10楼1001室</w:t>
      </w:r>
    </w:p>
    <w:p>
      <w:pPr>
        <w:pStyle w:val="null3"/>
      </w:pPr>
      <w:r>
        <w:rPr/>
        <w:t xml:space="preserve"> 邮编： </w:t>
      </w:r>
      <w:r>
        <w:rPr/>
        <w:t>710075</w:t>
      </w:r>
    </w:p>
    <w:p>
      <w:pPr>
        <w:pStyle w:val="null3"/>
      </w:pPr>
      <w:r>
        <w:rPr/>
        <w:t xml:space="preserve"> 联系人： </w:t>
      </w:r>
      <w:r>
        <w:rPr/>
        <w:t>杨艳、沈肖楠、单博</w:t>
      </w:r>
    </w:p>
    <w:p>
      <w:pPr>
        <w:pStyle w:val="null3"/>
      </w:pPr>
      <w:r>
        <w:rPr/>
        <w:t xml:space="preserve"> 联系电话： </w:t>
      </w:r>
      <w:r>
        <w:rPr/>
        <w:t>029-88364979-821</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采购包1：1,310,000.00元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采购包1保证金金额：25,000.00元</w:t>
            </w:r>
          </w:p>
          <w:p>
            <w:pPr>
              <w:pStyle w:val="null3"/>
            </w:pPr>
            <w:r>
              <w:rPr/>
              <w:t>缴交渠道：转账、支票、汇票等（需通过实体账户、户名及开户行信息）</w:t>
            </w:r>
          </w:p>
          <w:p>
            <w:pPr>
              <w:pStyle w:val="null3"/>
            </w:pPr>
            <w:r>
              <w:rPr/>
              <w:t>开户名称：陕西中技招标有限公司</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说明：1.中标（成交）供应商在签订合同前5个工作日内，向采购人缴纳合同总价5%的履约保证金； 2.中标（成交）供应商如期履约完成且不存在其他任何违约责任，采购人无息由原缴费账户退还履约保证金全款。 3.若中标（成交）供应商未能按照合同约定履行，则采购人有权全额扣除履约保证金，并保留追究中标（成交）供应商违约相关的法律责任。</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120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人应向采购代理机构交纳招标代理服务费。招标代理服务费的收取参见国家计委颁布的《招标代理服务收费管理暂行办法》（计价格[2002]1980号）和（发改办价格[2003]857号）货物类收费标准按照中标金额的0.6%进行收取，在领取中标通知书时向采购代理机构一次性交纳。 开户名称：陕西中技招标有限公司 开户银行：招商银行西安分行营业部 银行账号：129916812810001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陕西中技招标有限公司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国产产品： 1、初验：货物安装调试合格后，进行试运行测试，通过试运行测试后进入试运行，试运行不少于30工作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20%向甲方支付违约金，违约金不足弥补甲方损失的，由乙方负责赔偿。 进口产品： 1、交付检验：所供货物应付有进口开箱单，到货后由甲方（使用单位）及乙方对货物进行试运行测试，检查核对内容包括：产品名称、类型、版本、参数、功能需求等（乙方协助）。核对无误后，甲方或甲方指定使用单位在到货签收单上签字。若货物与合同约定不符，甲方有权拒绝接收，乙方应无条件退换货直至合格，并承担逾期交货的违约责任。 2、初验：货物通过试运行测试后进入试运行，试运行不少于30工作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20%向甲方支付违约金，违约金不足弥补甲方损失的，由乙方负责赔偿，货款尾款甲方有权不予支付。</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联系人：戴经理</w:t>
      </w:r>
    </w:p>
    <w:p>
      <w:pPr>
        <w:pStyle w:val="null3"/>
      </w:pPr>
      <w:r>
        <w:rPr/>
        <w:t>联系电话：029-88364979-856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本项目拟采购一套铁电分析仪，该设备用于铁电、压电、薄膜、厚膜、体材料和电子陶瓷等的电学性能测试，表征材料在不同工况下的铁电和压电性能。</w:t>
      </w:r>
    </w:p>
    <w:p>
      <w:pPr>
        <w:pStyle w:val="null3"/>
        <w:outlineLvl w:val="2"/>
      </w:pPr>
      <w:r>
        <w:rPr>
          <w:sz w:val="28"/>
          <w:b/>
        </w:rPr>
        <w:t>3.2采购内容</w:t>
      </w:r>
    </w:p>
    <w:p>
      <w:pPr>
        <w:pStyle w:val="null3"/>
      </w:pPr>
      <w:r>
        <w:rPr/>
        <w:t>采购包1：</w:t>
      </w:r>
    </w:p>
    <w:p>
      <w:pPr>
        <w:pStyle w:val="null3"/>
      </w:pPr>
      <w:r>
        <w:rPr/>
        <w:t>采购包预算金额（元）: 1,310,000.00</w:t>
      </w:r>
    </w:p>
    <w:p>
      <w:pPr>
        <w:pStyle w:val="null3"/>
      </w:pPr>
      <w:r>
        <w:rPr/>
        <w:t>采购包最高限价（元）: 1,310,000.00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西安工业大学铁电分析仪采购项目</w:t>
            </w:r>
          </w:p>
        </w:tc>
        <w:tc>
          <w:tcPr>
            <w:tcW w:type="dxa" w:w="831"/>
          </w:tcPr>
          <w:p>
            <w:pPr>
              <w:pStyle w:val="null3"/>
              <w:jc w:val="right"/>
            </w:pPr>
            <w:r>
              <w:rPr/>
              <w:t>1.00</w:t>
            </w:r>
          </w:p>
        </w:tc>
        <w:tc>
          <w:tcPr>
            <w:tcW w:type="dxa" w:w="831"/>
          </w:tcPr>
          <w:p>
            <w:pPr>
              <w:pStyle w:val="null3"/>
              <w:jc w:val="right"/>
            </w:pPr>
            <w:r>
              <w:rPr/>
              <w:t>1,310,000.00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标的名称：西安工业大学铁电分析仪采购项目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一、技术参数</w:t>
            </w:r>
          </w:p>
          <w:p>
            <w:pPr>
              <w:pStyle w:val="null3"/>
            </w:pPr>
            <w:r>
              <w:rPr/>
              <w:t>1、测试范围：整套系统可测试块体材料和聚合物薄膜材料在室温到250℃范围内、电压±10kV、电流10pA~2mA、频率0.001Hz~600Hz以内的铁电和压电性能；</w:t>
            </w:r>
          </w:p>
          <w:p>
            <w:pPr>
              <w:pStyle w:val="null3"/>
            </w:pPr>
            <w:r>
              <w:rPr/>
              <w:t>▲2、测试铁电性能：动态电滞回线、初始电滞回线、电滞IV曲线、疲劳、脉冲（PUND）、漏电流、保持力、印迹、C-V曲线、损耗曲线，自动变温测试功能；</w:t>
            </w:r>
          </w:p>
          <w:p>
            <w:pPr>
              <w:pStyle w:val="null3"/>
            </w:pPr>
            <w:r>
              <w:rPr/>
              <w:t>3、主机内置信号发生器电压范围：±30V（通过外置块体高压放大器扩展到±1kV和±10KV两个高电压档位）；</w:t>
            </w:r>
          </w:p>
          <w:p>
            <w:pPr>
              <w:pStyle w:val="null3"/>
            </w:pPr>
            <w:r>
              <w:rPr/>
              <w:t>4、主机动态电滞回线测试频率：0.001Hz~5kHz（电流范围：10pA~1A），使用高压放大器后频率0.001Hz~600Hz（电流范围10pA~2mA）；</w:t>
            </w:r>
          </w:p>
          <w:p>
            <w:pPr>
              <w:pStyle w:val="null3"/>
            </w:pPr>
            <w:r>
              <w:rPr/>
              <w:t>▲5、主机疲劳测试频率：1Hz~300kHz，使用高压放大器后疲劳频率1Hz~1kHz；</w:t>
            </w:r>
          </w:p>
          <w:p>
            <w:pPr>
              <w:pStyle w:val="null3"/>
            </w:pPr>
            <w:r>
              <w:rPr/>
              <w:t>▲6、最大加载电容：1uF（大电容），电流放大器：电流范围10pA～1A；</w:t>
            </w:r>
          </w:p>
          <w:p>
            <w:pPr>
              <w:pStyle w:val="null3"/>
            </w:pPr>
            <w:r>
              <w:rPr/>
              <w:t>7、测试主机内置专用工控计算机版路（Windows操作系统，USB接口，RS232外部控制端口，VGA接口）</w:t>
            </w:r>
          </w:p>
          <w:p>
            <w:pPr>
              <w:pStyle w:val="null3"/>
            </w:pPr>
            <w:r>
              <w:rPr/>
              <w:t>▲8、配有用于块体材料测试的高压放大器，电压范围-10kV 到+10kV，最大电流2mA，大波形频率≥600Hz (1% distortion)；小信号频率≥10kHz(-3dB)，并配有±10kV及±1kV两个电压档；</w:t>
            </w:r>
          </w:p>
          <w:p>
            <w:pPr>
              <w:pStyle w:val="null3"/>
            </w:pPr>
            <w:r>
              <w:rPr/>
              <w:t>▲9、配有高压安全保护和安全互锁装置，保护电压±10kV，并有用于基本单元、样品夹具和高压放大器的安全互锁装置；</w:t>
            </w:r>
          </w:p>
          <w:p>
            <w:pPr>
              <w:pStyle w:val="null3"/>
            </w:pPr>
            <w:r>
              <w:rPr/>
              <w:t>10、配有室温到250℃范围内，可测试块体材料和聚合物薄膜材料的专用铁电压电测试样品盒，不锈钢材质，可测块体样品直径≥3mm-25mm厚度0.1mm-5mm，可放入硅油绝缘，并配有激光反射镜测试压电性能，是铁电仪制造商生产的进口品牌样品盒；</w:t>
            </w:r>
          </w:p>
          <w:p>
            <w:pPr>
              <w:pStyle w:val="null3"/>
            </w:pPr>
            <w:r>
              <w:rPr/>
              <w:t>▲11、可以测试的压电性能包括：蝴蝶曲线、小信号d33-V曲线、压电特征值随温度的自动变化的曲线；</w:t>
            </w:r>
          </w:p>
          <w:p>
            <w:pPr>
              <w:pStyle w:val="null3"/>
            </w:pPr>
            <w:r>
              <w:rPr/>
              <w:t>▲12、配有激光干涉仪，用于测试材料的形变，单通道光学控制，压电形变最小分辨率0.3nm，可测试形变范围480nm~2mm；</w:t>
            </w:r>
          </w:p>
          <w:p>
            <w:pPr>
              <w:pStyle w:val="null3"/>
            </w:pPr>
            <w:r>
              <w:rPr/>
              <w:t>二、配置</w:t>
            </w:r>
          </w:p>
          <w:p>
            <w:pPr>
              <w:pStyle w:val="null3"/>
            </w:pPr>
            <w:r>
              <w:rPr/>
              <w:t>1、基本版单元和铁电标准模块：具备模块测试软件、脉冲测试、漏电流测试、保持力测试、印迹测试、C-V测试。</w:t>
            </w:r>
          </w:p>
          <w:p>
            <w:pPr>
              <w:pStyle w:val="null3"/>
            </w:pPr>
            <w:r>
              <w:rPr/>
              <w:t>2、高压放大器：包含1KV和10KV两个电压档位，具备高压安全保护和安全互锁装置。</w:t>
            </w:r>
          </w:p>
          <w:p>
            <w:pPr>
              <w:pStyle w:val="null3"/>
            </w:pPr>
            <w:r>
              <w:rPr/>
              <w:t>3、带温控的压电块体材料样品盒</w:t>
            </w:r>
          </w:p>
          <w:p>
            <w:pPr>
              <w:pStyle w:val="null3"/>
            </w:pPr>
            <w:r>
              <w:rPr/>
              <w:t>4、压电表征软件</w:t>
            </w:r>
          </w:p>
          <w:p>
            <w:pPr>
              <w:pStyle w:val="null3"/>
            </w:pPr>
            <w:r>
              <w:rPr/>
              <w:t>5、激光干涉仪</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1、交货日期：自合同生效后210个日历日，安装日期：到货后15日内。 甲方在设备安装环境不完全具备的条件下，可要求延期交货，乙方应无条件同意。乙方发货前需书面告知甲方，并征求甲方同意。 2、乙方向甲方交货时应移交每套设备的全套档案资料（包括产品合格证、使用说明书、保修卡、技术资料等），否则视为未交货。 3、乙方交货时应为甲方（用户）免费指导和培训设备的操作与维护。 4、乙方逾期完成安装调试的，每逾期一日应向甲方支付违约金1万元，违约金不足以弥补损失的，应继续赔偿甲方损失。相应的安装调试所需工具和标准样品由中标供应商或制造商提供。 5、乙方安装调试结束后提供设备运行报告，再向甲方申请进行设备初验。</w:t>
      </w:r>
    </w:p>
    <w:p>
      <w:pPr>
        <w:pStyle w:val="null3"/>
        <w:outlineLvl w:val="3"/>
      </w:pPr>
      <w:r>
        <w:rPr>
          <w:sz w:val="24"/>
          <w:b/>
        </w:rPr>
        <w:t>3.4.2交货地点</w:t>
      </w:r>
    </w:p>
    <w:p>
      <w:pPr>
        <w:pStyle w:val="null3"/>
      </w:pPr>
      <w:r>
        <w:rPr/>
        <w:t>采购包1：</w:t>
      </w:r>
    </w:p>
    <w:p>
      <w:pPr>
        <w:pStyle w:val="null3"/>
      </w:pPr>
      <w:r>
        <w:rPr/>
        <w:t>西安工业大学指定地点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采购人通过委托的外贸公司向中标供应商指定的境外厂商开具100%不可撤销即期跟单信用证。信用证90%的合同货款凭外贸合同约定单据及西安工业大学出具的开箱点货报告原件解付；剩余10%合同尾款凭西安工业大学出具的设备终验验收报告原件解付；国产设备：货到西安工业大学指定地点经验收合格后，采购人15日内支付成交金额的100%</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国产产品： 1、初验：货物安装调试合格后，进行试运行测试，通过试运行测试后进入试运行，试运行不少于30工作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20%向甲方支付违约金，违约金不足弥补甲方损失的，由乙方负责赔偿。 进口产品： 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工作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20%向甲方支付违约金，违约金不足弥补甲方损失的，由乙方负责赔偿，货款尾款甲方有权不予支付。</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1、设备质保期（保修期）为1年，自设备终验合格之日起开始计算。 2、质保期内乙方免费提供人员培训及上门维修服务，负责修理或更换因生产工艺或材质质量原因而出现故障的零部件，一切材料及人工费用全免。如乙方原因不能履行质保义务，甲方有权委托第三方处理，由此产生的费用和风险由乙方承担，造成甲方损失的应予以赔偿。 3、质保期内免费回访，及时为设备进行检查和问诊。质保期满后乙方继续承担仪器的终身维护，对甲方提供支持，如回答甲方提出的问题、排除甲方的软、硬件故障等，并按成本价格酌情收取部件维修或更换费用。</w:t>
      </w:r>
    </w:p>
    <w:p>
      <w:pPr>
        <w:pStyle w:val="null3"/>
        <w:outlineLvl w:val="3"/>
      </w:pPr>
      <w:r>
        <w:rPr>
          <w:sz w:val="24"/>
          <w:b/>
        </w:rPr>
        <w:t>3.4.8违约责任与解决争议的方法</w:t>
      </w:r>
    </w:p>
    <w:p>
      <w:pPr>
        <w:pStyle w:val="null3"/>
      </w:pPr>
      <w:r>
        <w:rPr/>
        <w:t>采购包1：</w:t>
      </w:r>
    </w:p>
    <w:p>
      <w:pPr>
        <w:pStyle w:val="null3"/>
      </w:pPr>
      <w:r>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20%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20%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20%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6、若乙方逾期完成安装调试的，每逾期一日应向甲方支付违约金1万元，违约金不足以弥补损失的，应继续赔偿甲方损失。</w:t>
      </w:r>
    </w:p>
    <w:p>
      <w:pPr>
        <w:pStyle w:val="null3"/>
        <w:jc w:val="left"/>
        <w:outlineLvl w:val="2"/>
      </w:pPr>
      <w:r>
        <w:rPr>
          <w:sz w:val="28"/>
          <w:b/>
        </w:rPr>
        <w:t>3.5其他要求</w:t>
      </w:r>
    </w:p>
    <w:p>
      <w:pPr>
        <w:pStyle w:val="null3"/>
      </w:pPr>
      <w:r>
        <w:rPr/>
        <w:t>一、项目说明： 1、本项目允许采购进口产品。 如果因信息不对称等原因，仍有满足需求的国内产品要求参与采购竞争的，采购人及其委托的采购代理机构不对其加以限制，按照公平竞争原则实施采购。 2、“进口产品”是指通过中国海关报关验放进入中国境内且产自关境外的产品。 二、投标有效期： 本项目投标有效期为从开标之日起120日历天。中标供应商的投标文件有效期自动延长合同履行完毕。 三、合同签订时限要求： 中标公告发出2日内，中标供应商凭中标通知书到西安工业大学签订合同。 四、报价说明： 1、因采购人具有教科文进口环节减免税资格，进口设备可以报免税报价，不在教科文减免范围的设备应按含税开展报价。免税报价包含外贸代理服务费。 2、免税报价免除仅为进口环节的教科文减免税（进口环节增值税） 3、供应商报价未明确免税报价的视为含税报价。 五、支付条件相关要求： 1、国产设备： 货到西安工业大学指定地点经验收合格后，采购人15日内支付成交金额的100%； 2、进口设备： 采购人通过委托的外贸公司向中标供应商指定的境外厂商开具100%不可撤销即期跟单信用证。货到采购人指定地点后，信用证90%的合同货款凭外贸合同约定单据及西安工业大学出具的开箱点货报告原件解付；剩余10%合同尾款凭西安工业大学出具的设备终验验收报告原件解付。 3、预付款保函（采购人若要求） 预付款保函期限：半年（根据到货期需要可以适当延长时限）。 预付款保函受益人：西安工业大学。 预付款保函形式：外贸代理公司/中标供应商出具银行成交等额预付款保函原件，采购人可支付成交预付款的100%，货到采购人指定地点后，采购人退还预付款保函原件。开具预付款保函所产生的相关费用均由中标供应商承担。 六、其他备注说明（因本项目使用电子招投标系统，格式无法调整，招标文件中其他部分与本部分不一致时以本部分要求为准） 1、在合同履行过程中，如发生合同纠纷，合同双方应按照中华人民共和国法律解释，按照《中华人民共和国民法典》规定及合同条款约定进行处理。 2、本项目已通过进口产品论证，投标文件中接受外文资料，但主要部分仍应尽量对应翻译成中文并附在相关外文资料后面。 3、本项目不强制要求文件第2.4.4知识产权第二条要求。</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2、具有良好的商业信誉和健全的财务会计制度（提供2023年度财务审计报告或开标前近12个月内的银行资信证明或财政部门认可的政府采购专业担保机构出具的担保函）； 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 5、参加政府采购活动前三年内，在经营活动中没有重大违法记录（格式详见附件）；供应商需在项目电子化交易系统中按要求上传相应证明文件并进行电子签章。</w:t>
            </w:r>
          </w:p>
        </w:tc>
        <w:tc>
          <w:tcPr>
            <w:tcW w:type="dxa" w:w="1661"/>
          </w:tcPr>
          <w:p>
            <w:pPr>
              <w:pStyle w:val="null3"/>
            </w:pPr>
            <w:r>
              <w:rPr/>
              <w:t>投标函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12个月内的银行资信证明或财政部门认可的政府采购专业担保机构出具的担保函）。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法定代表人授权要求</w:t>
            </w:r>
          </w:p>
        </w:tc>
        <w:tc>
          <w:tcPr>
            <w:tcW w:type="dxa" w:w="3322"/>
          </w:tcPr>
          <w:p>
            <w:pPr>
              <w:pStyle w:val="null3"/>
            </w:pPr>
            <w:r>
              <w:rPr/>
              <w:t>法定代表人授权代表参加投标的，须出具法定代表人授权书及授权代表身份证（法定代表人直接参加投标的，须出具法定代表人身份证）。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进口产品授权要求</w:t>
            </w:r>
          </w:p>
        </w:tc>
        <w:tc>
          <w:tcPr>
            <w:tcW w:type="dxa" w:w="3322"/>
          </w:tcPr>
          <w:p>
            <w:pPr>
              <w:pStyle w:val="null3"/>
            </w:pPr>
            <w:r>
              <w:rPr/>
              <w:t>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本项目不接受联合体投标</w:t>
            </w:r>
          </w:p>
        </w:tc>
        <w:tc>
          <w:tcPr>
            <w:tcW w:type="dxa" w:w="3322"/>
          </w:tcPr>
          <w:p>
            <w:pPr>
              <w:pStyle w:val="null3"/>
            </w:pPr>
            <w:r>
              <w:rPr/>
              <w:t>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供应商需在项目电子化交易系统中按要求上传相应证明文件并进行电子签章。</w:t>
            </w:r>
          </w:p>
        </w:tc>
        <w:tc>
          <w:tcPr>
            <w:tcW w:type="dxa" w:w="1661"/>
          </w:tcPr>
          <w:p>
            <w:pPr>
              <w:pStyle w:val="null3"/>
            </w:pPr>
            <w:r>
              <w:rPr/>
              <w:t>供应商资格证明文件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交货期是否响应</w:t>
            </w:r>
          </w:p>
        </w:tc>
        <w:tc>
          <w:tcPr>
            <w:tcW w:type="dxa" w:w="3322"/>
          </w:tcPr>
          <w:p>
            <w:pPr>
              <w:pStyle w:val="null3"/>
            </w:pPr>
            <w:r>
              <w:rPr/>
              <w:t>交货期是否按招标文件要求的各项节点响应</w:t>
            </w:r>
          </w:p>
        </w:tc>
        <w:tc>
          <w:tcPr>
            <w:tcW w:type="dxa" w:w="1661"/>
          </w:tcPr>
          <w:p>
            <w:pPr>
              <w:pStyle w:val="null3"/>
            </w:pPr>
            <w:r>
              <w:rPr/>
              <w:t>商务要求偏离表 开标记录表</w:t>
            </w:r>
          </w:p>
        </w:tc>
      </w:tr>
      <w:tr>
        <w:tc>
          <w:tcPr>
            <w:tcW w:type="dxa" w:w="831"/>
          </w:tcPr>
          <w:p>
            <w:pPr>
              <w:pStyle w:val="null3"/>
            </w:pPr>
            <w:r>
              <w:rPr/>
              <w:t>3</w:t>
            </w:r>
          </w:p>
        </w:tc>
        <w:tc>
          <w:tcPr>
            <w:tcW w:type="dxa" w:w="2492"/>
          </w:tcPr>
          <w:p>
            <w:pPr>
              <w:pStyle w:val="null3"/>
            </w:pPr>
            <w:r>
              <w:rPr/>
              <w:t>安装期是否响应</w:t>
            </w:r>
          </w:p>
        </w:tc>
        <w:tc>
          <w:tcPr>
            <w:tcW w:type="dxa" w:w="3322"/>
          </w:tcPr>
          <w:p>
            <w:pPr>
              <w:pStyle w:val="null3"/>
            </w:pPr>
            <w:r>
              <w:rPr/>
              <w:t>安装期是否按招标文件要求的各项节点响应</w:t>
            </w:r>
          </w:p>
        </w:tc>
        <w:tc>
          <w:tcPr>
            <w:tcW w:type="dxa" w:w="1661"/>
          </w:tcPr>
          <w:p>
            <w:pPr>
              <w:pStyle w:val="null3"/>
            </w:pPr>
            <w:r>
              <w:rPr/>
              <w:t>商务要求偏离表 开标记录表</w:t>
            </w:r>
          </w:p>
        </w:tc>
      </w:tr>
      <w:tr>
        <w:tc>
          <w:tcPr>
            <w:tcW w:type="dxa" w:w="831"/>
          </w:tcPr>
          <w:p>
            <w:pPr>
              <w:pStyle w:val="null3"/>
            </w:pPr>
            <w:r>
              <w:rPr/>
              <w:t>4</w:t>
            </w:r>
          </w:p>
        </w:tc>
        <w:tc>
          <w:tcPr>
            <w:tcW w:type="dxa" w:w="2492"/>
          </w:tcPr>
          <w:p>
            <w:pPr>
              <w:pStyle w:val="null3"/>
            </w:pPr>
            <w:r>
              <w:rPr/>
              <w:t>质保期是否响应</w:t>
            </w:r>
          </w:p>
        </w:tc>
        <w:tc>
          <w:tcPr>
            <w:tcW w:type="dxa" w:w="3322"/>
          </w:tcPr>
          <w:p>
            <w:pPr>
              <w:pStyle w:val="null3"/>
            </w:pPr>
            <w:r>
              <w:rPr/>
              <w:t>质保期是否按照招标文件的相关要求响应</w:t>
            </w:r>
          </w:p>
        </w:tc>
        <w:tc>
          <w:tcPr>
            <w:tcW w:type="dxa" w:w="1661"/>
          </w:tcPr>
          <w:p>
            <w:pPr>
              <w:pStyle w:val="null3"/>
            </w:pPr>
            <w:r>
              <w:rPr/>
              <w:t>商务要求偏离表 开标记录表</w:t>
            </w:r>
          </w:p>
        </w:tc>
      </w:tr>
      <w:tr>
        <w:tc>
          <w:tcPr>
            <w:tcW w:type="dxa" w:w="831"/>
          </w:tcPr>
          <w:p>
            <w:pPr>
              <w:pStyle w:val="null3"/>
            </w:pPr>
            <w:r>
              <w:rPr/>
              <w:t>5</w:t>
            </w:r>
          </w:p>
        </w:tc>
        <w:tc>
          <w:tcPr>
            <w:tcW w:type="dxa" w:w="2492"/>
          </w:tcPr>
          <w:p>
            <w:pPr>
              <w:pStyle w:val="null3"/>
            </w:pPr>
            <w:r>
              <w:rPr/>
              <w:t>付款方式是否响应</w:t>
            </w:r>
          </w:p>
        </w:tc>
        <w:tc>
          <w:tcPr>
            <w:tcW w:type="dxa" w:w="3322"/>
          </w:tcPr>
          <w:p>
            <w:pPr>
              <w:pStyle w:val="null3"/>
            </w:pPr>
            <w:r>
              <w:rPr/>
              <w:t>付款方式是否响应招标文件的要求</w:t>
            </w:r>
          </w:p>
        </w:tc>
        <w:tc>
          <w:tcPr>
            <w:tcW w:type="dxa" w:w="1661"/>
          </w:tcPr>
          <w:p>
            <w:pPr>
              <w:pStyle w:val="null3"/>
            </w:pPr>
            <w:r>
              <w:rPr/>
              <w:t>商务要求偏离表 开标记录表</w:t>
            </w:r>
          </w:p>
        </w:tc>
      </w:tr>
      <w:tr>
        <w:tc>
          <w:tcPr>
            <w:tcW w:type="dxa" w:w="831"/>
          </w:tcPr>
          <w:p>
            <w:pPr>
              <w:pStyle w:val="null3"/>
            </w:pPr>
            <w:r>
              <w:rPr/>
              <w:t>6</w:t>
            </w:r>
          </w:p>
        </w:tc>
        <w:tc>
          <w:tcPr>
            <w:tcW w:type="dxa" w:w="2492"/>
          </w:tcPr>
          <w:p>
            <w:pPr>
              <w:pStyle w:val="null3"/>
            </w:pPr>
            <w:r>
              <w:rPr/>
              <w:t>投标保证金是否按要求缴纳</w:t>
            </w:r>
          </w:p>
        </w:tc>
        <w:tc>
          <w:tcPr>
            <w:tcW w:type="dxa" w:w="3322"/>
          </w:tcPr>
          <w:p>
            <w:pPr>
              <w:pStyle w:val="null3"/>
            </w:pPr>
            <w:r>
              <w:rPr/>
              <w:t>投标保证金是否按要求缴纳</w:t>
            </w:r>
          </w:p>
        </w:tc>
        <w:tc>
          <w:tcPr>
            <w:tcW w:type="dxa" w:w="1661"/>
          </w:tcPr>
          <w:p>
            <w:pPr>
              <w:pStyle w:val="null3"/>
            </w:pPr>
            <w:r>
              <w:rPr/>
              <w:t>商务要求偏离表 投标保证金缴纳凭证</w:t>
            </w:r>
          </w:p>
        </w:tc>
      </w:tr>
      <w:tr>
        <w:tc>
          <w:tcPr>
            <w:tcW w:type="dxa" w:w="831"/>
          </w:tcPr>
          <w:p>
            <w:pPr>
              <w:pStyle w:val="null3"/>
            </w:pPr>
            <w:r>
              <w:rPr/>
              <w:t>7</w:t>
            </w:r>
          </w:p>
        </w:tc>
        <w:tc>
          <w:tcPr>
            <w:tcW w:type="dxa" w:w="2492"/>
          </w:tcPr>
          <w:p>
            <w:pPr>
              <w:pStyle w:val="null3"/>
            </w:pPr>
            <w:r>
              <w:rPr/>
              <w:t>投标报价是否超过采购预算或最高限价</w:t>
            </w:r>
          </w:p>
        </w:tc>
        <w:tc>
          <w:tcPr>
            <w:tcW w:type="dxa" w:w="3322"/>
          </w:tcPr>
          <w:p>
            <w:pPr>
              <w:pStyle w:val="null3"/>
            </w:pPr>
            <w:r>
              <w:rPr/>
              <w:t>投标报价是否超过采购预算或最高限价</w:t>
            </w:r>
          </w:p>
        </w:tc>
        <w:tc>
          <w:tcPr>
            <w:tcW w:type="dxa" w:w="1661"/>
          </w:tcPr>
          <w:p>
            <w:pPr>
              <w:pStyle w:val="null3"/>
            </w:pPr>
            <w:r>
              <w:rPr/>
              <w:t>商务要求偏离表 开标一览表 开标记录表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技术方案中各项设备及软件功能的技术参数响应清晰明确，符合使用要求，技术指标和性能完全响应招标文件要求，满足使用需求，计36分。 结合规格、技术参数偏离表的响应证明材料，按招标文件内配置最低要求，带“▲”号指标项每出现1个负偏离扣3分，非“▲”号指标项每出现1个负偏离，扣1.5分，供应商须按招标文件要求提供带“▲”号指标项的证明材料（包括但不限于加盖厂商公章的技术参数说明、产品彩页、检测报告和带网址链接的官网功能截图等技术支持性文件），否则自行承担未提供证明材料导致技术参数被视为负偏离的风险。</w:t>
            </w:r>
          </w:p>
        </w:tc>
        <w:tc>
          <w:tcPr>
            <w:tcW w:type="dxa" w:w="831"/>
          </w:tcPr>
          <w:p>
            <w:pPr>
              <w:pStyle w:val="null3"/>
              <w:jc w:val="right"/>
            </w:pPr>
            <w:r>
              <w:rPr/>
              <w:t>36.0000</w:t>
            </w:r>
          </w:p>
        </w:tc>
        <w:tc>
          <w:tcPr>
            <w:tcW w:type="dxa" w:w="831"/>
          </w:tcPr>
          <w:p>
            <w:pPr>
              <w:pStyle w:val="null3"/>
            </w:pPr>
            <w:r>
              <w:rPr/>
              <w:t>客观</w:t>
            </w:r>
          </w:p>
        </w:tc>
        <w:tc>
          <w:tcPr>
            <w:tcW w:type="dxa" w:w="1661"/>
          </w:tcPr>
          <w:p>
            <w:pPr>
              <w:pStyle w:val="null3"/>
            </w:pPr>
            <w:r>
              <w:rPr/>
              <w:t>规格、技术参数偏离表</w:t>
            </w:r>
          </w:p>
          <w:p>
            <w:pPr>
              <w:pStyle w:val="null3"/>
            </w:pPr>
            <w:r>
              <w:rPr/>
              <w:t>货物简要说明一览表</w:t>
            </w:r>
          </w:p>
        </w:tc>
      </w:tr>
      <w:tr>
        <w:tc>
          <w:tcPr>
            <w:tcW w:type="dxa" w:w="831"/>
            <w:vMerge/>
          </w:tcPr>
          <w:p/>
        </w:tc>
        <w:tc>
          <w:tcPr>
            <w:tcW w:type="dxa" w:w="1661"/>
          </w:tcPr>
          <w:p>
            <w:pPr>
              <w:pStyle w:val="null3"/>
            </w:pPr>
            <w:r>
              <w:rPr/>
              <w:t>产品质量保障</w:t>
            </w:r>
          </w:p>
        </w:tc>
        <w:tc>
          <w:tcPr>
            <w:tcW w:type="dxa" w:w="2492"/>
          </w:tcPr>
          <w:p>
            <w:pPr>
              <w:pStyle w:val="null3"/>
            </w:pPr>
            <w:r>
              <w:rPr/>
              <w:t>投标产品技术工艺先进，性能稳定，方便操作，安全可靠，符合国际、国内相关标准或行业标准，整体配置具有合理性、一致性、兼容性，产品品牌、型号、产地明确，备品配件供应有保障，有具体可行的质量保证承诺，保证使用单位能熟练操作维护和正常使用。 选型方案先进可靠，质量保证承诺详尽得6分； 选型方案全部满足采购需求，有质量保证承诺得4分；选型方案部分满足采购需求，有质量保证承诺得2分，未提供或选型导致严重负偏离得0分。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供应商认为有必要说明的其他资料</w:t>
            </w:r>
          </w:p>
          <w:p>
            <w:pPr>
              <w:pStyle w:val="null3"/>
            </w:pPr>
            <w:r>
              <w:rPr/>
              <w:t>货物简要说明一览表</w:t>
            </w:r>
          </w:p>
        </w:tc>
      </w:tr>
      <w:tr>
        <w:tc>
          <w:tcPr>
            <w:tcW w:type="dxa" w:w="831"/>
            <w:vMerge/>
          </w:tcPr>
          <w:p/>
        </w:tc>
        <w:tc>
          <w:tcPr>
            <w:tcW w:type="dxa" w:w="1661"/>
          </w:tcPr>
          <w:p>
            <w:pPr>
              <w:pStyle w:val="null3"/>
            </w:pPr>
            <w:r>
              <w:rPr/>
              <w:t>整体实施方案</w:t>
            </w:r>
          </w:p>
        </w:tc>
        <w:tc>
          <w:tcPr>
            <w:tcW w:type="dxa" w:w="2492"/>
          </w:tcPr>
          <w:p>
            <w:pPr>
              <w:pStyle w:val="null3"/>
            </w:pPr>
            <w:r>
              <w:rPr/>
              <w:t>供应商针对本项目时间合理性，提供具体可行的实施方案，具体的供货组织安排，详细的人员、财力调配、运输、派送措施及设备到货后验收、实施进度及保证措施、设备安装、人员组成及人员调配、安装调试等。 实施方案组织合理，调配运输方案清晰明确，进度保障措施先进可靠，能够切实保障项目时效性的得6分；实施方案组织合理，有较为详细的调配运输方案，进度保障措施可靠，基本能够保障项目时效性的得4分；实施方案组织基本合理，运输方案不够详尽，有一定的进度保障措施，具备保障项目时效性的承诺的得2分；未提供或无法证明可以达到时效要求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供应商认为有必要说明的其他资料</w:t>
            </w:r>
          </w:p>
          <w:p>
            <w:pPr>
              <w:pStyle w:val="null3"/>
            </w:pPr>
            <w:r>
              <w:rPr/>
              <w:t>拟配备团队情况</w:t>
            </w:r>
          </w:p>
          <w:p>
            <w:pPr>
              <w:pStyle w:val="null3"/>
            </w:pPr>
            <w:r>
              <w:rPr/>
              <w:t>实施方案</w:t>
            </w:r>
          </w:p>
        </w:tc>
      </w:tr>
      <w:tr>
        <w:tc>
          <w:tcPr>
            <w:tcW w:type="dxa" w:w="831"/>
            <w:vMerge/>
          </w:tcPr>
          <w:p/>
        </w:tc>
        <w:tc>
          <w:tcPr>
            <w:tcW w:type="dxa" w:w="1661"/>
          </w:tcPr>
          <w:p>
            <w:pPr>
              <w:pStyle w:val="null3"/>
            </w:pPr>
            <w:r>
              <w:rPr/>
              <w:t>培训方案</w:t>
            </w:r>
          </w:p>
        </w:tc>
        <w:tc>
          <w:tcPr>
            <w:tcW w:type="dxa" w:w="2492"/>
          </w:tcPr>
          <w:p>
            <w:pPr>
              <w:pStyle w:val="null3"/>
            </w:pPr>
            <w:r>
              <w:rPr/>
              <w:t>针对本项目具有可行的技术培训方案，培训采购人指定的技术人员和管理人员，制定培训课程计划表，列出每种培训的地点和时间，培训内容应包括所提供产品的原理和技术性能、操作维护方法、安装调试、排除故障等各个方面，培训的具体日期及人数由使用单位确定。 培训方案明确，培训内容完整，计划安排清晰可靠得5分；培训方案不够明确，培训内容基本完整，计划安排清晰得3分；培训内容较完整，计划安排基本清晰得1分；未提供或培训内容缺失得0分。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供应商认为有必要说明的其他资料</w:t>
            </w:r>
          </w:p>
          <w:p>
            <w:pPr>
              <w:pStyle w:val="null3"/>
            </w:pPr>
            <w:r>
              <w:rPr/>
              <w:t>拟配备团队情况</w:t>
            </w:r>
          </w:p>
          <w:p>
            <w:pPr>
              <w:pStyle w:val="null3"/>
            </w:pPr>
            <w:r>
              <w:rPr/>
              <w:t>实施方案</w:t>
            </w:r>
          </w:p>
        </w:tc>
      </w:tr>
      <w:tr>
        <w:tc>
          <w:tcPr>
            <w:tcW w:type="dxa" w:w="831"/>
            <w:vMerge/>
          </w:tcPr>
          <w:p/>
        </w:tc>
        <w:tc>
          <w:tcPr>
            <w:tcW w:type="dxa" w:w="1661"/>
          </w:tcPr>
          <w:p>
            <w:pPr>
              <w:pStyle w:val="null3"/>
            </w:pPr>
            <w:r>
              <w:rPr/>
              <w:t>售后服务</w:t>
            </w:r>
          </w:p>
        </w:tc>
        <w:tc>
          <w:tcPr>
            <w:tcW w:type="dxa" w:w="2492"/>
          </w:tcPr>
          <w:p>
            <w:pPr>
              <w:pStyle w:val="null3"/>
            </w:pPr>
            <w:r>
              <w:rPr/>
              <w:t>具有相应的物力、人力保障，能够保证产、供、销，服务正常运转，运维期间服务人员的工作内容及服务方式，有详细的在设备（产品）发生故障后解决故障办法、补救措施等方面的措施或方案，提供详细的售后服务方案及售后服务承诺等，进行赋分。 售后服务方案清晰明确，承诺完整得6分；售后服务方案存在部分偏差，但承诺基本完整得4分；售后服务方案存在部分偏差，承诺未覆盖上述内容得2分；未提供或售后服务方案过于简略无法满足使用需求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服务承诺</w:t>
            </w:r>
          </w:p>
          <w:p>
            <w:pPr>
              <w:pStyle w:val="null3"/>
            </w:pPr>
            <w:r>
              <w:rPr/>
              <w:t>供应商认为有必要说明的其他资料</w:t>
            </w:r>
          </w:p>
          <w:p>
            <w:pPr>
              <w:pStyle w:val="null3"/>
            </w:pPr>
            <w:r>
              <w:rPr/>
              <w:t>拟配备团队情况</w:t>
            </w:r>
          </w:p>
          <w:p>
            <w:pPr>
              <w:pStyle w:val="null3"/>
            </w:pPr>
            <w:r>
              <w:rPr/>
              <w:t>实施方案</w:t>
            </w:r>
          </w:p>
        </w:tc>
      </w:tr>
      <w:tr>
        <w:tc>
          <w:tcPr>
            <w:tcW w:type="dxa" w:w="831"/>
            <w:vMerge/>
          </w:tcPr>
          <w:p/>
        </w:tc>
        <w:tc>
          <w:tcPr>
            <w:tcW w:type="dxa" w:w="1661"/>
          </w:tcPr>
          <w:p>
            <w:pPr>
              <w:pStyle w:val="null3"/>
            </w:pPr>
            <w:r>
              <w:rPr/>
              <w:t>节能环保</w:t>
            </w:r>
          </w:p>
        </w:tc>
        <w:tc>
          <w:tcPr>
            <w:tcW w:type="dxa" w:w="2492"/>
          </w:tcPr>
          <w:p>
            <w:pPr>
              <w:pStyle w:val="null3"/>
            </w:pPr>
            <w:r>
              <w:rPr/>
              <w:t>供应商投标产品中每有一项为节能产品或环境标志产品经国家认证的得1分。（以经国家确定的认证机构出具的、处于有效期内的节能产品、环境标志产品认证证书为准。）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货物简要说明一览表</w:t>
            </w:r>
          </w:p>
        </w:tc>
      </w:tr>
      <w:tr>
        <w:tc>
          <w:tcPr>
            <w:tcW w:type="dxa" w:w="831"/>
            <w:vMerge/>
          </w:tcPr>
          <w:p/>
        </w:tc>
        <w:tc>
          <w:tcPr>
            <w:tcW w:type="dxa" w:w="1661"/>
          </w:tcPr>
          <w:p>
            <w:pPr>
              <w:pStyle w:val="null3"/>
            </w:pPr>
            <w:r>
              <w:rPr/>
              <w:t>业绩</w:t>
            </w:r>
          </w:p>
        </w:tc>
        <w:tc>
          <w:tcPr>
            <w:tcW w:type="dxa" w:w="2492"/>
          </w:tcPr>
          <w:p>
            <w:pPr>
              <w:pStyle w:val="null3"/>
            </w:pPr>
            <w:r>
              <w:rPr/>
              <w:t>提供供应商自2021年1月1日至今业绩（以合同签订时间为准），提供合同复印件（扫描件）加盖供应商公章，每份有效业绩计1分，最高得10分。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满足招标文件要求且投标价格最低的投标报价为评标基准价，其价格分为满分30分。其他供应商的价格分统一按照下列公式计算：投标报价得分=（评标基准价/投标报价）×30 符合招标文件规定的小微企业、监狱企业、残疾人福利性单位优惠的供应商，价格给予10%的扣除，用扣除后的价格参与评审。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开标记录表</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开标记录表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详见附件：服务承诺</w:t>
      </w:r>
    </w:p>
    <w:p>
      <w:pPr>
        <w:pStyle w:val="null3"/>
        <w:ind w:firstLine="960"/>
      </w:pPr>
      <w:r>
        <w:rPr/>
        <w:t>详见附件：供应商认为有必要说明的其他资料</w:t>
      </w:r>
    </w:p>
    <w:p>
      <w:pPr>
        <w:pStyle w:val="null3"/>
        <w:ind w:firstLine="960"/>
      </w:pPr>
      <w:r>
        <w:rPr/>
        <w:t>详见附件：供应商资格证明文件</w:t>
      </w:r>
    </w:p>
    <w:p>
      <w:pPr>
        <w:pStyle w:val="null3"/>
        <w:ind w:firstLine="960"/>
      </w:pPr>
      <w:r>
        <w:rPr/>
        <w:t>详见附件：规格、技术参数偏离表</w:t>
      </w:r>
    </w:p>
    <w:p>
      <w:pPr>
        <w:pStyle w:val="null3"/>
        <w:ind w:firstLine="960"/>
      </w:pPr>
      <w:r>
        <w:rPr/>
        <w:t>详见附件：货物简要说明一览表</w:t>
      </w:r>
    </w:p>
    <w:p>
      <w:pPr>
        <w:pStyle w:val="null3"/>
        <w:ind w:firstLine="960"/>
      </w:pPr>
      <w:r>
        <w:rPr/>
        <w:t>详见附件：开标记录表</w:t>
      </w:r>
    </w:p>
    <w:p>
      <w:pPr>
        <w:pStyle w:val="null3"/>
        <w:ind w:firstLine="960"/>
      </w:pPr>
      <w:r>
        <w:rPr/>
        <w:t>详见附件：拟配备团队情况</w:t>
      </w:r>
    </w:p>
    <w:p>
      <w:pPr>
        <w:pStyle w:val="null3"/>
        <w:ind w:firstLine="960"/>
      </w:pPr>
      <w:r>
        <w:rPr/>
        <w:t>详见附件：商务要求偏离表</w:t>
      </w:r>
    </w:p>
    <w:p>
      <w:pPr>
        <w:pStyle w:val="null3"/>
        <w:ind w:firstLine="960"/>
      </w:pPr>
      <w:r>
        <w:rPr/>
        <w:t>详见附件：实施方案</w:t>
      </w:r>
    </w:p>
    <w:p>
      <w:pPr>
        <w:pStyle w:val="null3"/>
        <w:ind w:firstLine="960"/>
      </w:pPr>
      <w:r>
        <w:rPr/>
        <w:t>详见附件：投标保证金缴纳凭证</w:t>
      </w:r>
    </w:p>
    <w:p>
      <w:pPr>
        <w:pStyle w:val="null3"/>
        <w:ind w:firstLine="960"/>
      </w:pPr>
      <w:r>
        <w:rPr/>
        <w:t>详见附件：项目业绩一览表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详见附件：进口设备采购协议（模板）.docx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