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AF3F5F">
      <w:pPr>
        <w:spacing w:before="120" w:line="360" w:lineRule="auto"/>
        <w:jc w:val="center"/>
        <w:rPr>
          <w:rFonts w:ascii="仿宋" w:hAnsi="仿宋" w:eastAsia="仿宋" w:cs="仿宋"/>
          <w:b/>
          <w:bCs/>
          <w:sz w:val="72"/>
          <w:szCs w:val="72"/>
        </w:rPr>
      </w:pPr>
      <w:r>
        <w:rPr>
          <w:rFonts w:hint="eastAsia" w:ascii="仿宋" w:hAnsi="仿宋" w:eastAsia="仿宋" w:cs="仿宋"/>
          <w:b/>
          <w:bCs/>
          <w:sz w:val="72"/>
          <w:szCs w:val="72"/>
        </w:rPr>
        <w:t>政 府 采 购 合 同</w:t>
      </w:r>
    </w:p>
    <w:p w14:paraId="1C67DA0D">
      <w:pPr>
        <w:spacing w:before="120" w:line="360" w:lineRule="auto"/>
        <w:jc w:val="center"/>
        <w:rPr>
          <w:rFonts w:ascii="宋体" w:hAnsi="宋体" w:cs="仿宋"/>
          <w:b/>
          <w:sz w:val="40"/>
          <w:szCs w:val="40"/>
        </w:rPr>
      </w:pPr>
    </w:p>
    <w:p w14:paraId="201C44CE">
      <w:pPr>
        <w:spacing w:before="120" w:line="360" w:lineRule="auto"/>
        <w:jc w:val="center"/>
        <w:rPr>
          <w:rFonts w:ascii="宋体" w:hAnsi="宋体" w:cs="仿宋"/>
          <w:b/>
          <w:sz w:val="40"/>
          <w:szCs w:val="40"/>
        </w:rPr>
      </w:pPr>
    </w:p>
    <w:p w14:paraId="54D98B42">
      <w:pPr>
        <w:spacing w:before="120" w:line="360" w:lineRule="auto"/>
        <w:jc w:val="center"/>
        <w:rPr>
          <w:rFonts w:hint="eastAsia" w:ascii="宋体" w:hAnsi="宋体" w:eastAsia="宋体" w:cs="宋体"/>
          <w:b/>
          <w:sz w:val="48"/>
          <w:szCs w:val="48"/>
        </w:rPr>
      </w:pPr>
      <w:r>
        <w:rPr>
          <w:rFonts w:hint="eastAsia" w:ascii="宋体" w:hAnsi="宋体" w:eastAsia="宋体" w:cs="宋体"/>
          <w:b/>
          <w:sz w:val="48"/>
          <w:szCs w:val="48"/>
        </w:rPr>
        <w:t>西安高新区2024年餐饮油烟监测项目</w:t>
      </w:r>
    </w:p>
    <w:p w14:paraId="3F13B8A6">
      <w:pPr>
        <w:spacing w:before="120" w:line="360" w:lineRule="auto"/>
        <w:ind w:firstLine="2616" w:firstLineChars="1090"/>
        <w:rPr>
          <w:rFonts w:hint="eastAsia" w:ascii="宋体" w:hAnsi="宋体" w:eastAsia="宋体" w:cs="宋体"/>
          <w:sz w:val="20"/>
          <w:szCs w:val="18"/>
        </w:rPr>
      </w:pPr>
      <w:r>
        <w:rPr>
          <w:rFonts w:hint="eastAsia" w:ascii="宋体" w:hAnsi="宋体" w:eastAsia="宋体" w:cs="宋体"/>
          <w:sz w:val="24"/>
          <w:szCs w:val="24"/>
        </w:rPr>
        <w:t xml:space="preserve">     </w:t>
      </w:r>
    </w:p>
    <w:p w14:paraId="15B2FDD8">
      <w:pPr>
        <w:pStyle w:val="2"/>
        <w:rPr>
          <w:rFonts w:hint="eastAsia" w:ascii="宋体" w:hAnsi="宋体" w:eastAsia="宋体" w:cs="宋体"/>
          <w:sz w:val="15"/>
          <w:szCs w:val="15"/>
        </w:rPr>
      </w:pPr>
    </w:p>
    <w:p w14:paraId="0DDDCF4B">
      <w:pPr>
        <w:pStyle w:val="2"/>
        <w:rPr>
          <w:rFonts w:hint="eastAsia" w:ascii="宋体" w:hAnsi="宋体" w:eastAsia="宋体" w:cs="宋体"/>
          <w:sz w:val="15"/>
          <w:szCs w:val="15"/>
        </w:rPr>
      </w:pPr>
    </w:p>
    <w:p w14:paraId="27093F15">
      <w:pPr>
        <w:pStyle w:val="2"/>
        <w:rPr>
          <w:rFonts w:hint="eastAsia" w:ascii="宋体" w:hAnsi="宋体" w:eastAsia="宋体" w:cs="宋体"/>
          <w:sz w:val="15"/>
          <w:szCs w:val="15"/>
        </w:rPr>
      </w:pPr>
    </w:p>
    <w:p w14:paraId="74C55197">
      <w:pPr>
        <w:spacing w:before="120" w:line="360" w:lineRule="auto"/>
        <w:rPr>
          <w:rFonts w:hint="eastAsia" w:ascii="宋体" w:hAnsi="宋体" w:eastAsia="宋体" w:cs="宋体"/>
          <w:b/>
          <w:bCs/>
          <w:sz w:val="28"/>
          <w:szCs w:val="28"/>
        </w:rPr>
      </w:pPr>
      <w:r>
        <w:rPr>
          <w:rFonts w:hint="eastAsia" w:ascii="宋体" w:hAnsi="宋体" w:eastAsia="宋体" w:cs="宋体"/>
          <w:b/>
          <w:bCs/>
          <w:sz w:val="28"/>
          <w:szCs w:val="28"/>
        </w:rPr>
        <w:t>采购项目名称：</w:t>
      </w:r>
      <w:r>
        <w:rPr>
          <w:rFonts w:hint="eastAsia" w:ascii="宋体" w:hAnsi="宋体" w:eastAsia="宋体" w:cs="宋体"/>
          <w:b/>
          <w:bCs/>
          <w:sz w:val="28"/>
          <w:szCs w:val="28"/>
          <w:u w:val="single"/>
        </w:rPr>
        <w:t xml:space="preserve"> </w:t>
      </w:r>
      <w:r>
        <w:rPr>
          <w:rFonts w:hint="eastAsia" w:ascii="宋体" w:hAnsi="宋体" w:eastAsia="宋体" w:cs="宋体"/>
          <w:sz w:val="28"/>
          <w:szCs w:val="28"/>
          <w:u w:val="single"/>
        </w:rPr>
        <w:t xml:space="preserve"> 西安高新区2024年餐饮油烟监测项目</w:t>
      </w:r>
    </w:p>
    <w:p w14:paraId="594A7554">
      <w:pPr>
        <w:spacing w:before="120" w:line="360" w:lineRule="auto"/>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rPr>
        <w:t>采购人：</w:t>
      </w:r>
      <w:r>
        <w:rPr>
          <w:rFonts w:hint="eastAsia" w:ascii="宋体" w:hAnsi="宋体" w:eastAsia="宋体" w:cs="宋体"/>
          <w:b/>
          <w:bCs/>
          <w:sz w:val="28"/>
          <w:szCs w:val="28"/>
          <w:u w:val="single"/>
          <w:lang w:val="en-US" w:eastAsia="zh-CN"/>
        </w:rPr>
        <w:t xml:space="preserve">                                          </w:t>
      </w:r>
    </w:p>
    <w:p w14:paraId="16944A8B">
      <w:pPr>
        <w:spacing w:before="120" w:line="360" w:lineRule="auto"/>
        <w:rPr>
          <w:rFonts w:hint="eastAsia" w:ascii="宋体" w:hAnsi="宋体" w:eastAsia="宋体" w:cs="宋体"/>
          <w:b/>
          <w:bCs/>
          <w:sz w:val="28"/>
          <w:szCs w:val="28"/>
          <w:u w:val="single"/>
        </w:rPr>
      </w:pPr>
      <w:r>
        <w:rPr>
          <w:rFonts w:hint="eastAsia" w:ascii="宋体" w:hAnsi="宋体" w:eastAsia="宋体" w:cs="宋体"/>
          <w:b/>
          <w:bCs/>
          <w:sz w:val="28"/>
          <w:szCs w:val="28"/>
        </w:rPr>
        <w:t>成交供应商：</w:t>
      </w:r>
      <w:r>
        <w:rPr>
          <w:rFonts w:hint="eastAsia" w:ascii="宋体" w:hAnsi="宋体" w:eastAsia="宋体" w:cs="宋体"/>
          <w:b/>
          <w:bCs/>
          <w:sz w:val="28"/>
          <w:szCs w:val="28"/>
          <w:u w:val="single"/>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1B4E724E">
      <w:pPr>
        <w:rPr>
          <w:rFonts w:hint="eastAsia" w:ascii="宋体" w:hAnsi="宋体" w:eastAsia="宋体" w:cs="宋体"/>
          <w:sz w:val="28"/>
          <w:szCs w:val="28"/>
          <w:u w:val="single"/>
        </w:rPr>
      </w:pPr>
      <w:r>
        <w:rPr>
          <w:rFonts w:hint="eastAsia" w:ascii="宋体" w:hAnsi="宋体" w:eastAsia="宋体" w:cs="宋体"/>
          <w:b/>
          <w:bCs/>
          <w:sz w:val="28"/>
          <w:szCs w:val="28"/>
        </w:rPr>
        <w:t>签署日期：</w:t>
      </w:r>
      <w:r>
        <w:rPr>
          <w:rFonts w:hint="eastAsia" w:ascii="宋体" w:hAnsi="宋体" w:eastAsia="宋体" w:cs="宋体"/>
          <w:sz w:val="28"/>
          <w:szCs w:val="28"/>
          <w:u w:val="single"/>
        </w:rPr>
        <w:t xml:space="preserve">　　　 　　　　　　　                  </w:t>
      </w:r>
    </w:p>
    <w:p w14:paraId="5E293D6F">
      <w:pPr>
        <w:spacing w:line="360" w:lineRule="auto"/>
        <w:jc w:val="center"/>
        <w:rPr>
          <w:rFonts w:hint="eastAsia" w:ascii="宋体" w:hAnsi="宋体" w:eastAsia="宋体" w:cs="宋体"/>
          <w:b/>
          <w:bCs/>
          <w:sz w:val="22"/>
          <w:szCs w:val="22"/>
        </w:rPr>
        <w:sectPr>
          <w:pgSz w:w="11906" w:h="16838"/>
          <w:pgMar w:top="1418" w:right="1423" w:bottom="1418" w:left="1644" w:header="720" w:footer="720" w:gutter="0"/>
          <w:cols w:space="720" w:num="1"/>
          <w:docGrid w:linePitch="288" w:charSpace="-3449"/>
        </w:sectPr>
      </w:pPr>
    </w:p>
    <w:p w14:paraId="747D06DA">
      <w:pPr>
        <w:keepNext w:val="0"/>
        <w:keepLines w:val="0"/>
        <w:pageBreakBefore w:val="0"/>
        <w:kinsoku/>
        <w:wordWrap/>
        <w:overflowPunct/>
        <w:topLinePunct w:val="0"/>
        <w:autoSpaceDE/>
        <w:autoSpaceDN/>
        <w:bidi w:val="0"/>
        <w:spacing w:before="75" w:line="560" w:lineRule="exact"/>
        <w:textAlignment w:val="auto"/>
        <w:rPr>
          <w:rFonts w:hint="eastAsia" w:ascii="宋体" w:hAnsi="宋体" w:eastAsia="宋体" w:cs="宋体"/>
          <w:sz w:val="24"/>
          <w:szCs w:val="24"/>
          <w:u w:val="single"/>
        </w:rPr>
      </w:pPr>
      <w:r>
        <w:rPr>
          <w:rFonts w:hint="eastAsia" w:ascii="宋体" w:hAnsi="宋体" w:eastAsia="宋体" w:cs="宋体"/>
          <w:b/>
          <w:bCs/>
          <w:spacing w:val="5"/>
          <w:sz w:val="24"/>
          <w:szCs w:val="24"/>
        </w:rPr>
        <w:t>甲</w:t>
      </w:r>
      <w:r>
        <w:rPr>
          <w:rFonts w:hint="eastAsia" w:ascii="宋体" w:hAnsi="宋体" w:eastAsia="宋体" w:cs="宋体"/>
          <w:b/>
          <w:bCs/>
          <w:spacing w:val="3"/>
          <w:sz w:val="24"/>
          <w:szCs w:val="24"/>
        </w:rPr>
        <w:t>方 (采购人)：</w:t>
      </w:r>
      <w:r>
        <w:rPr>
          <w:rFonts w:hint="eastAsia" w:ascii="宋体" w:hAnsi="宋体" w:eastAsia="宋体" w:cs="宋体"/>
          <w:b/>
          <w:bCs/>
          <w:spacing w:val="3"/>
          <w:sz w:val="24"/>
          <w:szCs w:val="24"/>
          <w:u w:val="single"/>
          <w:lang w:val="en-US" w:eastAsia="zh-CN"/>
        </w:rPr>
        <w:t xml:space="preserve">                          </w:t>
      </w:r>
      <w:r>
        <w:rPr>
          <w:rFonts w:hint="eastAsia" w:ascii="宋体" w:hAnsi="宋体" w:eastAsia="宋体" w:cs="宋体"/>
          <w:sz w:val="24"/>
          <w:szCs w:val="24"/>
          <w:u w:val="single"/>
        </w:rPr>
        <w:t xml:space="preserve"> </w:t>
      </w:r>
    </w:p>
    <w:p w14:paraId="37656680">
      <w:pPr>
        <w:keepNext w:val="0"/>
        <w:keepLines w:val="0"/>
        <w:pageBreakBefore w:val="0"/>
        <w:kinsoku/>
        <w:wordWrap/>
        <w:overflowPunct/>
        <w:topLinePunct w:val="0"/>
        <w:autoSpaceDE/>
        <w:autoSpaceDN/>
        <w:bidi w:val="0"/>
        <w:spacing w:line="560" w:lineRule="exact"/>
        <w:textAlignment w:val="auto"/>
        <w:rPr>
          <w:rFonts w:hint="eastAsia" w:ascii="宋体" w:hAnsi="宋体" w:eastAsia="宋体" w:cs="宋体"/>
          <w:sz w:val="24"/>
          <w:szCs w:val="24"/>
        </w:rPr>
      </w:pPr>
      <w:r>
        <w:rPr>
          <w:rFonts w:hint="eastAsia" w:ascii="宋体" w:hAnsi="宋体" w:eastAsia="宋体" w:cs="宋体"/>
          <w:b/>
          <w:bCs/>
          <w:spacing w:val="8"/>
          <w:sz w:val="24"/>
          <w:szCs w:val="24"/>
        </w:rPr>
        <w:t>乙</w:t>
      </w:r>
      <w:r>
        <w:rPr>
          <w:rFonts w:hint="eastAsia" w:ascii="宋体" w:hAnsi="宋体" w:eastAsia="宋体" w:cs="宋体"/>
          <w:b/>
          <w:bCs/>
          <w:spacing w:val="5"/>
          <w:sz w:val="24"/>
          <w:szCs w:val="24"/>
        </w:rPr>
        <w:t>方 (成交供应商)：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EEF1E72">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甲乙双方根据202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日</w:t>
      </w:r>
      <w:r>
        <w:rPr>
          <w:rFonts w:hint="eastAsia" w:ascii="宋体" w:hAnsi="宋体" w:eastAsia="宋体" w:cs="宋体"/>
          <w:sz w:val="24"/>
          <w:szCs w:val="24"/>
          <w:u w:val="single"/>
        </w:rPr>
        <w:t>西安高新区2024年餐饮油烟监测项目</w:t>
      </w:r>
      <w:r>
        <w:rPr>
          <w:rFonts w:hint="eastAsia" w:ascii="宋体" w:hAnsi="宋体" w:eastAsia="宋体" w:cs="宋体"/>
          <w:kern w:val="0"/>
          <w:sz w:val="24"/>
          <w:szCs w:val="24"/>
        </w:rPr>
        <w:t>政府采购招标项目第</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号采购招标结果及相关竞争性磋商文件和竞争性磋商响应文件，本合同经双方友好协商</w:t>
      </w:r>
      <w:r>
        <w:rPr>
          <w:rFonts w:hint="eastAsia" w:ascii="宋体" w:hAnsi="宋体" w:eastAsia="宋体" w:cs="宋体"/>
          <w:kern w:val="0"/>
          <w:sz w:val="24"/>
          <w:szCs w:val="24"/>
          <w:lang w:val="en-US" w:eastAsia="zh-CN"/>
        </w:rPr>
        <w:t>,遵循</w:t>
      </w:r>
      <w:r>
        <w:rPr>
          <w:rFonts w:hint="eastAsia" w:ascii="宋体" w:hAnsi="宋体" w:eastAsia="宋体" w:cs="宋体"/>
          <w:kern w:val="0"/>
          <w:sz w:val="24"/>
          <w:szCs w:val="24"/>
        </w:rPr>
        <w:t>平等、诚信、协作的原则，按照《中华人民共和国民法典》和《中华人民共和国政府采购法》，经协商一致，订立本合同，供双方共同遵守：</w:t>
      </w:r>
    </w:p>
    <w:p w14:paraId="6EA1152D">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一、合同约定的内容</w:t>
      </w:r>
    </w:p>
    <w:p w14:paraId="5187913B">
      <w:pPr>
        <w:pStyle w:val="6"/>
        <w:keepNext w:val="0"/>
        <w:keepLines w:val="0"/>
        <w:pageBreakBefore w:val="0"/>
        <w:kinsoku/>
        <w:wordWrap/>
        <w:overflowPunct/>
        <w:topLinePunct w:val="0"/>
        <w:autoSpaceDE/>
        <w:autoSpaceDN/>
        <w:bidi w:val="0"/>
        <w:spacing w:after="0" w:line="560" w:lineRule="exact"/>
        <w:ind w:firstLine="480" w:firstLineChars="200"/>
        <w:textAlignment w:val="auto"/>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按照《西安市2024年餐饮单位油烟及燃煤污染治理和露天焚烧管控工作方案》要求，需引入第三方检测机构对区内产生油烟的餐饮单位油烟净化效果进行抽查检测，出具油烟排放监测报告,凡达不到《饮食业油烟排放标准》（GB18483-2001）排放限值的，责令限期整改，确保达标排放。</w:t>
      </w:r>
    </w:p>
    <w:p w14:paraId="2D72AA6A">
      <w:pPr>
        <w:pStyle w:val="6"/>
        <w:keepNext w:val="0"/>
        <w:keepLines w:val="0"/>
        <w:pageBreakBefore w:val="0"/>
        <w:kinsoku/>
        <w:wordWrap/>
        <w:overflowPunct/>
        <w:topLinePunct w:val="0"/>
        <w:autoSpaceDE/>
        <w:autoSpaceDN/>
        <w:bidi w:val="0"/>
        <w:spacing w:after="0" w:line="560" w:lineRule="exact"/>
        <w:ind w:firstLine="482"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二、服务期限及地点</w:t>
      </w:r>
    </w:p>
    <w:p w14:paraId="7579C78A">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（一）服务地点：采购人指定地点；</w:t>
      </w:r>
    </w:p>
    <w:p w14:paraId="727C45FA">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（二）服务期限:一年（合同签订之日起一年或本项目总费用使用完毕为止）</w:t>
      </w:r>
    </w:p>
    <w:p w14:paraId="75F2FBE9">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（三）监测报告交付期限：采样检测后5个工作日内提供监测报告；应急等特殊情况，采样检测后48小时内提供监测报告。</w:t>
      </w:r>
    </w:p>
    <w:p w14:paraId="6C6E4A0F">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三、合同价款</w:t>
      </w:r>
    </w:p>
    <w:p w14:paraId="46611656">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仿宋" w:hAnsi="仿宋" w:eastAsia="仿宋" w:cs="仿宋"/>
          <w:sz w:val="24"/>
          <w:szCs w:val="24"/>
        </w:rPr>
      </w:pPr>
      <w:r>
        <w:rPr>
          <w:rFonts w:hint="eastAsia" w:ascii="宋体" w:hAnsi="宋体" w:eastAsia="宋体" w:cs="宋体"/>
          <w:kern w:val="0"/>
          <w:sz w:val="24"/>
          <w:szCs w:val="24"/>
        </w:rPr>
        <w:t>（一）</w:t>
      </w:r>
      <w:r>
        <w:rPr>
          <w:rFonts w:hint="eastAsia" w:ascii="宋体" w:hAnsi="宋体" w:eastAsia="宋体" w:cs="宋体"/>
          <w:spacing w:val="4"/>
          <w:sz w:val="24"/>
          <w:szCs w:val="24"/>
        </w:rPr>
        <w:t>合同监测单价为人民币(大写)</w:t>
      </w:r>
      <w:r>
        <w:rPr>
          <w:rFonts w:hint="eastAsia" w:ascii="宋体" w:hAnsi="宋体" w:eastAsia="宋体" w:cs="宋体"/>
          <w:b/>
          <w:bCs/>
          <w:spacing w:val="4"/>
          <w:sz w:val="24"/>
          <w:szCs w:val="24"/>
          <w:u w:val="single"/>
        </w:rPr>
        <w:t xml:space="preserve"> </w:t>
      </w:r>
      <w:r>
        <w:rPr>
          <w:rFonts w:hint="eastAsia" w:ascii="宋体" w:hAnsi="宋体" w:cs="宋体"/>
          <w:b/>
          <w:bCs/>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w:t>
      </w:r>
      <w:r>
        <w:rPr>
          <w:rFonts w:hint="eastAsia" w:ascii="宋体" w:hAnsi="宋体" w:cs="宋体"/>
          <w:spacing w:val="4"/>
          <w:sz w:val="24"/>
          <w:szCs w:val="24"/>
          <w:u w:val="single"/>
          <w:lang w:val="en-US" w:eastAsia="zh-CN"/>
        </w:rPr>
        <w:t xml:space="preserve">   </w:t>
      </w:r>
      <w:r>
        <w:rPr>
          <w:rFonts w:hint="eastAsia" w:ascii="宋体" w:hAnsi="宋体" w:eastAsia="宋体" w:cs="宋体"/>
          <w:spacing w:val="4"/>
          <w:sz w:val="24"/>
          <w:szCs w:val="24"/>
        </w:rPr>
        <w:t>元/排</w:t>
      </w:r>
      <w:r>
        <w:rPr>
          <w:rFonts w:hint="eastAsia" w:ascii="宋体" w:hAnsi="宋体" w:eastAsia="宋体" w:cs="宋体"/>
          <w:sz w:val="24"/>
          <w:szCs w:val="24"/>
        </w:rPr>
        <w:t>烟</w:t>
      </w:r>
      <w:r>
        <w:rPr>
          <w:rFonts w:hint="eastAsia" w:ascii="宋体" w:hAnsi="宋体" w:eastAsia="宋体" w:cs="宋体"/>
          <w:spacing w:val="4"/>
          <w:sz w:val="24"/>
          <w:szCs w:val="24"/>
        </w:rPr>
        <w:t>筒),本包计划监测</w:t>
      </w:r>
      <w:r>
        <w:rPr>
          <w:rFonts w:hint="eastAsia" w:ascii="宋体" w:hAnsi="宋体" w:eastAsia="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个排烟筒，合同总金</w:t>
      </w:r>
      <w:r>
        <w:rPr>
          <w:rFonts w:hint="eastAsia" w:ascii="仿宋" w:hAnsi="仿宋" w:eastAsia="仿宋" w:cs="仿宋"/>
          <w:spacing w:val="4"/>
          <w:sz w:val="24"/>
          <w:szCs w:val="24"/>
        </w:rPr>
        <w:t>额为人民币(大写)</w:t>
      </w:r>
      <w:r>
        <w:rPr>
          <w:rFonts w:hint="eastAsia" w:ascii="仿宋" w:hAnsi="仿宋" w:eastAsia="仿宋" w:cs="仿宋"/>
          <w:b/>
          <w:bCs/>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(小写</w:t>
      </w:r>
      <w:r>
        <w:rPr>
          <w:rFonts w:eastAsia="仿宋"/>
          <w:spacing w:val="4"/>
          <w:sz w:val="24"/>
          <w:szCs w:val="24"/>
          <w:u w:val="single"/>
        </w:rPr>
        <w:t>￥</w:t>
      </w:r>
      <w:r>
        <w:rPr>
          <w:rFonts w:hint="eastAsia" w:eastAsia="仿宋"/>
          <w:spacing w:val="4"/>
          <w:sz w:val="24"/>
          <w:szCs w:val="24"/>
          <w:u w:val="single"/>
          <w:lang w:val="en-US" w:eastAsia="zh-CN"/>
        </w:rPr>
        <w:t xml:space="preserve">          </w:t>
      </w:r>
      <w:r>
        <w:rPr>
          <w:rFonts w:hint="eastAsia" w:ascii="仿宋" w:hAnsi="仿宋" w:eastAsia="仿宋" w:cs="仿宋"/>
          <w:spacing w:val="4"/>
          <w:sz w:val="24"/>
          <w:szCs w:val="24"/>
        </w:rPr>
        <w:t>元)。</w:t>
      </w:r>
    </w:p>
    <w:p w14:paraId="6D6E7EAA">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rPr>
        <w:t>（二）合同监测单价是指一次检测服务所需全部费用,包括但不限于本项目的监测费、人工费、设备费、交通费、管理费、成果费、利润、风险、各种税金等所有成本。</w:t>
      </w:r>
    </w:p>
    <w:p w14:paraId="1D5DAAD5">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val="zh-TW"/>
        </w:rPr>
        <w:t>合同价款确定方式</w:t>
      </w:r>
      <w:r>
        <w:rPr>
          <w:rFonts w:hint="eastAsia" w:ascii="宋体" w:hAnsi="宋体" w:eastAsia="宋体" w:cs="宋体"/>
          <w:sz w:val="24"/>
          <w:szCs w:val="24"/>
        </w:rPr>
        <w:t>：本合同为固定单价合同，合同单价一次包死，不受市场价变化的影响。</w:t>
      </w:r>
    </w:p>
    <w:p w14:paraId="23933A21">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四、付款方式及依据</w:t>
      </w:r>
    </w:p>
    <w:p w14:paraId="1EF81C91">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（一）付款方式：项目服务完成经验收合格后，根据实际检测量*检测单价，据实结算，一次性支付 ，达到付款条件起 30 日内，支付合同总金额的 100.00%。</w:t>
      </w:r>
    </w:p>
    <w:p w14:paraId="21DE52DF">
      <w:pPr>
        <w:keepNext w:val="0"/>
        <w:keepLines w:val="0"/>
        <w:pageBreakBefore w:val="0"/>
        <w:tabs>
          <w:tab w:val="left" w:pos="9030"/>
        </w:tabs>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（二）结算方式：银行转账。</w:t>
      </w:r>
    </w:p>
    <w:p w14:paraId="4FDD5E50">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（三）付款依据：由甲方负责结算，乙方开具</w:t>
      </w:r>
      <w:r>
        <w:rPr>
          <w:rFonts w:hint="eastAsia" w:ascii="宋体" w:hAnsi="宋体" w:eastAsia="宋体" w:cs="宋体"/>
          <w:sz w:val="24"/>
          <w:szCs w:val="24"/>
          <w:lang w:eastAsia="zh-CN"/>
        </w:rPr>
        <w:t>正规</w:t>
      </w:r>
      <w:r>
        <w:rPr>
          <w:rFonts w:hint="eastAsia" w:ascii="宋体" w:hAnsi="宋体" w:eastAsia="宋体" w:cs="宋体"/>
          <w:sz w:val="24"/>
          <w:szCs w:val="24"/>
        </w:rPr>
        <w:t>发票给甲方。</w:t>
      </w:r>
    </w:p>
    <w:p w14:paraId="7A909B59">
      <w:pPr>
        <w:keepNext w:val="0"/>
        <w:keepLines w:val="0"/>
        <w:pageBreakBefore w:val="0"/>
        <w:kinsoku/>
        <w:wordWrap/>
        <w:overflowPunct/>
        <w:topLinePunct w:val="0"/>
        <w:autoSpaceDE/>
        <w:autoSpaceDN/>
        <w:bidi w:val="0"/>
        <w:spacing w:line="56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sz w:val="24"/>
          <w:szCs w:val="24"/>
        </w:rPr>
        <w:t>注：据实结算，当本协议结算金额高于对应包的预算金额时合同自动终止。</w:t>
      </w:r>
    </w:p>
    <w:p w14:paraId="2601A0DC">
      <w:pPr>
        <w:pStyle w:val="6"/>
        <w:keepNext w:val="0"/>
        <w:keepLines w:val="0"/>
        <w:pageBreakBefore w:val="0"/>
        <w:kinsoku/>
        <w:wordWrap/>
        <w:overflowPunct/>
        <w:topLinePunct w:val="0"/>
        <w:autoSpaceDE/>
        <w:autoSpaceDN/>
        <w:bidi w:val="0"/>
        <w:spacing w:after="0" w:line="56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五、服务要求</w:t>
      </w:r>
    </w:p>
    <w:p w14:paraId="2E0E4398">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（一）乙方须具备合法有效</w:t>
      </w:r>
      <w:bookmarkStart w:id="0" w:name="_GoBack"/>
      <w:bookmarkEnd w:id="0"/>
      <w:r>
        <w:rPr>
          <w:rFonts w:hint="eastAsia" w:ascii="宋体" w:hAnsi="宋体" w:eastAsia="宋体" w:cs="宋体"/>
          <w:sz w:val="24"/>
          <w:szCs w:val="24"/>
        </w:rPr>
        <w:t>《检验检测机构资质认定》资质，能力须满足该项目服务要求</w:t>
      </w:r>
      <w:r>
        <w:rPr>
          <w:rFonts w:hint="eastAsia" w:ascii="宋体" w:hAnsi="宋体" w:eastAsia="宋体" w:cs="宋体"/>
          <w:sz w:val="24"/>
          <w:szCs w:val="24"/>
          <w:lang w:eastAsia="zh-CN"/>
        </w:rPr>
        <w:t>。</w:t>
      </w:r>
    </w:p>
    <w:p w14:paraId="65D6ADB0">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（二）乙方需派一名项目经理，直接与甲方沟通，负责现场的监督和协调工作，项目经理接收甲方提出的问题与要求，并及时向公司申请调动资源，解决甲方在项目实施过程中遇到的问题</w:t>
      </w:r>
      <w:r>
        <w:rPr>
          <w:rFonts w:hint="eastAsia" w:ascii="宋体" w:hAnsi="宋体" w:eastAsia="宋体" w:cs="宋体"/>
          <w:sz w:val="24"/>
          <w:szCs w:val="24"/>
          <w:lang w:val="en-US" w:eastAsia="zh-CN"/>
        </w:rPr>
        <w:t>。</w:t>
      </w:r>
    </w:p>
    <w:p w14:paraId="200124AB">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（三）根据项目服务内容、时限及相关规范要求，配足专业技术设备和具备相关资质的专业技术人员，制定检测计划，保证按期完成监测劳务；</w:t>
      </w:r>
    </w:p>
    <w:p w14:paraId="72DF6316">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（四）在项目实施过程中，甲方可依据实际情况对服务方案进行调整，乙方应予以配合并依据甲方调整后的方案提供服务</w:t>
      </w:r>
      <w:r>
        <w:rPr>
          <w:rFonts w:hint="eastAsia" w:ascii="宋体" w:hAnsi="宋体" w:eastAsia="宋体" w:cs="宋体"/>
          <w:sz w:val="24"/>
          <w:szCs w:val="24"/>
          <w:lang w:val="en-US" w:eastAsia="zh-CN"/>
        </w:rPr>
        <w:t>。</w:t>
      </w:r>
    </w:p>
    <w:p w14:paraId="11918D21">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（五）</w:t>
      </w:r>
      <w:r>
        <w:rPr>
          <w:rFonts w:hint="eastAsia" w:ascii="宋体" w:hAnsi="宋体" w:eastAsia="宋体" w:cs="宋体"/>
          <w:sz w:val="24"/>
          <w:szCs w:val="24"/>
          <w:lang w:eastAsia="zh-CN"/>
        </w:rPr>
        <w:t>乙方</w:t>
      </w:r>
      <w:r>
        <w:rPr>
          <w:rFonts w:hint="eastAsia" w:ascii="宋体" w:hAnsi="宋体" w:eastAsia="宋体" w:cs="宋体"/>
          <w:sz w:val="24"/>
          <w:szCs w:val="24"/>
        </w:rPr>
        <w:t>需提前对被监测餐饮商户油烟排放状况进行排查，建立台账，对不符合监测要求的，须拿出整改方案并予以解决，确保顺利监测；对无法整改的提出解决办法</w:t>
      </w:r>
      <w:r>
        <w:rPr>
          <w:rFonts w:hint="eastAsia" w:ascii="宋体" w:hAnsi="宋体" w:eastAsia="宋体" w:cs="宋体"/>
          <w:sz w:val="24"/>
          <w:szCs w:val="24"/>
          <w:lang w:eastAsia="zh-CN"/>
        </w:rPr>
        <w:t>。</w:t>
      </w:r>
    </w:p>
    <w:p w14:paraId="395E494F">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（六）采样时需要开设采样口的，由检测机构自行负责</w:t>
      </w:r>
      <w:r>
        <w:rPr>
          <w:rFonts w:hint="eastAsia" w:ascii="宋体" w:hAnsi="宋体" w:eastAsia="宋体" w:cs="宋体"/>
          <w:sz w:val="24"/>
          <w:szCs w:val="24"/>
          <w:lang w:eastAsia="zh-CN"/>
        </w:rPr>
        <w:t>。</w:t>
      </w:r>
    </w:p>
    <w:p w14:paraId="14EEF2C7">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（七）乙方须根据甲方的时间要求完成监测服务，项目实施期间需留存相关照片、视频、原始数据、凭证并建立档案资料，待随时交付查验并用于项目有效管理及费用核算。采样后五日内出具正式的CMA监测报告。</w:t>
      </w:r>
    </w:p>
    <w:p w14:paraId="37AD218D">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八）依据《饮食业油烟排放标准》（GB18483-2001），主要对餐饮单位食物烹饪、加工过程中挥发的油脂、有机物质及其加热分解或裂解产物等进行监测。每家餐饮单位监测完成后，须出具书面监测报告，报告内容须完整规范、科学有效。</w:t>
      </w:r>
    </w:p>
    <w:p w14:paraId="324AEDF7">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（九）检测技术需符合HJ/T 62-2001《饮食业油烟净化设备技术要求及检测技术规范（试行）》</w:t>
      </w:r>
      <w:r>
        <w:rPr>
          <w:rFonts w:hint="eastAsia" w:ascii="宋体" w:hAnsi="宋体" w:eastAsia="宋体" w:cs="宋体"/>
          <w:sz w:val="24"/>
          <w:szCs w:val="24"/>
          <w:lang w:eastAsia="zh-CN"/>
        </w:rPr>
        <w:t>。</w:t>
      </w:r>
    </w:p>
    <w:p w14:paraId="2D98C74B">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（十）</w:t>
      </w:r>
      <w:r>
        <w:rPr>
          <w:rFonts w:hint="eastAsia" w:ascii="宋体" w:hAnsi="宋体" w:eastAsia="宋体" w:cs="宋体"/>
          <w:sz w:val="24"/>
          <w:szCs w:val="24"/>
          <w:lang w:eastAsia="zh-CN"/>
        </w:rPr>
        <w:t>乙方应</w:t>
      </w:r>
      <w:r>
        <w:rPr>
          <w:rFonts w:hint="eastAsia" w:ascii="宋体" w:hAnsi="宋体" w:eastAsia="宋体" w:cs="宋体"/>
          <w:sz w:val="24"/>
          <w:szCs w:val="24"/>
        </w:rPr>
        <w:t>严格执行有关安全生产的方针、政策、法规等，科学、规范、安全、文明作业。</w:t>
      </w:r>
    </w:p>
    <w:p w14:paraId="52AF9F57">
      <w:pPr>
        <w:keepNext w:val="0"/>
        <w:keepLines w:val="0"/>
        <w:pageBreakBefore w:val="0"/>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十一）乙方应确保监测报告中所有数据均为真实，不得造假；若发现造假行为，在本次合同中乙方所出具的监测报告全部作废，甲方可单方面解除合同，且不向乙方支付任何服务费用。已支付的费用，乙方应在5日内返还，并支付合同总价款的30%作为违约金。</w:t>
      </w:r>
    </w:p>
    <w:p w14:paraId="179BC0F7">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六、验收</w:t>
      </w:r>
    </w:p>
    <w:p w14:paraId="1FE2C4D1">
      <w:pPr>
        <w:keepNext w:val="0"/>
        <w:keepLines w:val="0"/>
        <w:pageBreakBefore w:val="0"/>
        <w:tabs>
          <w:tab w:val="left" w:pos="1276"/>
        </w:tabs>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（一）本项目验收费用，由乙方自行承担。</w:t>
      </w:r>
    </w:p>
    <w:p w14:paraId="0665DE60">
      <w:pPr>
        <w:keepNext w:val="0"/>
        <w:keepLines w:val="0"/>
        <w:pageBreakBefore w:val="0"/>
        <w:tabs>
          <w:tab w:val="left" w:pos="1276"/>
        </w:tabs>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（二）服务期满后，由乙方向甲方递交验收通知书，经甲方确认后，组织乙方进行验收（必要时</w:t>
      </w:r>
      <w:r>
        <w:rPr>
          <w:rFonts w:hint="eastAsia" w:ascii="宋体" w:hAnsi="宋体" w:eastAsia="宋体" w:cs="宋体"/>
          <w:sz w:val="24"/>
          <w:szCs w:val="24"/>
          <w:lang w:eastAsia="zh-CN"/>
        </w:rPr>
        <w:t>甲方</w:t>
      </w:r>
      <w:r>
        <w:rPr>
          <w:rFonts w:hint="eastAsia" w:ascii="宋体" w:hAnsi="宋体" w:eastAsia="宋体" w:cs="宋体"/>
          <w:sz w:val="24"/>
          <w:szCs w:val="24"/>
        </w:rPr>
        <w:t>可委托具有相关资质的第三方检测机构/技术专家对本次服务进行验收）。验收合格后，填写政府采购项目验收单作为对本次服务的最终认可。</w:t>
      </w:r>
    </w:p>
    <w:p w14:paraId="77E4399F">
      <w:pPr>
        <w:keepNext w:val="0"/>
        <w:keepLines w:val="0"/>
        <w:pageBreakBefore w:val="0"/>
        <w:tabs>
          <w:tab w:val="left" w:pos="1276"/>
        </w:tabs>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（三）验收标准：</w:t>
      </w:r>
    </w:p>
    <w:p w14:paraId="732C5951">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1.本合同及附加文本；</w:t>
      </w:r>
    </w:p>
    <w:p w14:paraId="54B39A4D">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2.磋商文件、成交供应商的响应文件及澄清(承诺)函；</w:t>
      </w:r>
    </w:p>
    <w:p w14:paraId="5893A967">
      <w:pPr>
        <w:keepNext w:val="0"/>
        <w:keepLines w:val="0"/>
        <w:pageBreakBefore w:val="0"/>
        <w:tabs>
          <w:tab w:val="left" w:pos="1276"/>
        </w:tabs>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3.国家及行业相关的标准、规范。</w:t>
      </w:r>
    </w:p>
    <w:p w14:paraId="4E98968F">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七、甲乙双方的权利、义务</w:t>
      </w:r>
    </w:p>
    <w:p w14:paraId="34CC2F71">
      <w:pPr>
        <w:keepNext w:val="0"/>
        <w:keepLines w:val="0"/>
        <w:pageBreakBefore w:val="0"/>
        <w:widowControl/>
        <w:kinsoku/>
        <w:wordWrap/>
        <w:overflowPunct/>
        <w:topLinePunct w:val="0"/>
        <w:autoSpaceDE/>
        <w:autoSpaceDN/>
        <w:bidi w:val="0"/>
        <w:spacing w:line="560" w:lineRule="exact"/>
        <w:ind w:firstLine="482" w:firstLineChars="200"/>
        <w:jc w:val="left"/>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（一）甲方：</w:t>
      </w:r>
    </w:p>
    <w:p w14:paraId="69460128">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1.甲方有权监督乙方工作执行情况。</w:t>
      </w:r>
    </w:p>
    <w:p w14:paraId="5E9D1790">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2.甲方有权向乙方提出合理化建议，乙方应予以采纳。</w:t>
      </w:r>
    </w:p>
    <w:p w14:paraId="01525FD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3.甲方有权对乙方的质量、进度、服务、设备、器具、安全等情况进行安全监督检查，如乙方未达到标准或出现不合格情况，甲方有权要求乙方进行整改和完善。逾期未整改的，</w:t>
      </w:r>
      <w:r>
        <w:rPr>
          <w:rFonts w:hint="eastAsia" w:ascii="宋体" w:hAnsi="宋体" w:eastAsia="宋体" w:cs="宋体"/>
          <w:kern w:val="0"/>
          <w:sz w:val="24"/>
          <w:szCs w:val="24"/>
          <w:highlight w:val="none"/>
        </w:rPr>
        <w:t>甲方有权扣除本次检测费用的20%。</w:t>
      </w:r>
    </w:p>
    <w:p w14:paraId="614D1E9C">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4.如对成果报告有特殊要求，甲方提前说明。</w:t>
      </w:r>
    </w:p>
    <w:p w14:paraId="4922E81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5.按照本合同约定及时足额支付费用。</w:t>
      </w:r>
    </w:p>
    <w:p w14:paraId="35B9E53A">
      <w:pPr>
        <w:keepNext w:val="0"/>
        <w:keepLines w:val="0"/>
        <w:pageBreakBefore w:val="0"/>
        <w:kinsoku/>
        <w:wordWrap/>
        <w:overflowPunct/>
        <w:topLinePunct w:val="0"/>
        <w:autoSpaceDE/>
        <w:autoSpaceDN/>
        <w:bidi w:val="0"/>
        <w:adjustRightInd w:val="0"/>
        <w:snapToGrid w:val="0"/>
        <w:spacing w:line="560" w:lineRule="exact"/>
        <w:ind w:firstLine="482" w:firstLineChars="200"/>
        <w:textAlignment w:val="auto"/>
        <w:rPr>
          <w:rFonts w:hint="eastAsia" w:ascii="宋体" w:hAnsi="宋体" w:eastAsia="宋体" w:cs="宋体"/>
          <w:kern w:val="0"/>
          <w:sz w:val="24"/>
          <w:szCs w:val="24"/>
        </w:rPr>
      </w:pPr>
      <w:r>
        <w:rPr>
          <w:rFonts w:hint="eastAsia" w:ascii="宋体" w:hAnsi="宋体" w:eastAsia="宋体" w:cs="宋体"/>
          <w:b/>
          <w:bCs/>
          <w:kern w:val="0"/>
          <w:sz w:val="24"/>
          <w:szCs w:val="24"/>
        </w:rPr>
        <w:t>（二）乙方：</w:t>
      </w:r>
    </w:p>
    <w:p w14:paraId="6B21DD7C">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1.接受项目行业管理部门及政府有关部门的监督指导，接受甲方的监督。</w:t>
      </w:r>
    </w:p>
    <w:p w14:paraId="55146E1C">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2.按照合同约定提供技术服务，为甲方提供技术服务成果。承诺采用合理严谨的态度及科学准确的方法提供技术服务，以保证成果的准确性和有效性。</w:t>
      </w:r>
    </w:p>
    <w:p w14:paraId="24145ACC">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乙方在接到甲方监测任务后，应及时响应并派遣满足工作需要的专业技术人员对委托内容开展作业，在委托时限内按时完成监测并向甲方提供正式检测报告。在监测过程中如遇不可抗拒的自然因素，乙方应及时向甲方申请，则监测周期另议或顺延。</w:t>
      </w:r>
    </w:p>
    <w:p w14:paraId="41E76C0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4.为甲方设立项目负责人，以便甲方项目由乙方专人专管，提高工作效率。</w:t>
      </w:r>
    </w:p>
    <w:p w14:paraId="7A818600">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乙方项目负责人：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，联系电话：</w:t>
      </w:r>
      <w:r>
        <w:rPr>
          <w:rFonts w:hint="eastAsia" w:ascii="宋体" w:hAnsi="宋体" w:eastAsia="宋体" w:cs="宋体"/>
          <w:kern w:val="0"/>
          <w:sz w:val="24"/>
          <w:szCs w:val="24"/>
          <w:u w:val="single"/>
        </w:rPr>
        <w:t xml:space="preserve">         </w:t>
      </w:r>
    </w:p>
    <w:p w14:paraId="387875F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5.乙方及其雇用的员工应严格遵守国家的法律、法规，如果乙方及其所雇用的员工违反法律、法规和相关规定，所造成的后果由乙方自行负责，与甲方无关，若因此给甲方造成损失的，由乙方承担。</w:t>
      </w:r>
    </w:p>
    <w:p w14:paraId="1D94DDE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6.按照合同内容要求甲方按期支付费用。</w:t>
      </w:r>
    </w:p>
    <w:p w14:paraId="79FCD7C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7.就监测服务的有关内容，接受甲方的咨询。</w:t>
      </w:r>
    </w:p>
    <w:p w14:paraId="58F1515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8.乙方正常开展服务工作所需费用，均包含在合同金额中，由于甲方原因导致乙方超出合同范围工作所产生的费用由甲方承担。</w:t>
      </w:r>
    </w:p>
    <w:p w14:paraId="017E69D1">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9.未经甲方同意，乙方不得擅自将所承包的合同转让给他人，或肢解分包给他人。</w:t>
      </w:r>
    </w:p>
    <w:p w14:paraId="4C92F26F">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10.乙方进行监测后出具的报告仅对被测样品负责。在任何情况下，乙方的责任不能超出乙方对样品作出的检测报告的范围。乙方有责任根据样品有效期对样品进行保管，在此期间，若因乙方过错导致样品丢失所造成的一切损失由乙方承担。</w:t>
      </w:r>
    </w:p>
    <w:p w14:paraId="691B2453">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11.乙方</w:t>
      </w:r>
      <w:r>
        <w:rPr>
          <w:rFonts w:hint="eastAsia" w:ascii="宋体" w:hAnsi="宋体" w:eastAsia="宋体" w:cs="宋体"/>
          <w:kern w:val="0"/>
          <w:sz w:val="24"/>
          <w:szCs w:val="24"/>
          <w:lang w:val="zh-CN"/>
        </w:rPr>
        <w:t>对涉及秘密级业务的技术资料、数据、保密信息等进行严格保密，一旦泄密，需承担相应法律责任。</w:t>
      </w:r>
    </w:p>
    <w:p w14:paraId="34FCBD55">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12.接受甲方的管理、监督、检查和考核，对甲方发出的整改通知，应及时按甲方的要求进行整改。乙方无正当理由拒绝整改时，甲方可以另行委托他人予以整改，所发生的费用由乙方承担。</w:t>
      </w:r>
    </w:p>
    <w:p w14:paraId="0B2ED10D">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13.乙方必须遵循安全作业和文明作业的规定，在履行本合同的过程中，采取严格的安全防范措施。在服务过程中发生的一切人身伤亡事故及其他损害，由乙方自行承担所有责任。若造成甲方因此而承担有关法律责任，乙方除应承担因此造成的一切损失外，甲方有权单方面解除本合同；</w:t>
      </w:r>
    </w:p>
    <w:p w14:paraId="346D24D2">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14.乙方定期按照国家规定要求对仪器设备进行校验校准，客观、公正、科学、实事求是的按照合同要求进行监测，确保数据的真实性、可靠性。对所监测内容和结果负全部技术责任。</w:t>
      </w:r>
    </w:p>
    <w:p w14:paraId="765210AB">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八、知识产权归属</w:t>
      </w:r>
    </w:p>
    <w:p w14:paraId="0620BF00">
      <w:pPr>
        <w:pStyle w:val="10"/>
        <w:keepNext w:val="0"/>
        <w:keepLines w:val="0"/>
        <w:pageBreakBefore w:val="0"/>
        <w:kinsoku/>
        <w:wordWrap/>
        <w:overflowPunct/>
        <w:topLinePunct w:val="0"/>
        <w:autoSpaceDE/>
        <w:autoSpaceDN/>
        <w:bidi w:val="0"/>
        <w:spacing w:after="0" w:line="56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u w:val="none" w:color="000000"/>
        </w:rPr>
        <w:t>乙方需保证本项目</w:t>
      </w:r>
      <w:r>
        <w:rPr>
          <w:rFonts w:hint="eastAsia" w:ascii="宋体" w:hAnsi="宋体" w:eastAsia="宋体" w:cs="宋体"/>
          <w:kern w:val="2"/>
          <w:sz w:val="24"/>
          <w:szCs w:val="24"/>
        </w:rPr>
        <w:t>所提供的服务或其任何一部分</w:t>
      </w:r>
      <w:r>
        <w:rPr>
          <w:rFonts w:hint="eastAsia" w:ascii="宋体" w:hAnsi="宋体" w:eastAsia="宋体" w:cs="宋体"/>
          <w:sz w:val="24"/>
          <w:szCs w:val="24"/>
          <w:u w:val="none" w:color="000000"/>
        </w:rPr>
        <w:t>或其授予的权利不会侵犯任何第三人的知识产权或其他权利，也没有其他针对乙方拥有本项目</w:t>
      </w:r>
      <w:r>
        <w:rPr>
          <w:rFonts w:hint="eastAsia" w:ascii="宋体" w:hAnsi="宋体" w:eastAsia="宋体" w:cs="宋体"/>
          <w:kern w:val="2"/>
          <w:sz w:val="24"/>
          <w:szCs w:val="24"/>
        </w:rPr>
        <w:t>所提供的服务</w:t>
      </w:r>
      <w:r>
        <w:rPr>
          <w:rFonts w:hint="eastAsia" w:ascii="宋体" w:hAnsi="宋体" w:eastAsia="宋体" w:cs="宋体"/>
          <w:sz w:val="24"/>
          <w:szCs w:val="24"/>
          <w:u w:val="none" w:color="000000"/>
        </w:rPr>
        <w:t>成果权利的未决诉讼，或甲方行使乙方对本项目</w:t>
      </w:r>
      <w:r>
        <w:rPr>
          <w:rFonts w:hint="eastAsia" w:ascii="宋体" w:hAnsi="宋体" w:eastAsia="宋体" w:cs="宋体"/>
          <w:kern w:val="2"/>
          <w:sz w:val="24"/>
          <w:szCs w:val="24"/>
        </w:rPr>
        <w:t>所提供的服务</w:t>
      </w:r>
      <w:r>
        <w:rPr>
          <w:rFonts w:hint="eastAsia" w:ascii="宋体" w:hAnsi="宋体" w:eastAsia="宋体" w:cs="宋体"/>
          <w:sz w:val="24"/>
          <w:szCs w:val="24"/>
          <w:u w:val="none" w:color="000000"/>
        </w:rPr>
        <w:t>成果权利会侵犯任何第三人的合法权利。</w:t>
      </w:r>
    </w:p>
    <w:p w14:paraId="11FF0317">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九、甲乙双方的违约责任</w:t>
      </w:r>
    </w:p>
    <w:p w14:paraId="3DFCAA54">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（一）甲乙双方在合同生效后，如果任意一方未经协商或不以合同为依据而单方面擅自解除合同，提出解除合同的一方需支付</w:t>
      </w:r>
      <w:r>
        <w:rPr>
          <w:rFonts w:hint="eastAsia" w:ascii="宋体" w:hAnsi="宋体" w:eastAsia="宋体" w:cs="宋体"/>
          <w:b/>
          <w:bCs/>
          <w:kern w:val="0"/>
          <w:sz w:val="24"/>
          <w:szCs w:val="24"/>
          <w:u w:val="single"/>
        </w:rPr>
        <w:t xml:space="preserve">合同总价款的20% </w:t>
      </w:r>
      <w:r>
        <w:rPr>
          <w:rFonts w:hint="eastAsia" w:ascii="宋体" w:hAnsi="宋体" w:eastAsia="宋体" w:cs="宋体"/>
          <w:kern w:val="0"/>
          <w:sz w:val="24"/>
          <w:szCs w:val="24"/>
        </w:rPr>
        <w:t>作为违约金：</w:t>
      </w:r>
    </w:p>
    <w:p w14:paraId="5F02BD1B">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若甲方违约，在此过程中乙方所产生的服务费用由甲方承担，并支付违约金给乙方；若乙方违约，则需向甲方退还所有服务费用，并支付违约金给甲方。</w:t>
      </w:r>
    </w:p>
    <w:p w14:paraId="5B78BF80">
      <w:pPr>
        <w:keepNext w:val="0"/>
        <w:keepLines w:val="0"/>
        <w:pageBreakBefore w:val="0"/>
        <w:kinsoku/>
        <w:wordWrap/>
        <w:overflowPunct/>
        <w:topLinePunct w:val="0"/>
        <w:autoSpaceDE/>
        <w:autoSpaceDN/>
        <w:bidi w:val="0"/>
        <w:adjustRightInd w:val="0"/>
        <w:snapToGrid w:val="0"/>
        <w:spacing w:line="5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（二）甲方在乙方技术服务工作完成后无正当理由单方面终止合同的，应当向乙方支付全额的服务费用。</w:t>
      </w:r>
    </w:p>
    <w:p w14:paraId="057D497A">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乙方未依照第二条第（三）款约定的时间出具</w:t>
      </w:r>
      <w:r>
        <w:rPr>
          <w:rFonts w:hint="eastAsia" w:ascii="宋体" w:hAnsi="宋体" w:eastAsia="宋体" w:cs="宋体"/>
          <w:sz w:val="24"/>
          <w:szCs w:val="24"/>
          <w:lang w:eastAsia="zh-CN"/>
        </w:rPr>
        <w:t>监测</w:t>
      </w:r>
      <w:r>
        <w:rPr>
          <w:rFonts w:hint="eastAsia" w:ascii="宋体" w:hAnsi="宋体" w:eastAsia="宋体" w:cs="宋体"/>
          <w:sz w:val="24"/>
          <w:szCs w:val="24"/>
        </w:rPr>
        <w:t>报告，应当承担违约责任：应当于48小时内出具</w:t>
      </w:r>
      <w:r>
        <w:rPr>
          <w:rFonts w:hint="eastAsia" w:ascii="宋体" w:hAnsi="宋体" w:eastAsia="宋体" w:cs="宋体"/>
          <w:sz w:val="24"/>
          <w:szCs w:val="24"/>
          <w:lang w:eastAsia="zh-CN"/>
        </w:rPr>
        <w:t>监测</w:t>
      </w:r>
      <w:r>
        <w:rPr>
          <w:rFonts w:hint="eastAsia" w:ascii="宋体" w:hAnsi="宋体" w:eastAsia="宋体" w:cs="宋体"/>
          <w:sz w:val="24"/>
          <w:szCs w:val="24"/>
        </w:rPr>
        <w:t>报告而未出具，逾期12小时以内的，甲方有权扣除本次检测费用的10%，逾期24小时以内的，甲方有权扣除本次检测费用的20%，逾期超过24小时的，甲方有权解除本合同；应当于5日内出具</w:t>
      </w:r>
      <w:r>
        <w:rPr>
          <w:rFonts w:hint="eastAsia" w:ascii="宋体" w:hAnsi="宋体" w:eastAsia="宋体" w:cs="宋体"/>
          <w:sz w:val="24"/>
          <w:szCs w:val="24"/>
          <w:lang w:eastAsia="zh-CN"/>
        </w:rPr>
        <w:t>监测</w:t>
      </w:r>
      <w:r>
        <w:rPr>
          <w:rFonts w:hint="eastAsia" w:ascii="宋体" w:hAnsi="宋体" w:eastAsia="宋体" w:cs="宋体"/>
          <w:sz w:val="24"/>
          <w:szCs w:val="24"/>
        </w:rPr>
        <w:t>报告的而未出具，逾期1日内的，甲方有权扣除本次检测费用的10%，逾期2日以内的，甲方有权扣除本次检测费用的20%，逾期超过2日的，甲方有权解除本合同。</w:t>
      </w:r>
    </w:p>
    <w:p w14:paraId="5992FD57">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甲方依据本条解除合同时，已出具</w:t>
      </w:r>
      <w:r>
        <w:rPr>
          <w:rFonts w:hint="eastAsia" w:ascii="宋体" w:hAnsi="宋体" w:eastAsia="宋体" w:cs="宋体"/>
          <w:sz w:val="24"/>
          <w:szCs w:val="24"/>
          <w:lang w:eastAsia="zh-CN"/>
        </w:rPr>
        <w:t>监测</w:t>
      </w:r>
      <w:r>
        <w:rPr>
          <w:rFonts w:hint="eastAsia" w:ascii="宋体" w:hAnsi="宋体" w:eastAsia="宋体" w:cs="宋体"/>
          <w:sz w:val="24"/>
          <w:szCs w:val="24"/>
        </w:rPr>
        <w:t>报告的检测费用据实结算。</w:t>
      </w:r>
    </w:p>
    <w:p w14:paraId="417B001D">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四</w:t>
      </w:r>
      <w:r>
        <w:rPr>
          <w:rFonts w:hint="eastAsia" w:ascii="宋体" w:hAnsi="宋体" w:eastAsia="宋体" w:cs="宋体"/>
          <w:sz w:val="24"/>
          <w:szCs w:val="24"/>
        </w:rPr>
        <w:t>）任何一方违反本合同的约定，应承担由此引起的一切经济损失及法律责任（包括但不限于守约方的经济损失、律师费、诉讼费等为实现债权产生的一切费用）。</w:t>
      </w:r>
    </w:p>
    <w:p w14:paraId="57470E59">
      <w:pPr>
        <w:pStyle w:val="33"/>
        <w:keepNext w:val="0"/>
        <w:keepLines w:val="0"/>
        <w:pageBreakBefore w:val="0"/>
        <w:widowControl/>
        <w:kinsoku/>
        <w:wordWrap/>
        <w:overflowPunct/>
        <w:topLinePunct w:val="0"/>
        <w:autoSpaceDE/>
        <w:autoSpaceDN/>
        <w:bidi w:val="0"/>
        <w:spacing w:line="560" w:lineRule="exact"/>
        <w:ind w:firstLine="602"/>
        <w:textAlignment w:val="auto"/>
        <w:rPr>
          <w:rFonts w:hint="eastAsia" w:ascii="宋体" w:hAnsi="宋体" w:eastAsia="宋体" w:cs="宋体"/>
          <w:b/>
          <w:bCs/>
          <w:sz w:val="24"/>
          <w:szCs w:val="24"/>
        </w:rPr>
      </w:pPr>
      <w:r>
        <w:rPr>
          <w:rFonts w:hint="eastAsia" w:ascii="宋体" w:hAnsi="宋体" w:eastAsia="宋体" w:cs="宋体"/>
          <w:b/>
          <w:bCs/>
          <w:sz w:val="24"/>
          <w:szCs w:val="24"/>
        </w:rPr>
        <w:t>十、合同变更与终止</w:t>
      </w:r>
    </w:p>
    <w:p w14:paraId="53401EDC">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（一）合同期间任何一方不得随意变更、终止合同。</w:t>
      </w:r>
    </w:p>
    <w:p w14:paraId="2BB2E47B">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（二）本合同规定的履行期限届满，合同自动终止。</w:t>
      </w:r>
    </w:p>
    <w:p w14:paraId="359FE946">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（三）因双方机构撤并、职能调整等原因，确需终止合同的，双方可协商终止合同。</w:t>
      </w:r>
    </w:p>
    <w:p w14:paraId="38959BE3">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（四）乙方应自觉遵守甲方工作纪律、规章制度，服从甲方管理。因乙方原因给甲方造成严重后果，甲方可以单方面解除合同。</w:t>
      </w:r>
    </w:p>
    <w:p w14:paraId="271E1395">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五）合同继续履行将损害国家利益和社会公共利益的，双方应当变更或者终止合同，但变更的内容不得对磋商文件确定的事项和中标投标文件作实质性修改，有过错的一方应当承担赔偿责任，双方都有过错的，各自承担相应的责任。</w:t>
      </w:r>
    </w:p>
    <w:p w14:paraId="0A157603">
      <w:pPr>
        <w:pStyle w:val="10"/>
        <w:keepNext w:val="0"/>
        <w:keepLines w:val="0"/>
        <w:pageBreakBefore w:val="0"/>
        <w:kinsoku/>
        <w:wordWrap/>
        <w:overflowPunct/>
        <w:topLinePunct w:val="0"/>
        <w:autoSpaceDE/>
        <w:autoSpaceDN/>
        <w:bidi w:val="0"/>
        <w:spacing w:after="0" w:line="560" w:lineRule="exact"/>
        <w:ind w:left="0" w:leftChars="0"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十一、保密约定</w:t>
      </w:r>
    </w:p>
    <w:p w14:paraId="20C854D5">
      <w:pPr>
        <w:pStyle w:val="16"/>
        <w:keepNext w:val="0"/>
        <w:keepLines w:val="0"/>
        <w:pageBreakBefore w:val="0"/>
        <w:kinsoku/>
        <w:wordWrap/>
        <w:overflowPunct/>
        <w:topLinePunct w:val="0"/>
        <w:autoSpaceDE/>
        <w:autoSpaceDN/>
        <w:bidi w:val="0"/>
        <w:spacing w:after="0" w:line="560" w:lineRule="exact"/>
        <w:ind w:firstLine="480" w:firstLineChars="2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甲</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rPr>
        <w:t>乙双方对本合同的内容，以及在本合同履行过程中获得的对方的信息，均负有保密义务。除甲</w:t>
      </w:r>
      <w:r>
        <w:rPr>
          <w:rFonts w:hint="eastAsia" w:ascii="宋体" w:hAnsi="宋体" w:eastAsia="宋体" w:cs="宋体"/>
          <w:b w:val="0"/>
          <w:bCs w:val="0"/>
          <w:kern w:val="0"/>
          <w:sz w:val="24"/>
          <w:szCs w:val="24"/>
          <w:lang w:eastAsia="zh-CN"/>
        </w:rPr>
        <w:t>、</w:t>
      </w:r>
      <w:r>
        <w:rPr>
          <w:rFonts w:hint="eastAsia" w:ascii="宋体" w:hAnsi="宋体" w:eastAsia="宋体" w:cs="宋体"/>
          <w:b w:val="0"/>
          <w:bCs w:val="0"/>
          <w:kern w:val="0"/>
          <w:sz w:val="24"/>
          <w:szCs w:val="24"/>
        </w:rPr>
        <w:t>乙双方另有约定外，保密义务是指在未经对方书面同意前，一方不得将保密信息用于任何与履行本合同无关的情况；或以任何形式向第三方泄漏。双方均有义务尽其一切努力防止任何第三方窃取秘密信息。由于任何一方违反以上保密义务给对方造成损失，违约方对受损失方负有停止侵害、消除影响、赔偿损失的责任。</w:t>
      </w:r>
    </w:p>
    <w:p w14:paraId="1D99726C">
      <w:pPr>
        <w:pStyle w:val="16"/>
        <w:keepNext w:val="0"/>
        <w:keepLines w:val="0"/>
        <w:pageBreakBefore w:val="0"/>
        <w:tabs>
          <w:tab w:val="left" w:pos="272"/>
        </w:tabs>
        <w:kinsoku/>
        <w:wordWrap/>
        <w:overflowPunct/>
        <w:topLinePunct w:val="0"/>
        <w:autoSpaceDE/>
        <w:autoSpaceDN/>
        <w:bidi w:val="0"/>
        <w:spacing w:after="0" w:line="560" w:lineRule="exact"/>
        <w:ind w:firstLine="480" w:firstLineChars="2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十二、</w:t>
      </w:r>
      <w:r>
        <w:rPr>
          <w:rFonts w:hint="eastAsia" w:ascii="宋体" w:hAnsi="宋体" w:eastAsia="宋体" w:cs="宋体"/>
          <w:b w:val="0"/>
          <w:bCs w:val="0"/>
          <w:kern w:val="0"/>
          <w:sz w:val="24"/>
          <w:szCs w:val="24"/>
        </w:rPr>
        <w:fldChar w:fldCharType="begin"/>
      </w:r>
      <w:r>
        <w:rPr>
          <w:rFonts w:hint="eastAsia" w:ascii="宋体" w:hAnsi="宋体" w:eastAsia="宋体" w:cs="宋体"/>
          <w:b w:val="0"/>
          <w:bCs w:val="0"/>
          <w:kern w:val="0"/>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val="0"/>
          <w:bCs w:val="0"/>
          <w:kern w:val="0"/>
          <w:sz w:val="24"/>
          <w:szCs w:val="24"/>
        </w:rPr>
        <w:fldChar w:fldCharType="separate"/>
      </w:r>
      <w:r>
        <w:rPr>
          <w:rFonts w:hint="eastAsia" w:ascii="宋体" w:hAnsi="宋体" w:eastAsia="宋体" w:cs="宋体"/>
          <w:b w:val="0"/>
          <w:bCs w:val="0"/>
          <w:kern w:val="0"/>
          <w:sz w:val="24"/>
          <w:szCs w:val="24"/>
        </w:rPr>
        <w:t>不可抗力</w:t>
      </w:r>
      <w:r>
        <w:rPr>
          <w:rFonts w:hint="eastAsia" w:ascii="宋体" w:hAnsi="宋体" w:eastAsia="宋体" w:cs="宋体"/>
          <w:b w:val="0"/>
          <w:bCs w:val="0"/>
          <w:kern w:val="0"/>
          <w:sz w:val="24"/>
          <w:szCs w:val="24"/>
        </w:rPr>
        <w:fldChar w:fldCharType="end"/>
      </w:r>
    </w:p>
    <w:p w14:paraId="41052DDA">
      <w:pPr>
        <w:pStyle w:val="16"/>
        <w:keepNext w:val="0"/>
        <w:keepLines w:val="0"/>
        <w:pageBreakBefore w:val="0"/>
        <w:kinsoku/>
        <w:wordWrap/>
        <w:overflowPunct/>
        <w:topLinePunct w:val="0"/>
        <w:autoSpaceDE/>
        <w:autoSpaceDN/>
        <w:bidi w:val="0"/>
        <w:spacing w:after="0" w:line="560" w:lineRule="exact"/>
        <w:ind w:firstLine="480" w:firstLineChars="200"/>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甲乙双方任何一方由于</w:t>
      </w:r>
      <w:r>
        <w:rPr>
          <w:rFonts w:hint="eastAsia" w:ascii="宋体" w:hAnsi="宋体" w:eastAsia="宋体" w:cs="宋体"/>
          <w:b w:val="0"/>
          <w:bCs w:val="0"/>
          <w:kern w:val="0"/>
          <w:sz w:val="24"/>
          <w:szCs w:val="24"/>
        </w:rPr>
        <w:fldChar w:fldCharType="begin"/>
      </w:r>
      <w:r>
        <w:rPr>
          <w:rFonts w:hint="eastAsia" w:ascii="宋体" w:hAnsi="宋体" w:eastAsia="宋体" w:cs="宋体"/>
          <w:b w:val="0"/>
          <w:bCs w:val="0"/>
          <w:kern w:val="0"/>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val="0"/>
          <w:bCs w:val="0"/>
          <w:kern w:val="0"/>
          <w:sz w:val="24"/>
          <w:szCs w:val="24"/>
        </w:rPr>
        <w:fldChar w:fldCharType="separate"/>
      </w:r>
      <w:r>
        <w:rPr>
          <w:rFonts w:hint="eastAsia" w:ascii="宋体" w:hAnsi="宋体" w:eastAsia="宋体" w:cs="宋体"/>
          <w:b w:val="0"/>
          <w:bCs w:val="0"/>
          <w:kern w:val="0"/>
          <w:sz w:val="24"/>
          <w:szCs w:val="24"/>
        </w:rPr>
        <w:t>不可抗力</w:t>
      </w:r>
      <w:r>
        <w:rPr>
          <w:rFonts w:hint="eastAsia" w:ascii="宋体" w:hAnsi="宋体" w:eastAsia="宋体" w:cs="宋体"/>
          <w:b w:val="0"/>
          <w:bCs w:val="0"/>
          <w:kern w:val="0"/>
          <w:sz w:val="24"/>
          <w:szCs w:val="24"/>
        </w:rPr>
        <w:fldChar w:fldCharType="end"/>
      </w:r>
      <w:r>
        <w:rPr>
          <w:rFonts w:hint="eastAsia" w:ascii="宋体" w:hAnsi="宋体" w:eastAsia="宋体" w:cs="宋体"/>
          <w:b w:val="0"/>
          <w:bCs w:val="0"/>
          <w:kern w:val="0"/>
          <w:sz w:val="24"/>
          <w:szCs w:val="24"/>
        </w:rPr>
        <w:t>原因不能履行合同时，应及时向对</w:t>
      </w:r>
      <w:r>
        <w:rPr>
          <w:rFonts w:hint="eastAsia" w:ascii="宋体" w:hAnsi="宋体" w:eastAsia="宋体" w:cs="宋体"/>
          <w:b w:val="0"/>
          <w:bCs w:val="0"/>
          <w:kern w:val="0"/>
          <w:sz w:val="24"/>
          <w:szCs w:val="24"/>
        </w:rPr>
        <w:fldChar w:fldCharType="begin"/>
      </w:r>
      <w:r>
        <w:rPr>
          <w:rFonts w:hint="eastAsia" w:ascii="宋体" w:hAnsi="宋体" w:eastAsia="宋体" w:cs="宋体"/>
          <w:b w:val="0"/>
          <w:bCs w:val="0"/>
          <w:kern w:val="0"/>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b w:val="0"/>
          <w:bCs w:val="0"/>
          <w:kern w:val="0"/>
          <w:sz w:val="24"/>
          <w:szCs w:val="24"/>
        </w:rPr>
        <w:fldChar w:fldCharType="separate"/>
      </w:r>
      <w:r>
        <w:rPr>
          <w:rFonts w:hint="eastAsia" w:ascii="宋体" w:hAnsi="宋体" w:eastAsia="宋体" w:cs="宋体"/>
          <w:b w:val="0"/>
          <w:bCs w:val="0"/>
          <w:kern w:val="0"/>
          <w:sz w:val="24"/>
          <w:szCs w:val="24"/>
        </w:rPr>
        <w:t>方通</w:t>
      </w:r>
      <w:r>
        <w:rPr>
          <w:rFonts w:hint="eastAsia" w:ascii="宋体" w:hAnsi="宋体" w:eastAsia="宋体" w:cs="宋体"/>
          <w:b w:val="0"/>
          <w:bCs w:val="0"/>
          <w:kern w:val="0"/>
          <w:sz w:val="24"/>
          <w:szCs w:val="24"/>
        </w:rPr>
        <w:fldChar w:fldCharType="end"/>
      </w:r>
      <w:r>
        <w:rPr>
          <w:rFonts w:hint="eastAsia" w:ascii="宋体" w:hAnsi="宋体" w:eastAsia="宋体" w:cs="宋体"/>
          <w:b w:val="0"/>
          <w:bCs w:val="0"/>
          <w:kern w:val="0"/>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kern w:val="0"/>
          <w:sz w:val="24"/>
          <w:szCs w:val="24"/>
        </w:rPr>
        <w:t>违约责任</w:t>
      </w:r>
      <w:r>
        <w:rPr>
          <w:rFonts w:hint="eastAsia" w:ascii="宋体" w:hAnsi="宋体" w:eastAsia="宋体" w:cs="宋体"/>
          <w:b w:val="0"/>
          <w:bCs w:val="0"/>
          <w:kern w:val="0"/>
          <w:sz w:val="24"/>
          <w:szCs w:val="24"/>
        </w:rPr>
        <w:fldChar w:fldCharType="end"/>
      </w:r>
      <w:r>
        <w:rPr>
          <w:rFonts w:hint="eastAsia" w:ascii="宋体" w:hAnsi="宋体" w:eastAsia="宋体" w:cs="宋体"/>
          <w:b w:val="0"/>
          <w:bCs w:val="0"/>
          <w:kern w:val="0"/>
          <w:sz w:val="24"/>
          <w:szCs w:val="24"/>
        </w:rPr>
        <w:t>。</w:t>
      </w:r>
    </w:p>
    <w:p w14:paraId="17D3ABE5">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十三、争议解决</w:t>
      </w:r>
    </w:p>
    <w:p w14:paraId="41549794">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双方本着友好合作的态度,对合同履行过程中发生的</w:t>
      </w:r>
      <w:r>
        <w:rPr>
          <w:rFonts w:hint="eastAsia" w:ascii="宋体" w:hAnsi="宋体" w:eastAsia="宋体" w:cs="宋体"/>
          <w:b w:val="0"/>
          <w:bCs w:val="0"/>
          <w:sz w:val="24"/>
          <w:szCs w:val="24"/>
        </w:rPr>
        <w:fldChar w:fldCharType="begin"/>
      </w:r>
      <w:r>
        <w:rPr>
          <w:rFonts w:hint="eastAsia" w:ascii="宋体" w:hAnsi="宋体" w:eastAsia="宋体" w:cs="宋体"/>
          <w:b w:val="0"/>
          <w:bCs w:val="0"/>
          <w:sz w:val="24"/>
          <w:szCs w:val="24"/>
        </w:rPr>
        <w:instrText xml:space="preserve"> HYPERLINK "http://set2.mail.qq.com/cgi-bin/mail_spam?action=check_link&amp;spam=0&amp;url=http%3A%2F%2Fbaike%2Ebaidu%2Ecom%2Fview%2F322875%2Ehtm" </w:instrText>
      </w:r>
      <w:r>
        <w:rPr>
          <w:rFonts w:hint="eastAsia" w:ascii="宋体" w:hAnsi="宋体" w:eastAsia="宋体" w:cs="宋体"/>
          <w:b w:val="0"/>
          <w:bCs w:val="0"/>
          <w:sz w:val="24"/>
          <w:szCs w:val="24"/>
        </w:rPr>
        <w:fldChar w:fldCharType="separate"/>
      </w:r>
      <w:r>
        <w:rPr>
          <w:rFonts w:hint="eastAsia" w:ascii="宋体" w:hAnsi="宋体" w:eastAsia="宋体" w:cs="宋体"/>
          <w:b w:val="0"/>
          <w:bCs w:val="0"/>
          <w:kern w:val="0"/>
          <w:sz w:val="24"/>
          <w:szCs w:val="24"/>
        </w:rPr>
        <w:t>纠纷</w:t>
      </w:r>
      <w:r>
        <w:rPr>
          <w:rFonts w:hint="eastAsia" w:ascii="宋体" w:hAnsi="宋体" w:eastAsia="宋体" w:cs="宋体"/>
          <w:b w:val="0"/>
          <w:bCs w:val="0"/>
          <w:kern w:val="0"/>
          <w:sz w:val="24"/>
          <w:szCs w:val="24"/>
        </w:rPr>
        <w:fldChar w:fldCharType="end"/>
      </w:r>
      <w:r>
        <w:rPr>
          <w:rFonts w:hint="eastAsia" w:ascii="宋体" w:hAnsi="宋体" w:eastAsia="宋体" w:cs="宋体"/>
          <w:b w:val="0"/>
          <w:bCs w:val="0"/>
          <w:kern w:val="0"/>
          <w:sz w:val="24"/>
          <w:szCs w:val="24"/>
        </w:rPr>
        <w:t>应及时协商解决,协商不成，向甲方所在地人民法院诉讼解决。</w:t>
      </w:r>
    </w:p>
    <w:p w14:paraId="45030CB7">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十四、监督和管理</w:t>
      </w:r>
    </w:p>
    <w:p w14:paraId="7ACF60E3">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FC5C304">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（二）甲乙双方均应自觉配合有关监督管理部门对合同履行情况的监督检查，如实反映情况，提供有关资料；否则，将对有关单位、当事人按照有关规定予以处罚。</w:t>
      </w:r>
    </w:p>
    <w:p w14:paraId="79FCC0E5">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十五、</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无效合同</w:t>
      </w:r>
      <w:r>
        <w:rPr>
          <w:rFonts w:hint="eastAsia" w:ascii="宋体" w:hAnsi="宋体" w:eastAsia="宋体" w:cs="宋体"/>
          <w:kern w:val="0"/>
          <w:sz w:val="24"/>
          <w:szCs w:val="24"/>
        </w:rPr>
        <w:fldChar w:fldCharType="end"/>
      </w:r>
    </w:p>
    <w:p w14:paraId="7DC97FEA">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甲乙双方如因违反政府采购法及相关法律法规的规定，被宣告</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4"/>
          <w:szCs w:val="24"/>
        </w:rPr>
        <w:fldChar w:fldCharType="separate"/>
      </w:r>
      <w:r>
        <w:rPr>
          <w:rFonts w:hint="eastAsia" w:ascii="宋体" w:hAnsi="宋体" w:eastAsia="宋体" w:cs="宋体"/>
          <w:kern w:val="0"/>
          <w:sz w:val="24"/>
          <w:szCs w:val="24"/>
        </w:rPr>
        <w:t>合同无效</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的，一切责任概由过错方自行承担。</w:t>
      </w:r>
    </w:p>
    <w:p w14:paraId="677C63FB">
      <w:pPr>
        <w:keepNext w:val="0"/>
        <w:keepLines w:val="0"/>
        <w:pageBreakBefore w:val="0"/>
        <w:widowControl/>
        <w:kinsoku/>
        <w:wordWrap/>
        <w:overflowPunct/>
        <w:topLinePunct w:val="0"/>
        <w:autoSpaceDE/>
        <w:autoSpaceDN/>
        <w:bidi w:val="0"/>
        <w:spacing w:line="56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十六、附则</w:t>
      </w:r>
    </w:p>
    <w:p w14:paraId="11C39412">
      <w:pPr>
        <w:pStyle w:val="14"/>
        <w:keepNext w:val="0"/>
        <w:keepLines w:val="0"/>
        <w:pageBreakBefore w:val="0"/>
        <w:kinsoku/>
        <w:wordWrap/>
        <w:overflowPunct/>
        <w:topLinePunct w:val="0"/>
        <w:autoSpaceDE/>
        <w:autoSpaceDN/>
        <w:bidi w:val="0"/>
        <w:spacing w:line="56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w:t>
      </w:r>
      <w:r>
        <w:rPr>
          <w:rFonts w:hint="eastAsia" w:ascii="宋体" w:hAnsi="宋体" w:eastAsia="宋体" w:cs="宋体"/>
          <w:sz w:val="24"/>
          <w:szCs w:val="24"/>
          <w:highlight w:val="none"/>
          <w:u w:val="single"/>
        </w:rPr>
        <w:t xml:space="preserve">西安高新区2024年餐饮油烟监测项目 </w:t>
      </w:r>
      <w:r>
        <w:rPr>
          <w:rFonts w:hint="eastAsia" w:ascii="宋体" w:hAnsi="宋体" w:eastAsia="宋体" w:cs="宋体"/>
          <w:kern w:val="0"/>
          <w:sz w:val="24"/>
          <w:szCs w:val="24"/>
          <w:highlight w:val="none"/>
        </w:rPr>
        <w:t>项目（项目编号：</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rPr>
        <w:fldChar w:fldCharType="begin"/>
      </w:r>
      <w:r>
        <w:rPr>
          <w:rFonts w:hint="eastAsia" w:ascii="宋体" w:hAnsi="宋体" w:eastAsia="宋体" w:cs="宋体"/>
          <w:kern w:val="0"/>
          <w:sz w:val="24"/>
          <w:szCs w:val="24"/>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kern w:val="0"/>
          <w:sz w:val="24"/>
          <w:szCs w:val="24"/>
          <w:highlight w:val="none"/>
        </w:rPr>
        <w:fldChar w:fldCharType="separate"/>
      </w:r>
      <w:r>
        <w:rPr>
          <w:rFonts w:hint="eastAsia" w:ascii="宋体" w:hAnsi="宋体" w:eastAsia="宋体" w:cs="宋体"/>
          <w:kern w:val="0"/>
          <w:sz w:val="24"/>
          <w:szCs w:val="24"/>
          <w:highlight w:val="none"/>
        </w:rPr>
        <w:t>竞争性磋商文件</w:t>
      </w:r>
      <w:r>
        <w:rPr>
          <w:rFonts w:hint="eastAsia" w:ascii="宋体" w:hAnsi="宋体" w:eastAsia="宋体" w:cs="宋体"/>
          <w:kern w:val="0"/>
          <w:sz w:val="24"/>
          <w:szCs w:val="24"/>
          <w:highlight w:val="none"/>
        </w:rPr>
        <w:fldChar w:fldCharType="end"/>
      </w:r>
      <w:r>
        <w:rPr>
          <w:rFonts w:hint="eastAsia" w:ascii="宋体" w:hAnsi="宋体" w:eastAsia="宋体" w:cs="宋体"/>
          <w:kern w:val="0"/>
          <w:sz w:val="24"/>
          <w:szCs w:val="24"/>
          <w:highlight w:val="none"/>
        </w:rPr>
        <w:t>、成交通知书、乙方竞争性磋商响应文件及澄清说明文件都是本合同的组成部分，甲、乙双方必须全面遵守，如有违反，应承担违约责任。</w:t>
      </w:r>
    </w:p>
    <w:p w14:paraId="324F5960">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rPr>
        <w:t>（二）本合同未尽事宜，双方共同协商达成补充协议，补充协议和附件与本合同具有同等法律效力。</w:t>
      </w:r>
    </w:p>
    <w:p w14:paraId="1CEA238F">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kern w:val="2"/>
          <w:sz w:val="24"/>
          <w:szCs w:val="24"/>
        </w:rPr>
      </w:pPr>
      <w:r>
        <w:rPr>
          <w:rFonts w:hint="eastAsia" w:ascii="宋体" w:hAnsi="宋体" w:eastAsia="宋体" w:cs="宋体"/>
          <w:sz w:val="24"/>
          <w:szCs w:val="24"/>
        </w:rPr>
        <w:t>（三）本合同一式六份,甲方四份，乙方一份</w:t>
      </w:r>
      <w:r>
        <w:rPr>
          <w:rFonts w:hint="eastAsia" w:ascii="宋体" w:hAnsi="宋体" w:eastAsia="宋体" w:cs="宋体"/>
          <w:kern w:val="2"/>
          <w:sz w:val="24"/>
          <w:szCs w:val="24"/>
        </w:rPr>
        <w:t>,政府采购监督管理机构一份。</w:t>
      </w:r>
    </w:p>
    <w:p w14:paraId="6285126D">
      <w:pPr>
        <w:pStyle w:val="33"/>
        <w:keepNext w:val="0"/>
        <w:keepLines w:val="0"/>
        <w:pageBreakBefore w:val="0"/>
        <w:widowControl/>
        <w:kinsoku/>
        <w:wordWrap/>
        <w:overflowPunct/>
        <w:topLinePunct w:val="0"/>
        <w:autoSpaceDE/>
        <w:autoSpaceDN/>
        <w:bidi w:val="0"/>
        <w:spacing w:line="560" w:lineRule="exact"/>
        <w:ind w:firstLine="600"/>
        <w:textAlignment w:val="auto"/>
        <w:rPr>
          <w:rFonts w:hint="eastAsia" w:ascii="宋体" w:hAnsi="宋体" w:eastAsia="宋体" w:cs="宋体"/>
          <w:sz w:val="24"/>
          <w:szCs w:val="24"/>
        </w:rPr>
      </w:pPr>
      <w:r>
        <w:rPr>
          <w:rFonts w:hint="eastAsia" w:ascii="宋体" w:hAnsi="宋体" w:eastAsia="宋体" w:cs="宋体"/>
          <w:sz w:val="24"/>
          <w:szCs w:val="24"/>
        </w:rPr>
        <w:t>（四）本合同自签订之日起生效。</w:t>
      </w:r>
    </w:p>
    <w:p w14:paraId="00007108">
      <w:pPr>
        <w:pStyle w:val="33"/>
        <w:keepNext w:val="0"/>
        <w:keepLines w:val="0"/>
        <w:pageBreakBefore w:val="0"/>
        <w:widowControl/>
        <w:kinsoku/>
        <w:wordWrap/>
        <w:overflowPunct/>
        <w:topLinePunct w:val="0"/>
        <w:autoSpaceDE/>
        <w:autoSpaceDN/>
        <w:bidi w:val="0"/>
        <w:spacing w:line="560" w:lineRule="exact"/>
        <w:ind w:firstLine="640"/>
        <w:textAlignment w:val="auto"/>
        <w:rPr>
          <w:rFonts w:ascii="仿宋" w:hAnsi="仿宋" w:cs="仿宋"/>
          <w:kern w:val="2"/>
          <w:sz w:val="24"/>
          <w:szCs w:val="24"/>
        </w:rPr>
      </w:pPr>
    </w:p>
    <w:tbl>
      <w:tblPr>
        <w:tblStyle w:val="18"/>
        <w:tblW w:w="9321" w:type="dxa"/>
        <w:tblInd w:w="0" w:type="dxa"/>
        <w:tblLayout w:type="autofit"/>
        <w:tblCellMar>
          <w:top w:w="0" w:type="dxa"/>
          <w:left w:w="108" w:type="dxa"/>
          <w:bottom w:w="0" w:type="dxa"/>
          <w:right w:w="108" w:type="dxa"/>
        </w:tblCellMar>
      </w:tblPr>
      <w:tblGrid>
        <w:gridCol w:w="4708"/>
        <w:gridCol w:w="4613"/>
      </w:tblGrid>
      <w:tr w14:paraId="01752D9C">
        <w:tblPrEx>
          <w:tblCellMar>
            <w:top w:w="0" w:type="dxa"/>
            <w:left w:w="108" w:type="dxa"/>
            <w:bottom w:w="0" w:type="dxa"/>
            <w:right w:w="108" w:type="dxa"/>
          </w:tblCellMar>
        </w:tblPrEx>
        <w:trPr>
          <w:trHeight w:val="7055" w:hRule="atLeast"/>
        </w:trPr>
        <w:tc>
          <w:tcPr>
            <w:tcW w:w="4708" w:type="dxa"/>
            <w:noWrap w:val="0"/>
            <w:vAlign w:val="top"/>
          </w:tcPr>
          <w:p w14:paraId="23A8CD5F">
            <w:pPr>
              <w:spacing w:line="560" w:lineRule="exact"/>
              <w:rPr>
                <w:rFonts w:hint="eastAsia" w:ascii="宋体" w:hAnsi="宋体" w:eastAsia="宋体" w:cs="宋体"/>
                <w:sz w:val="24"/>
                <w:szCs w:val="24"/>
              </w:rPr>
            </w:pPr>
            <w:r>
              <w:rPr>
                <w:rFonts w:hint="eastAsia" w:ascii="宋体" w:hAnsi="宋体" w:eastAsia="宋体" w:cs="宋体"/>
                <w:sz w:val="24"/>
                <w:szCs w:val="24"/>
              </w:rPr>
              <w:t>甲方（盖章）：</w:t>
            </w:r>
          </w:p>
          <w:p w14:paraId="5A4486FD">
            <w:pPr>
              <w:spacing w:line="560" w:lineRule="exact"/>
              <w:rPr>
                <w:rFonts w:hint="eastAsia" w:ascii="宋体" w:hAnsi="宋体" w:eastAsia="宋体" w:cs="宋体"/>
                <w:sz w:val="24"/>
                <w:szCs w:val="24"/>
              </w:rPr>
            </w:pPr>
            <w:r>
              <w:rPr>
                <w:rFonts w:hint="eastAsia" w:ascii="宋体" w:hAnsi="宋体" w:eastAsia="宋体" w:cs="宋体"/>
                <w:sz w:val="24"/>
                <w:szCs w:val="24"/>
              </w:rPr>
              <w:t>地址：</w:t>
            </w:r>
          </w:p>
          <w:p w14:paraId="4AEA7E94">
            <w:pPr>
              <w:spacing w:line="560" w:lineRule="exact"/>
              <w:rPr>
                <w:rFonts w:hint="eastAsia" w:ascii="宋体" w:hAnsi="宋体" w:eastAsia="宋体" w:cs="宋体"/>
                <w:sz w:val="24"/>
                <w:szCs w:val="24"/>
              </w:rPr>
            </w:pPr>
            <w:r>
              <w:rPr>
                <w:rFonts w:hint="eastAsia" w:ascii="宋体" w:hAnsi="宋体" w:eastAsia="宋体" w:cs="宋体"/>
                <w:sz w:val="24"/>
                <w:szCs w:val="24"/>
              </w:rPr>
              <w:t>邮编：</w:t>
            </w:r>
          </w:p>
          <w:p w14:paraId="6FDDC2BA">
            <w:pPr>
              <w:spacing w:line="560" w:lineRule="exact"/>
              <w:rPr>
                <w:rFonts w:hint="eastAsia" w:ascii="宋体" w:hAnsi="宋体" w:eastAsia="宋体" w:cs="宋体"/>
                <w:sz w:val="24"/>
                <w:szCs w:val="24"/>
              </w:rPr>
            </w:pPr>
            <w:r>
              <w:rPr>
                <w:rFonts w:hint="eastAsia" w:ascii="宋体" w:hAnsi="宋体" w:eastAsia="宋体" w:cs="宋体"/>
                <w:sz w:val="24"/>
                <w:szCs w:val="24"/>
              </w:rPr>
              <w:t>法定代表人：</w:t>
            </w:r>
          </w:p>
          <w:p w14:paraId="35CA432D">
            <w:pPr>
              <w:spacing w:line="560" w:lineRule="exact"/>
              <w:rPr>
                <w:rFonts w:hint="eastAsia" w:ascii="宋体" w:hAnsi="宋体" w:eastAsia="宋体" w:cs="宋体"/>
                <w:sz w:val="24"/>
                <w:szCs w:val="24"/>
              </w:rPr>
            </w:pPr>
            <w:r>
              <w:rPr>
                <w:rFonts w:hint="eastAsia" w:ascii="宋体" w:hAnsi="宋体" w:eastAsia="宋体" w:cs="宋体"/>
                <w:sz w:val="24"/>
                <w:szCs w:val="24"/>
              </w:rPr>
              <w:t>被授权代表：</w:t>
            </w:r>
          </w:p>
          <w:p w14:paraId="62B36EF7">
            <w:pPr>
              <w:spacing w:line="560" w:lineRule="exact"/>
              <w:rPr>
                <w:rFonts w:hint="eastAsia" w:ascii="宋体" w:hAnsi="宋体" w:eastAsia="宋体" w:cs="宋体"/>
                <w:sz w:val="24"/>
                <w:szCs w:val="24"/>
              </w:rPr>
            </w:pPr>
            <w:r>
              <w:rPr>
                <w:rFonts w:hint="eastAsia" w:ascii="宋体" w:hAnsi="宋体" w:eastAsia="宋体" w:cs="宋体"/>
                <w:sz w:val="24"/>
                <w:szCs w:val="24"/>
              </w:rPr>
              <w:t>电话：</w:t>
            </w:r>
          </w:p>
          <w:p w14:paraId="3389E762">
            <w:pPr>
              <w:spacing w:line="560" w:lineRule="exact"/>
              <w:rPr>
                <w:rFonts w:hint="eastAsia" w:ascii="宋体" w:hAnsi="宋体" w:eastAsia="宋体" w:cs="宋体"/>
                <w:sz w:val="24"/>
                <w:szCs w:val="24"/>
              </w:rPr>
            </w:pPr>
            <w:r>
              <w:rPr>
                <w:rFonts w:hint="eastAsia" w:ascii="宋体" w:hAnsi="宋体" w:eastAsia="宋体" w:cs="宋体"/>
                <w:sz w:val="24"/>
                <w:szCs w:val="24"/>
              </w:rPr>
              <w:t>传真：</w:t>
            </w:r>
          </w:p>
          <w:p w14:paraId="3FA299E1">
            <w:pPr>
              <w:spacing w:line="560" w:lineRule="exact"/>
              <w:rPr>
                <w:rFonts w:hint="eastAsia" w:ascii="宋体" w:hAnsi="宋体" w:eastAsia="宋体" w:cs="宋体"/>
                <w:sz w:val="24"/>
                <w:szCs w:val="24"/>
              </w:rPr>
            </w:pPr>
            <w:r>
              <w:rPr>
                <w:rFonts w:hint="eastAsia" w:ascii="宋体" w:hAnsi="宋体" w:eastAsia="宋体" w:cs="宋体"/>
                <w:sz w:val="24"/>
                <w:szCs w:val="24"/>
              </w:rPr>
              <w:t>开户银行:</w:t>
            </w:r>
          </w:p>
          <w:p w14:paraId="4C491BE4">
            <w:pPr>
              <w:spacing w:line="560" w:lineRule="exact"/>
              <w:rPr>
                <w:rFonts w:hint="eastAsia" w:ascii="宋体" w:hAnsi="宋体" w:eastAsia="宋体" w:cs="宋体"/>
                <w:sz w:val="24"/>
                <w:szCs w:val="24"/>
              </w:rPr>
            </w:pPr>
          </w:p>
          <w:p w14:paraId="68366885">
            <w:pPr>
              <w:spacing w:line="560" w:lineRule="exact"/>
              <w:rPr>
                <w:rFonts w:hint="eastAsia" w:ascii="宋体" w:hAnsi="宋体" w:eastAsia="宋体" w:cs="宋体"/>
                <w:sz w:val="24"/>
                <w:szCs w:val="24"/>
              </w:rPr>
            </w:pPr>
            <w:r>
              <w:rPr>
                <w:rFonts w:hint="eastAsia" w:ascii="宋体" w:hAnsi="宋体" w:eastAsia="宋体" w:cs="宋体"/>
                <w:sz w:val="24"/>
                <w:szCs w:val="24"/>
              </w:rPr>
              <w:t>日期：</w:t>
            </w:r>
          </w:p>
        </w:tc>
        <w:tc>
          <w:tcPr>
            <w:tcW w:w="4613" w:type="dxa"/>
            <w:noWrap w:val="0"/>
            <w:vAlign w:val="top"/>
          </w:tcPr>
          <w:p w14:paraId="4181F14B">
            <w:pPr>
              <w:spacing w:line="560" w:lineRule="exact"/>
              <w:rPr>
                <w:rFonts w:hint="eastAsia" w:ascii="宋体" w:hAnsi="宋体" w:eastAsia="宋体" w:cs="宋体"/>
                <w:sz w:val="24"/>
                <w:szCs w:val="24"/>
              </w:rPr>
            </w:pPr>
            <w:r>
              <w:rPr>
                <w:rFonts w:hint="eastAsia" w:ascii="宋体" w:hAnsi="宋体" w:eastAsia="宋体" w:cs="宋体"/>
                <w:sz w:val="24"/>
                <w:szCs w:val="24"/>
              </w:rPr>
              <w:t>乙方（盖章）：</w:t>
            </w:r>
          </w:p>
          <w:p w14:paraId="0F4849BA">
            <w:pPr>
              <w:spacing w:line="560" w:lineRule="exact"/>
              <w:rPr>
                <w:rFonts w:hint="eastAsia" w:ascii="宋体" w:hAnsi="宋体" w:eastAsia="宋体" w:cs="宋体"/>
                <w:sz w:val="24"/>
                <w:szCs w:val="24"/>
              </w:rPr>
            </w:pPr>
            <w:r>
              <w:rPr>
                <w:rFonts w:hint="eastAsia" w:ascii="宋体" w:hAnsi="宋体" w:eastAsia="宋体" w:cs="宋体"/>
                <w:sz w:val="24"/>
                <w:szCs w:val="24"/>
              </w:rPr>
              <w:t>地址：</w:t>
            </w:r>
          </w:p>
          <w:p w14:paraId="7E30578A">
            <w:pPr>
              <w:spacing w:line="560" w:lineRule="exact"/>
              <w:rPr>
                <w:rFonts w:hint="eastAsia" w:ascii="宋体" w:hAnsi="宋体" w:eastAsia="宋体" w:cs="宋体"/>
                <w:sz w:val="24"/>
                <w:szCs w:val="24"/>
              </w:rPr>
            </w:pPr>
            <w:r>
              <w:rPr>
                <w:rFonts w:hint="eastAsia" w:ascii="宋体" w:hAnsi="宋体" w:eastAsia="宋体" w:cs="宋体"/>
                <w:sz w:val="24"/>
                <w:szCs w:val="24"/>
              </w:rPr>
              <w:t>邮编：</w:t>
            </w:r>
          </w:p>
          <w:p w14:paraId="3925D3B3">
            <w:pPr>
              <w:spacing w:line="560" w:lineRule="exact"/>
              <w:rPr>
                <w:rFonts w:hint="eastAsia" w:ascii="宋体" w:hAnsi="宋体" w:eastAsia="宋体" w:cs="宋体"/>
                <w:sz w:val="24"/>
                <w:szCs w:val="24"/>
              </w:rPr>
            </w:pPr>
            <w:r>
              <w:rPr>
                <w:rFonts w:hint="eastAsia" w:ascii="宋体" w:hAnsi="宋体" w:eastAsia="宋体" w:cs="宋体"/>
                <w:sz w:val="24"/>
                <w:szCs w:val="24"/>
              </w:rPr>
              <w:t>法定代表人：</w:t>
            </w:r>
          </w:p>
          <w:p w14:paraId="4D3BC0D1">
            <w:pPr>
              <w:spacing w:line="560" w:lineRule="exact"/>
              <w:rPr>
                <w:rFonts w:hint="eastAsia" w:ascii="宋体" w:hAnsi="宋体" w:eastAsia="宋体" w:cs="宋体"/>
                <w:sz w:val="24"/>
                <w:szCs w:val="24"/>
              </w:rPr>
            </w:pPr>
            <w:r>
              <w:rPr>
                <w:rFonts w:hint="eastAsia" w:ascii="宋体" w:hAnsi="宋体" w:eastAsia="宋体" w:cs="宋体"/>
                <w:sz w:val="24"/>
                <w:szCs w:val="24"/>
              </w:rPr>
              <w:t>被授权代表：</w:t>
            </w:r>
          </w:p>
          <w:p w14:paraId="566CBEF0">
            <w:pPr>
              <w:spacing w:line="560" w:lineRule="exact"/>
              <w:rPr>
                <w:rFonts w:hint="eastAsia" w:ascii="宋体" w:hAnsi="宋体" w:eastAsia="宋体" w:cs="宋体"/>
                <w:sz w:val="24"/>
                <w:szCs w:val="24"/>
              </w:rPr>
            </w:pPr>
            <w:r>
              <w:rPr>
                <w:rFonts w:hint="eastAsia" w:ascii="宋体" w:hAnsi="宋体" w:eastAsia="宋体" w:cs="宋体"/>
                <w:sz w:val="24"/>
                <w:szCs w:val="24"/>
              </w:rPr>
              <w:t>电话：</w:t>
            </w:r>
          </w:p>
          <w:p w14:paraId="6BD710A3">
            <w:pPr>
              <w:spacing w:line="560" w:lineRule="exact"/>
              <w:rPr>
                <w:rFonts w:hint="eastAsia" w:ascii="宋体" w:hAnsi="宋体" w:eastAsia="宋体" w:cs="宋体"/>
                <w:sz w:val="24"/>
                <w:szCs w:val="24"/>
              </w:rPr>
            </w:pPr>
            <w:r>
              <w:rPr>
                <w:rFonts w:hint="eastAsia" w:ascii="宋体" w:hAnsi="宋体" w:eastAsia="宋体" w:cs="宋体"/>
                <w:sz w:val="24"/>
                <w:szCs w:val="24"/>
              </w:rPr>
              <w:t>传真：</w:t>
            </w:r>
          </w:p>
          <w:p w14:paraId="046ECD39">
            <w:pPr>
              <w:spacing w:line="560" w:lineRule="exact"/>
              <w:rPr>
                <w:rFonts w:hint="eastAsia" w:ascii="宋体" w:hAnsi="宋体" w:eastAsia="宋体" w:cs="宋体"/>
                <w:sz w:val="24"/>
                <w:szCs w:val="24"/>
              </w:rPr>
            </w:pPr>
            <w:r>
              <w:rPr>
                <w:rFonts w:hint="eastAsia" w:ascii="宋体" w:hAnsi="宋体" w:eastAsia="宋体" w:cs="宋体"/>
                <w:sz w:val="24"/>
                <w:szCs w:val="24"/>
              </w:rPr>
              <w:t>开户银行:</w:t>
            </w:r>
          </w:p>
          <w:p w14:paraId="799C5817">
            <w:pPr>
              <w:pStyle w:val="2"/>
              <w:rPr>
                <w:rFonts w:hint="eastAsia"/>
                <w:sz w:val="13"/>
                <w:szCs w:val="13"/>
              </w:rPr>
            </w:pPr>
          </w:p>
          <w:p w14:paraId="6280AD29">
            <w:pPr>
              <w:spacing w:line="560" w:lineRule="exact"/>
              <w:rPr>
                <w:rFonts w:hint="eastAsia" w:ascii="宋体" w:hAnsi="宋体" w:eastAsia="宋体" w:cs="宋体"/>
                <w:sz w:val="24"/>
                <w:szCs w:val="24"/>
              </w:rPr>
            </w:pPr>
            <w:r>
              <w:rPr>
                <w:rFonts w:hint="eastAsia" w:ascii="宋体" w:hAnsi="宋体" w:eastAsia="宋体" w:cs="宋体"/>
                <w:sz w:val="24"/>
                <w:szCs w:val="24"/>
              </w:rPr>
              <w:t>日期：</w:t>
            </w:r>
          </w:p>
        </w:tc>
      </w:tr>
    </w:tbl>
    <w:p w14:paraId="455036B8">
      <w:pPr>
        <w:pStyle w:val="32"/>
        <w:rPr>
          <w:rFonts w:hint="eastAsia"/>
          <w:lang w:val="en-US" w:eastAsia="zh-Hans"/>
        </w:rPr>
      </w:pPr>
    </w:p>
    <w:p w14:paraId="5D342771">
      <w:pPr>
        <w:pStyle w:val="3"/>
        <w:spacing w:before="0" w:after="0" w:line="360" w:lineRule="auto"/>
        <w:rPr>
          <w:rFonts w:hint="eastAsia" w:ascii="宋体"/>
          <w:sz w:val="28"/>
          <w:szCs w:val="28"/>
        </w:rPr>
      </w:pPr>
    </w:p>
    <w:sectPr>
      <w:headerReference r:id="rId3" w:type="default"/>
      <w:footerReference r:id="rId4" w:type="default"/>
      <w:footerReference r:id="rId5" w:type="even"/>
      <w:pgSz w:w="11907" w:h="16840"/>
      <w:pgMar w:top="1304" w:right="1134" w:bottom="1304"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DCF7D">
    <w:pPr>
      <w:pStyle w:val="12"/>
      <w:framePr w:wrap="around" w:vAnchor="text" w:hAnchor="margin" w:xAlign="right" w:y="1"/>
      <w:rPr>
        <w:rStyle w:val="21"/>
      </w:rPr>
    </w:pPr>
    <w:r>
      <w:fldChar w:fldCharType="begin"/>
    </w:r>
    <w:r>
      <w:rPr>
        <w:rStyle w:val="21"/>
      </w:rPr>
      <w:instrText xml:space="preserve">PAGE  </w:instrText>
    </w:r>
    <w:r>
      <w:fldChar w:fldCharType="separate"/>
    </w:r>
    <w:r>
      <w:rPr>
        <w:rStyle w:val="21"/>
      </w:rPr>
      <w:t>10</w:t>
    </w:r>
    <w:r>
      <w:fldChar w:fldCharType="end"/>
    </w:r>
  </w:p>
  <w:p w14:paraId="55182C24">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F37AE0">
    <w:pPr>
      <w:pStyle w:val="12"/>
      <w:framePr w:wrap="around" w:vAnchor="text" w:hAnchor="margin" w:xAlign="right" w:y="1"/>
      <w:rPr>
        <w:rStyle w:val="21"/>
      </w:rPr>
    </w:pPr>
    <w:r>
      <w:fldChar w:fldCharType="begin"/>
    </w:r>
    <w:r>
      <w:rPr>
        <w:rStyle w:val="21"/>
      </w:rPr>
      <w:instrText xml:space="preserve">PAGE  </w:instrText>
    </w:r>
    <w:r>
      <w:fldChar w:fldCharType="end"/>
    </w:r>
  </w:p>
  <w:p w14:paraId="60A713BF">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04AA1">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002E4707"/>
    <w:rsid w:val="00001A3E"/>
    <w:rsid w:val="00006C9D"/>
    <w:rsid w:val="00012806"/>
    <w:rsid w:val="00036248"/>
    <w:rsid w:val="000453FE"/>
    <w:rsid w:val="000519BF"/>
    <w:rsid w:val="0005438C"/>
    <w:rsid w:val="0005502B"/>
    <w:rsid w:val="0006139A"/>
    <w:rsid w:val="00065EC2"/>
    <w:rsid w:val="00071A88"/>
    <w:rsid w:val="00074DE0"/>
    <w:rsid w:val="00077AB5"/>
    <w:rsid w:val="0009656D"/>
    <w:rsid w:val="00097CE8"/>
    <w:rsid w:val="000B708E"/>
    <w:rsid w:val="000C3BD7"/>
    <w:rsid w:val="000C63F7"/>
    <w:rsid w:val="000D0B40"/>
    <w:rsid w:val="000D2531"/>
    <w:rsid w:val="000E419D"/>
    <w:rsid w:val="000E5ECB"/>
    <w:rsid w:val="00100A38"/>
    <w:rsid w:val="00105086"/>
    <w:rsid w:val="001131C5"/>
    <w:rsid w:val="00113E36"/>
    <w:rsid w:val="00114CF5"/>
    <w:rsid w:val="00132520"/>
    <w:rsid w:val="00133B80"/>
    <w:rsid w:val="00137525"/>
    <w:rsid w:val="00162B62"/>
    <w:rsid w:val="001B1D9A"/>
    <w:rsid w:val="001C7370"/>
    <w:rsid w:val="001D47C9"/>
    <w:rsid w:val="001D7950"/>
    <w:rsid w:val="001E51B1"/>
    <w:rsid w:val="001F1D2D"/>
    <w:rsid w:val="001F2423"/>
    <w:rsid w:val="00200C39"/>
    <w:rsid w:val="00203D3C"/>
    <w:rsid w:val="00204351"/>
    <w:rsid w:val="00210DBA"/>
    <w:rsid w:val="00213C25"/>
    <w:rsid w:val="002144A6"/>
    <w:rsid w:val="00214F31"/>
    <w:rsid w:val="002226D2"/>
    <w:rsid w:val="002401BE"/>
    <w:rsid w:val="00246D0F"/>
    <w:rsid w:val="00282DAE"/>
    <w:rsid w:val="002A4520"/>
    <w:rsid w:val="002A531F"/>
    <w:rsid w:val="002B0DD2"/>
    <w:rsid w:val="002B19F6"/>
    <w:rsid w:val="002B5882"/>
    <w:rsid w:val="002C40DE"/>
    <w:rsid w:val="002D4CD4"/>
    <w:rsid w:val="002D63B7"/>
    <w:rsid w:val="002D68AF"/>
    <w:rsid w:val="002E4707"/>
    <w:rsid w:val="002F46AC"/>
    <w:rsid w:val="002F703F"/>
    <w:rsid w:val="002F7B1C"/>
    <w:rsid w:val="003032ED"/>
    <w:rsid w:val="003125F1"/>
    <w:rsid w:val="0032003B"/>
    <w:rsid w:val="00327FA2"/>
    <w:rsid w:val="00335B8D"/>
    <w:rsid w:val="00345C85"/>
    <w:rsid w:val="003510EB"/>
    <w:rsid w:val="00351B11"/>
    <w:rsid w:val="00375026"/>
    <w:rsid w:val="0037760B"/>
    <w:rsid w:val="00387BA1"/>
    <w:rsid w:val="0039132F"/>
    <w:rsid w:val="00392F50"/>
    <w:rsid w:val="003A0954"/>
    <w:rsid w:val="003A55FF"/>
    <w:rsid w:val="003B4DAE"/>
    <w:rsid w:val="003C0839"/>
    <w:rsid w:val="003C5230"/>
    <w:rsid w:val="003C7ED6"/>
    <w:rsid w:val="003D705C"/>
    <w:rsid w:val="003E3722"/>
    <w:rsid w:val="003E43B2"/>
    <w:rsid w:val="003F7F0C"/>
    <w:rsid w:val="004005CE"/>
    <w:rsid w:val="00421FB8"/>
    <w:rsid w:val="00430853"/>
    <w:rsid w:val="00430929"/>
    <w:rsid w:val="00432CE4"/>
    <w:rsid w:val="004337ED"/>
    <w:rsid w:val="0043416C"/>
    <w:rsid w:val="00443142"/>
    <w:rsid w:val="00443F33"/>
    <w:rsid w:val="0046070F"/>
    <w:rsid w:val="00466384"/>
    <w:rsid w:val="00475739"/>
    <w:rsid w:val="00497FBB"/>
    <w:rsid w:val="004A5674"/>
    <w:rsid w:val="004A6F94"/>
    <w:rsid w:val="004B09B8"/>
    <w:rsid w:val="004B4308"/>
    <w:rsid w:val="004B7EA0"/>
    <w:rsid w:val="004C141D"/>
    <w:rsid w:val="004E54A2"/>
    <w:rsid w:val="004E7B58"/>
    <w:rsid w:val="004E7C69"/>
    <w:rsid w:val="004F3853"/>
    <w:rsid w:val="00500689"/>
    <w:rsid w:val="00500E70"/>
    <w:rsid w:val="005013FD"/>
    <w:rsid w:val="005056A4"/>
    <w:rsid w:val="005106F7"/>
    <w:rsid w:val="00510F7B"/>
    <w:rsid w:val="005153D3"/>
    <w:rsid w:val="00522B88"/>
    <w:rsid w:val="00524615"/>
    <w:rsid w:val="005268C8"/>
    <w:rsid w:val="0053419F"/>
    <w:rsid w:val="00552B59"/>
    <w:rsid w:val="00565035"/>
    <w:rsid w:val="005727DB"/>
    <w:rsid w:val="00572BCA"/>
    <w:rsid w:val="0059430E"/>
    <w:rsid w:val="005A1637"/>
    <w:rsid w:val="005A3ED3"/>
    <w:rsid w:val="005B37E5"/>
    <w:rsid w:val="005C0955"/>
    <w:rsid w:val="005C3BAD"/>
    <w:rsid w:val="005C6767"/>
    <w:rsid w:val="005D527E"/>
    <w:rsid w:val="005E6B77"/>
    <w:rsid w:val="0061204A"/>
    <w:rsid w:val="006126BF"/>
    <w:rsid w:val="0061319B"/>
    <w:rsid w:val="00633E8A"/>
    <w:rsid w:val="00640E3D"/>
    <w:rsid w:val="006424C5"/>
    <w:rsid w:val="006536ED"/>
    <w:rsid w:val="00662E65"/>
    <w:rsid w:val="00670D6C"/>
    <w:rsid w:val="0068347C"/>
    <w:rsid w:val="00687B86"/>
    <w:rsid w:val="00692BF9"/>
    <w:rsid w:val="00695F69"/>
    <w:rsid w:val="006A4721"/>
    <w:rsid w:val="006A4D90"/>
    <w:rsid w:val="006D76F5"/>
    <w:rsid w:val="006E15C8"/>
    <w:rsid w:val="006E3626"/>
    <w:rsid w:val="006E3D1F"/>
    <w:rsid w:val="006F02DF"/>
    <w:rsid w:val="007072C2"/>
    <w:rsid w:val="007201B3"/>
    <w:rsid w:val="0072460E"/>
    <w:rsid w:val="007351F7"/>
    <w:rsid w:val="00740046"/>
    <w:rsid w:val="007423D9"/>
    <w:rsid w:val="00744E0E"/>
    <w:rsid w:val="0076599E"/>
    <w:rsid w:val="007727F6"/>
    <w:rsid w:val="00773CE3"/>
    <w:rsid w:val="00783C9E"/>
    <w:rsid w:val="00794189"/>
    <w:rsid w:val="007961B0"/>
    <w:rsid w:val="007D33F4"/>
    <w:rsid w:val="007D5556"/>
    <w:rsid w:val="007E14A7"/>
    <w:rsid w:val="007E50B4"/>
    <w:rsid w:val="007F4068"/>
    <w:rsid w:val="007F7A43"/>
    <w:rsid w:val="00800A7A"/>
    <w:rsid w:val="00802422"/>
    <w:rsid w:val="00802907"/>
    <w:rsid w:val="00804178"/>
    <w:rsid w:val="00813F22"/>
    <w:rsid w:val="0081684B"/>
    <w:rsid w:val="008247C8"/>
    <w:rsid w:val="00837DC7"/>
    <w:rsid w:val="00842AE8"/>
    <w:rsid w:val="00850CA5"/>
    <w:rsid w:val="00851F0E"/>
    <w:rsid w:val="00852F2C"/>
    <w:rsid w:val="0085342B"/>
    <w:rsid w:val="0086213A"/>
    <w:rsid w:val="00876326"/>
    <w:rsid w:val="008876FE"/>
    <w:rsid w:val="00887CD5"/>
    <w:rsid w:val="0089161F"/>
    <w:rsid w:val="008B5392"/>
    <w:rsid w:val="008D4A73"/>
    <w:rsid w:val="008E1A10"/>
    <w:rsid w:val="008E52C0"/>
    <w:rsid w:val="008F08E0"/>
    <w:rsid w:val="008F1EDE"/>
    <w:rsid w:val="0090044D"/>
    <w:rsid w:val="00906DD7"/>
    <w:rsid w:val="00921DB4"/>
    <w:rsid w:val="00944545"/>
    <w:rsid w:val="0094640F"/>
    <w:rsid w:val="00946564"/>
    <w:rsid w:val="00964778"/>
    <w:rsid w:val="009728BE"/>
    <w:rsid w:val="00975C8E"/>
    <w:rsid w:val="00976E5F"/>
    <w:rsid w:val="00981433"/>
    <w:rsid w:val="009820DE"/>
    <w:rsid w:val="00991D67"/>
    <w:rsid w:val="009A108A"/>
    <w:rsid w:val="009A5290"/>
    <w:rsid w:val="009C0042"/>
    <w:rsid w:val="009C29D0"/>
    <w:rsid w:val="009C4F32"/>
    <w:rsid w:val="009C531A"/>
    <w:rsid w:val="009C7F5C"/>
    <w:rsid w:val="009D568F"/>
    <w:rsid w:val="009E0CE9"/>
    <w:rsid w:val="00A01A46"/>
    <w:rsid w:val="00A07AF1"/>
    <w:rsid w:val="00A25246"/>
    <w:rsid w:val="00A270E6"/>
    <w:rsid w:val="00A326E2"/>
    <w:rsid w:val="00A44AFE"/>
    <w:rsid w:val="00A47C52"/>
    <w:rsid w:val="00A47E8B"/>
    <w:rsid w:val="00A546A1"/>
    <w:rsid w:val="00A54F1C"/>
    <w:rsid w:val="00A55155"/>
    <w:rsid w:val="00A657E3"/>
    <w:rsid w:val="00A66DE9"/>
    <w:rsid w:val="00A7491A"/>
    <w:rsid w:val="00A77614"/>
    <w:rsid w:val="00AA4E45"/>
    <w:rsid w:val="00AA63E9"/>
    <w:rsid w:val="00AB2EDD"/>
    <w:rsid w:val="00AB5A58"/>
    <w:rsid w:val="00AC68AA"/>
    <w:rsid w:val="00AC7457"/>
    <w:rsid w:val="00AD7B88"/>
    <w:rsid w:val="00AE1BBC"/>
    <w:rsid w:val="00AF56C1"/>
    <w:rsid w:val="00B028B1"/>
    <w:rsid w:val="00B0426D"/>
    <w:rsid w:val="00B07903"/>
    <w:rsid w:val="00B22B18"/>
    <w:rsid w:val="00B3298E"/>
    <w:rsid w:val="00B34419"/>
    <w:rsid w:val="00B401E2"/>
    <w:rsid w:val="00B41BAE"/>
    <w:rsid w:val="00B45C04"/>
    <w:rsid w:val="00B530ED"/>
    <w:rsid w:val="00B5603E"/>
    <w:rsid w:val="00B56640"/>
    <w:rsid w:val="00B61443"/>
    <w:rsid w:val="00B8030F"/>
    <w:rsid w:val="00B8666A"/>
    <w:rsid w:val="00BA0556"/>
    <w:rsid w:val="00BA0563"/>
    <w:rsid w:val="00BA171F"/>
    <w:rsid w:val="00BB35DD"/>
    <w:rsid w:val="00BB5DE6"/>
    <w:rsid w:val="00BB6BAA"/>
    <w:rsid w:val="00BC5FD8"/>
    <w:rsid w:val="00BC7804"/>
    <w:rsid w:val="00BD1702"/>
    <w:rsid w:val="00BD4581"/>
    <w:rsid w:val="00BE0C0C"/>
    <w:rsid w:val="00BE2E23"/>
    <w:rsid w:val="00BF2C32"/>
    <w:rsid w:val="00BF4178"/>
    <w:rsid w:val="00BF7B17"/>
    <w:rsid w:val="00C14329"/>
    <w:rsid w:val="00C16DEC"/>
    <w:rsid w:val="00C21FA0"/>
    <w:rsid w:val="00C27CAE"/>
    <w:rsid w:val="00C30B29"/>
    <w:rsid w:val="00C35204"/>
    <w:rsid w:val="00C43165"/>
    <w:rsid w:val="00C43FD9"/>
    <w:rsid w:val="00C45E46"/>
    <w:rsid w:val="00C62714"/>
    <w:rsid w:val="00C645E0"/>
    <w:rsid w:val="00C66061"/>
    <w:rsid w:val="00C66AF9"/>
    <w:rsid w:val="00C805A5"/>
    <w:rsid w:val="00C83870"/>
    <w:rsid w:val="00C95BC3"/>
    <w:rsid w:val="00CB4119"/>
    <w:rsid w:val="00CB5D2E"/>
    <w:rsid w:val="00CC6939"/>
    <w:rsid w:val="00CC6954"/>
    <w:rsid w:val="00CD6E77"/>
    <w:rsid w:val="00CF09B1"/>
    <w:rsid w:val="00D0237E"/>
    <w:rsid w:val="00D036DE"/>
    <w:rsid w:val="00D13DEA"/>
    <w:rsid w:val="00D17CC7"/>
    <w:rsid w:val="00D24DA2"/>
    <w:rsid w:val="00D251DE"/>
    <w:rsid w:val="00D2763A"/>
    <w:rsid w:val="00D36B84"/>
    <w:rsid w:val="00D42C1B"/>
    <w:rsid w:val="00D44A5B"/>
    <w:rsid w:val="00D46D2E"/>
    <w:rsid w:val="00D51D5D"/>
    <w:rsid w:val="00D535AD"/>
    <w:rsid w:val="00D5675D"/>
    <w:rsid w:val="00D609B8"/>
    <w:rsid w:val="00D64108"/>
    <w:rsid w:val="00D75AE1"/>
    <w:rsid w:val="00D8256F"/>
    <w:rsid w:val="00D902F6"/>
    <w:rsid w:val="00D927E4"/>
    <w:rsid w:val="00DA5CC0"/>
    <w:rsid w:val="00DA5D72"/>
    <w:rsid w:val="00DB31BF"/>
    <w:rsid w:val="00DB5355"/>
    <w:rsid w:val="00DF55CB"/>
    <w:rsid w:val="00E07AD1"/>
    <w:rsid w:val="00E14549"/>
    <w:rsid w:val="00E4151C"/>
    <w:rsid w:val="00E45441"/>
    <w:rsid w:val="00E45BDA"/>
    <w:rsid w:val="00E46873"/>
    <w:rsid w:val="00E53764"/>
    <w:rsid w:val="00E6760D"/>
    <w:rsid w:val="00E736A1"/>
    <w:rsid w:val="00E80EFF"/>
    <w:rsid w:val="00E853FD"/>
    <w:rsid w:val="00E873D4"/>
    <w:rsid w:val="00E95C3F"/>
    <w:rsid w:val="00EA492E"/>
    <w:rsid w:val="00ED1FE8"/>
    <w:rsid w:val="00ED6797"/>
    <w:rsid w:val="00ED6E00"/>
    <w:rsid w:val="00EF270C"/>
    <w:rsid w:val="00F13EC2"/>
    <w:rsid w:val="00F1400C"/>
    <w:rsid w:val="00F14408"/>
    <w:rsid w:val="00F21416"/>
    <w:rsid w:val="00F21BE3"/>
    <w:rsid w:val="00F223DC"/>
    <w:rsid w:val="00F26B93"/>
    <w:rsid w:val="00F31658"/>
    <w:rsid w:val="00F34C6A"/>
    <w:rsid w:val="00F42AF0"/>
    <w:rsid w:val="00F53982"/>
    <w:rsid w:val="00F65B79"/>
    <w:rsid w:val="00F67DB4"/>
    <w:rsid w:val="00F70855"/>
    <w:rsid w:val="00F72E7E"/>
    <w:rsid w:val="00F90538"/>
    <w:rsid w:val="00F9577E"/>
    <w:rsid w:val="00FA151F"/>
    <w:rsid w:val="00FB710E"/>
    <w:rsid w:val="00FB7853"/>
    <w:rsid w:val="00FC22B4"/>
    <w:rsid w:val="00FD1BC1"/>
    <w:rsid w:val="00FD2677"/>
    <w:rsid w:val="00FD6A74"/>
    <w:rsid w:val="00FE00D1"/>
    <w:rsid w:val="00FE18FA"/>
    <w:rsid w:val="00FE5421"/>
    <w:rsid w:val="00FE6B29"/>
    <w:rsid w:val="0DA05987"/>
    <w:rsid w:val="0FAC1683"/>
    <w:rsid w:val="0FAE7D5A"/>
    <w:rsid w:val="12186390"/>
    <w:rsid w:val="134D3DC5"/>
    <w:rsid w:val="18AD752C"/>
    <w:rsid w:val="21B607B5"/>
    <w:rsid w:val="220451FA"/>
    <w:rsid w:val="24390925"/>
    <w:rsid w:val="251759B9"/>
    <w:rsid w:val="27285394"/>
    <w:rsid w:val="279E0BFF"/>
    <w:rsid w:val="2AB91DBA"/>
    <w:rsid w:val="2C155914"/>
    <w:rsid w:val="2ECA4F4D"/>
    <w:rsid w:val="338F6EAE"/>
    <w:rsid w:val="3C1C7EE3"/>
    <w:rsid w:val="403668CF"/>
    <w:rsid w:val="442B783E"/>
    <w:rsid w:val="4A7B4BB3"/>
    <w:rsid w:val="4DDB1305"/>
    <w:rsid w:val="578258C7"/>
    <w:rsid w:val="57D67822"/>
    <w:rsid w:val="57E25FEF"/>
    <w:rsid w:val="584F693B"/>
    <w:rsid w:val="599F2DD0"/>
    <w:rsid w:val="5A2768A9"/>
    <w:rsid w:val="5D5F7713"/>
    <w:rsid w:val="5F525199"/>
    <w:rsid w:val="674A36FA"/>
    <w:rsid w:val="6887244A"/>
    <w:rsid w:val="6DCA116D"/>
    <w:rsid w:val="76020B78"/>
    <w:rsid w:val="77893885"/>
    <w:rsid w:val="7A057B42"/>
    <w:rsid w:val="7F1308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nhideWhenUsed="0" w:uiPriority="0" w:semiHidden="0"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0"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0" w:semiHidden="0" w:name="Body Text First Indent" w:locked="1"/>
    <w:lsdException w:qFormat="1" w:uiPriority="99" w:semiHidden="0" w:name="Body Text First Indent 2" w:locked="1"/>
    <w:lsdException w:uiPriority="99" w:name="Note Heading" w:locked="1"/>
    <w:lsdException w:uiPriority="99" w:name="Body Text 2" w:locked="1"/>
    <w:lsdException w:uiPriority="99" w:semiHidden="0" w:name="Body Text 3" w:locked="1"/>
    <w:lsdException w:qFormat="1" w:uiPriority="0" w:semiHidden="0" w:name="Body Text Indent 2" w:locked="1"/>
    <w:lsdException w:uiPriority="99" w:name="Body Text Indent 3" w:locked="1"/>
    <w:lsdException w:qFormat="1" w:unhideWhenUsed="0" w:uiPriority="99" w:semiHidden="0" w:name="Block Text"/>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ocked="1"/>
    <w:lsdException w:unhideWhenUsed="0" w:uiPriority="99" w:semiHidden="0" w:name="Table Simple 1" w:locked="1"/>
    <w:lsdException w:unhideWhenUsed="0" w:uiPriority="99" w:semiHidden="0" w:name="Table Simple 2" w:locked="1"/>
    <w:lsdException w:unhideWhenUsed="0" w:uiPriority="99" w:semiHidden="0" w:name="Table Simple 3" w:locked="1"/>
    <w:lsdException w:unhideWhenUsed="0" w:uiPriority="99" w:semiHidden="0" w:name="Table Classic 1" w:locked="1"/>
    <w:lsdException w:unhideWhenUsed="0" w:uiPriority="99" w:semiHidden="0" w:name="Table Classic 2" w:locked="1"/>
    <w:lsdException w:unhideWhenUsed="0" w:uiPriority="99" w:semiHidden="0" w:name="Table Classic 3" w:locked="1"/>
    <w:lsdException w:unhideWhenUsed="0" w:uiPriority="99" w:semiHidden="0" w:name="Table Classic 4" w:locked="1"/>
    <w:lsdException w:unhideWhenUsed="0" w:uiPriority="99" w:semiHidden="0" w:name="Table Colorful 1" w:locked="1"/>
    <w:lsdException w:unhideWhenUsed="0" w:uiPriority="99" w:semiHidden="0" w:name="Table Colorful 2" w:locked="1"/>
    <w:lsdException w:unhideWhenUsed="0" w:uiPriority="99" w:semiHidden="0" w:name="Table Colorful 3" w:locked="1"/>
    <w:lsdException w:unhideWhenUsed="0" w:uiPriority="99" w:semiHidden="0" w:name="Table Columns 1" w:locked="1"/>
    <w:lsdException w:unhideWhenUsed="0" w:uiPriority="99" w:semiHidden="0" w:name="Table Columns 2" w:locked="1"/>
    <w:lsdException w:unhideWhenUsed="0" w:uiPriority="99" w:semiHidden="0" w:name="Table Columns 3" w:locked="1"/>
    <w:lsdException w:unhideWhenUsed="0" w:uiPriority="99" w:semiHidden="0" w:name="Table Columns 4" w:locked="1"/>
    <w:lsdException w:unhideWhenUsed="0" w:uiPriority="99" w:semiHidden="0" w:name="Table Columns 5" w:locked="1"/>
    <w:lsdException w:unhideWhenUsed="0" w:uiPriority="99" w:semiHidden="0" w:name="Table Grid 1" w:locked="1"/>
    <w:lsdException w:unhideWhenUsed="0" w:uiPriority="99" w:semiHidden="0" w:name="Table Grid 2" w:locked="1"/>
    <w:lsdException w:unhideWhenUsed="0" w:uiPriority="99" w:semiHidden="0" w:name="Table Grid 3" w:locked="1"/>
    <w:lsdException w:unhideWhenUsed="0" w:uiPriority="99" w:semiHidden="0" w:name="Table Grid 4" w:locked="1"/>
    <w:lsdException w:unhideWhenUsed="0" w:uiPriority="99" w:semiHidden="0" w:name="Table Grid 5" w:locked="1"/>
    <w:lsdException w:unhideWhenUsed="0" w:uiPriority="99" w:semiHidden="0" w:name="Table Grid 6" w:locked="1"/>
    <w:lsdException w:unhideWhenUsed="0" w:uiPriority="99" w:semiHidden="0" w:name="Table Grid 7" w:locked="1"/>
    <w:lsdException w:unhideWhenUsed="0" w:uiPriority="99" w:semiHidden="0" w:name="Table Grid 8" w:locked="1"/>
    <w:lsdException w:unhideWhenUsed="0" w:uiPriority="99" w:semiHidden="0" w:name="Table List 1" w:locked="1"/>
    <w:lsdException w:unhideWhenUsed="0" w:uiPriority="99" w:semiHidden="0" w:name="Table List 2" w:locked="1"/>
    <w:lsdException w:unhideWhenUsed="0" w:uiPriority="99" w:semiHidden="0" w:name="Table List 3" w:locked="1"/>
    <w:lsdException w:unhideWhenUsed="0" w:uiPriority="99" w:semiHidden="0" w:name="Table List 4" w:locked="1"/>
    <w:lsdException w:unhideWhenUsed="0" w:uiPriority="99" w:semiHidden="0" w:name="Table List 5" w:locked="1"/>
    <w:lsdException w:unhideWhenUsed="0" w:uiPriority="99" w:semiHidden="0" w:name="Table List 6" w:locked="1"/>
    <w:lsdException w:unhideWhenUsed="0" w:uiPriority="99" w:semiHidden="0" w:name="Table List 7" w:locked="1"/>
    <w:lsdException w:unhideWhenUsed="0" w:uiPriority="99" w:semiHidden="0" w:name="Table List 8" w:locked="1"/>
    <w:lsdException w:unhideWhenUsed="0" w:uiPriority="99" w:semiHidden="0" w:name="Table 3D effects 1" w:locked="1"/>
    <w:lsdException w:unhideWhenUsed="0" w:uiPriority="99" w:semiHidden="0" w:name="Table 3D effects 2" w:locked="1"/>
    <w:lsdException w:unhideWhenUsed="0" w:uiPriority="99" w:semiHidden="0" w:name="Table 3D effects 3" w:locked="1"/>
    <w:lsdException w:unhideWhenUsed="0" w:uiPriority="99" w:semiHidden="0" w:name="Table Contemporary" w:locked="1"/>
    <w:lsdException w:unhideWhenUsed="0" w:uiPriority="99" w:semiHidden="0" w:name="Table Elegant" w:locked="1"/>
    <w:lsdException w:unhideWhenUsed="0" w:uiPriority="99" w:semiHidden="0" w:name="Table Professional" w:locked="1"/>
    <w:lsdException w:unhideWhenUsed="0" w:uiPriority="99" w:semiHidden="0" w:name="Table Subtle 1" w:locked="1"/>
    <w:lsdException w:unhideWhenUsed="0" w:uiPriority="99" w:semiHidden="0" w:name="Table Subtle 2" w:locked="1"/>
    <w:lsdException w:unhideWhenUsed="0" w:uiPriority="99" w:semiHidden="0" w:name="Table Web 1" w:locked="1"/>
    <w:lsdException w:unhideWhenUsed="0" w:uiPriority="99" w:semiHidden="0" w:name="Table Web 2" w:locked="1"/>
    <w:lsdException w:unhideWhenUsed="0" w:uiPriority="99" w:semiHidden="0" w:name="Table Web 3" w:locked="1"/>
    <w:lsdException w:qFormat="1" w:unhideWhenUsed="0" w:uiPriority="99" w:name="Balloon Text"/>
    <w:lsdException w:qFormat="1" w:unhideWhenUsed="0" w:uiPriority="39" w:semiHidden="0" w:name="Table Grid" w:locked="1"/>
    <w:lsdException w:unhideWhenUsed="0" w:uiPriority="99"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locked/>
    <w:uiPriority w:val="9"/>
    <w:pPr>
      <w:keepNext/>
      <w:keepLines/>
      <w:spacing w:before="340" w:after="330" w:line="578" w:lineRule="auto"/>
      <w:outlineLvl w:val="0"/>
    </w:pPr>
    <w:rPr>
      <w:rFonts w:ascii="等线" w:hAnsi="等线" w:eastAsia="等线" w:cs="Times New Roman"/>
      <w:b/>
      <w:bCs/>
      <w:kern w:val="44"/>
      <w:sz w:val="44"/>
      <w:szCs w:val="44"/>
    </w:rPr>
  </w:style>
  <w:style w:type="paragraph" w:styleId="4">
    <w:name w:val="heading 4"/>
    <w:basedOn w:val="1"/>
    <w:next w:val="1"/>
    <w:qFormat/>
    <w:locked/>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20">
    <w:name w:val="Default Paragraph Font"/>
    <w:semiHidden/>
    <w:qFormat/>
    <w:uiPriority w:val="99"/>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3"/>
    <w:basedOn w:val="1"/>
    <w:unhideWhenUsed/>
    <w:locked/>
    <w:uiPriority w:val="99"/>
    <w:pPr>
      <w:spacing w:after="120"/>
    </w:pPr>
    <w:rPr>
      <w:sz w:val="16"/>
      <w:szCs w:val="16"/>
    </w:rPr>
  </w:style>
  <w:style w:type="paragraph" w:styleId="5">
    <w:name w:val="annotation text"/>
    <w:basedOn w:val="1"/>
    <w:link w:val="25"/>
    <w:qFormat/>
    <w:uiPriority w:val="99"/>
    <w:pPr>
      <w:jc w:val="left"/>
    </w:pPr>
  </w:style>
  <w:style w:type="paragraph" w:styleId="6">
    <w:name w:val="Body Text"/>
    <w:basedOn w:val="1"/>
    <w:next w:val="1"/>
    <w:qFormat/>
    <w:locked/>
    <w:uiPriority w:val="0"/>
    <w:rPr>
      <w:b/>
      <w:sz w:val="28"/>
      <w:szCs w:val="24"/>
    </w:rPr>
  </w:style>
  <w:style w:type="paragraph" w:styleId="7">
    <w:name w:val="Body Text Indent"/>
    <w:basedOn w:val="1"/>
    <w:link w:val="23"/>
    <w:qFormat/>
    <w:uiPriority w:val="99"/>
    <w:pPr>
      <w:ind w:right="25" w:rightChars="12" w:firstLine="470" w:firstLineChars="168"/>
    </w:pPr>
    <w:rPr>
      <w:rFonts w:ascii="宋体"/>
      <w:sz w:val="28"/>
      <w:szCs w:val="20"/>
    </w:rPr>
  </w:style>
  <w:style w:type="paragraph" w:styleId="8">
    <w:name w:val="Block Text"/>
    <w:basedOn w:val="1"/>
    <w:qFormat/>
    <w:uiPriority w:val="99"/>
    <w:pPr>
      <w:tabs>
        <w:tab w:val="left" w:pos="540"/>
        <w:tab w:val="left" w:pos="720"/>
      </w:tabs>
      <w:ind w:left="1604" w:right="25" w:rightChars="12"/>
    </w:pPr>
    <w:rPr>
      <w:b/>
      <w:bCs/>
      <w:sz w:val="28"/>
      <w:szCs w:val="20"/>
    </w:rPr>
  </w:style>
  <w:style w:type="paragraph" w:styleId="9">
    <w:name w:val="Plain Text"/>
    <w:basedOn w:val="1"/>
    <w:qFormat/>
    <w:locked/>
    <w:uiPriority w:val="0"/>
    <w:rPr>
      <w:rFonts w:ascii="宋体" w:hAnsi="Courier New"/>
      <w:sz w:val="24"/>
    </w:rPr>
  </w:style>
  <w:style w:type="paragraph" w:styleId="10">
    <w:name w:val="Body Text Indent 2"/>
    <w:basedOn w:val="1"/>
    <w:unhideWhenUsed/>
    <w:qFormat/>
    <w:locked/>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Balloon Text"/>
    <w:basedOn w:val="1"/>
    <w:link w:val="26"/>
    <w:semiHidden/>
    <w:qFormat/>
    <w:uiPriority w:val="99"/>
    <w:rPr>
      <w:sz w:val="18"/>
      <w:szCs w:val="18"/>
    </w:rPr>
  </w:style>
  <w:style w:type="paragraph" w:styleId="12">
    <w:name w:val="footer"/>
    <w:basedOn w:val="1"/>
    <w:link w:val="27"/>
    <w:qFormat/>
    <w:uiPriority w:val="99"/>
    <w:pPr>
      <w:tabs>
        <w:tab w:val="center" w:pos="4153"/>
        <w:tab w:val="right" w:pos="8306"/>
      </w:tabs>
      <w:snapToGrid w:val="0"/>
      <w:jc w:val="left"/>
    </w:pPr>
    <w:rPr>
      <w:sz w:val="18"/>
      <w:szCs w:val="20"/>
    </w:rPr>
  </w:style>
  <w:style w:type="paragraph" w:styleId="13">
    <w:name w:val="header"/>
    <w:basedOn w:val="1"/>
    <w:link w:val="28"/>
    <w:qFormat/>
    <w:uiPriority w:val="99"/>
    <w:pPr>
      <w:pBdr>
        <w:bottom w:val="single" w:color="auto" w:sz="6" w:space="1"/>
      </w:pBdr>
      <w:tabs>
        <w:tab w:val="center" w:pos="4153"/>
        <w:tab w:val="right" w:pos="8306"/>
      </w:tabs>
      <w:snapToGrid w:val="0"/>
      <w:jc w:val="center"/>
    </w:pPr>
    <w:rPr>
      <w:sz w:val="18"/>
      <w:szCs w:val="18"/>
    </w:rPr>
  </w:style>
  <w:style w:type="paragraph" w:styleId="14">
    <w:name w:val="Normal (Web)"/>
    <w:basedOn w:val="1"/>
    <w:next w:val="1"/>
    <w:unhideWhenUsed/>
    <w:qFormat/>
    <w:locked/>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5"/>
    <w:next w:val="5"/>
    <w:link w:val="29"/>
    <w:semiHidden/>
    <w:qFormat/>
    <w:locked/>
    <w:uiPriority w:val="99"/>
    <w:rPr>
      <w:b/>
      <w:bCs/>
    </w:rPr>
  </w:style>
  <w:style w:type="paragraph" w:styleId="16">
    <w:name w:val="Body Text First Indent"/>
    <w:basedOn w:val="6"/>
    <w:qFormat/>
    <w:locked/>
    <w:uiPriority w:val="0"/>
    <w:pPr>
      <w:widowControl/>
      <w:spacing w:after="120"/>
      <w:ind w:firstLine="420" w:firstLineChars="100"/>
    </w:pPr>
    <w:rPr>
      <w:rFonts w:ascii="Times New Roman" w:hAnsi="Times New Roman" w:eastAsia="宋体" w:cs="Times New Roman"/>
      <w:kern w:val="2"/>
      <w:sz w:val="28"/>
      <w:szCs w:val="24"/>
    </w:rPr>
  </w:style>
  <w:style w:type="paragraph" w:styleId="17">
    <w:name w:val="Body Text First Indent 2"/>
    <w:basedOn w:val="7"/>
    <w:unhideWhenUsed/>
    <w:qFormat/>
    <w:locked/>
    <w:uiPriority w:val="99"/>
    <w:pPr>
      <w:widowControl/>
      <w:tabs>
        <w:tab w:val="left" w:pos="180"/>
      </w:tabs>
      <w:spacing w:line="420" w:lineRule="exact"/>
      <w:ind w:firstLine="420" w:firstLineChars="200"/>
      <w:jc w:val="left"/>
    </w:pPr>
    <w:rPr>
      <w:rFonts w:ascii="Arial" w:hAnsi="Arial" w:eastAsia="宋?" w:cs="Times New Roman"/>
      <w:b/>
      <w:bCs/>
      <w:kern w:val="0"/>
      <w:szCs w:val="24"/>
    </w:rPr>
  </w:style>
  <w:style w:type="table" w:styleId="19">
    <w:name w:val="Table Grid"/>
    <w:basedOn w:val="18"/>
    <w:qFormat/>
    <w:locked/>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qFormat/>
    <w:uiPriority w:val="99"/>
    <w:rPr>
      <w:rFonts w:cs="Times New Roman"/>
    </w:rPr>
  </w:style>
  <w:style w:type="character" w:styleId="22">
    <w:name w:val="annotation reference"/>
    <w:qFormat/>
    <w:uiPriority w:val="99"/>
    <w:rPr>
      <w:rFonts w:cs="Times New Roman"/>
      <w:sz w:val="21"/>
    </w:rPr>
  </w:style>
  <w:style w:type="character" w:customStyle="1" w:styleId="23">
    <w:name w:val="正文文本缩进 字符"/>
    <w:link w:val="7"/>
    <w:qFormat/>
    <w:locked/>
    <w:uiPriority w:val="99"/>
    <w:rPr>
      <w:rFonts w:ascii="宋体" w:hAnsi="Times New Roman" w:eastAsia="宋体" w:cs="Times New Roman"/>
      <w:sz w:val="20"/>
      <w:szCs w:val="20"/>
    </w:rPr>
  </w:style>
  <w:style w:type="character" w:customStyle="1" w:styleId="24">
    <w:name w:val="标题 1 字符"/>
    <w:link w:val="3"/>
    <w:qFormat/>
    <w:uiPriority w:val="9"/>
    <w:rPr>
      <w:rFonts w:ascii="等线" w:hAnsi="等线" w:eastAsia="等线"/>
      <w:b/>
      <w:bCs/>
      <w:kern w:val="44"/>
      <w:sz w:val="44"/>
      <w:szCs w:val="44"/>
    </w:rPr>
  </w:style>
  <w:style w:type="character" w:customStyle="1" w:styleId="25">
    <w:name w:val="批注文字 字符"/>
    <w:link w:val="5"/>
    <w:qFormat/>
    <w:locked/>
    <w:uiPriority w:val="99"/>
    <w:rPr>
      <w:rFonts w:ascii="Times New Roman" w:hAnsi="Times New Roman" w:eastAsia="宋体" w:cs="Times New Roman"/>
      <w:sz w:val="24"/>
      <w:szCs w:val="24"/>
    </w:rPr>
  </w:style>
  <w:style w:type="character" w:customStyle="1" w:styleId="26">
    <w:name w:val="批注框文本 字符"/>
    <w:link w:val="11"/>
    <w:semiHidden/>
    <w:qFormat/>
    <w:locked/>
    <w:uiPriority w:val="99"/>
    <w:rPr>
      <w:rFonts w:ascii="Times New Roman" w:hAnsi="Times New Roman" w:eastAsia="宋体" w:cs="Times New Roman"/>
      <w:sz w:val="18"/>
      <w:szCs w:val="18"/>
    </w:rPr>
  </w:style>
  <w:style w:type="character" w:customStyle="1" w:styleId="27">
    <w:name w:val="页脚 字符"/>
    <w:link w:val="12"/>
    <w:qFormat/>
    <w:locked/>
    <w:uiPriority w:val="99"/>
    <w:rPr>
      <w:rFonts w:ascii="Times New Roman" w:hAnsi="Times New Roman" w:eastAsia="宋体" w:cs="Times New Roman"/>
      <w:sz w:val="20"/>
      <w:szCs w:val="20"/>
    </w:rPr>
  </w:style>
  <w:style w:type="character" w:customStyle="1" w:styleId="28">
    <w:name w:val="页眉 字符"/>
    <w:link w:val="13"/>
    <w:qFormat/>
    <w:locked/>
    <w:uiPriority w:val="99"/>
    <w:rPr>
      <w:rFonts w:ascii="Times New Roman" w:hAnsi="Times New Roman" w:eastAsia="宋体" w:cs="Times New Roman"/>
      <w:sz w:val="18"/>
      <w:szCs w:val="18"/>
    </w:rPr>
  </w:style>
  <w:style w:type="character" w:customStyle="1" w:styleId="29">
    <w:name w:val="批注主题 字符"/>
    <w:link w:val="15"/>
    <w:semiHidden/>
    <w:qFormat/>
    <w:locked/>
    <w:uiPriority w:val="99"/>
    <w:rPr>
      <w:rFonts w:ascii="Times New Roman" w:hAnsi="Times New Roman" w:eastAsia="宋体" w:cs="Times New Roman"/>
      <w:b/>
      <w:bCs/>
      <w:sz w:val="24"/>
      <w:szCs w:val="24"/>
    </w:rPr>
  </w:style>
  <w:style w:type="paragraph" w:styleId="30">
    <w:name w:val="List Paragraph"/>
    <w:basedOn w:val="1"/>
    <w:qFormat/>
    <w:uiPriority w:val="34"/>
    <w:pPr>
      <w:ind w:firstLine="420" w:firstLineChars="200"/>
    </w:pPr>
    <w:rPr>
      <w:rFonts w:ascii="等线" w:hAnsi="等线" w:eastAsia="等线" w:cs="Times New Roman"/>
      <w:szCs w:val="22"/>
    </w:rPr>
  </w:style>
  <w:style w:type="paragraph" w:customStyle="1" w:styleId="31">
    <w:name w:val="_Style 24"/>
    <w:unhideWhenUsed/>
    <w:qFormat/>
    <w:uiPriority w:val="99"/>
    <w:rPr>
      <w:rFonts w:ascii="Times New Roman" w:hAnsi="Times New Roman" w:eastAsia="宋体" w:cs="Times New Roman"/>
      <w:kern w:val="2"/>
      <w:sz w:val="21"/>
      <w:szCs w:val="24"/>
      <w:lang w:val="en-US" w:eastAsia="zh-CN" w:bidi="ar-SA"/>
    </w:rPr>
  </w:style>
  <w:style w:type="paragraph" w:customStyle="1" w:styleId="32">
    <w:name w:val="null3"/>
    <w:qFormat/>
    <w:uiPriority w:val="0"/>
    <w:rPr>
      <w:rFonts w:hint="eastAsia" w:ascii="Calibri" w:hAnsi="Calibri" w:eastAsia="宋体" w:cs="Times New Roman"/>
      <w:lang w:val="en-US" w:eastAsia="zh-Hans" w:bidi="ar-SA"/>
    </w:rPr>
  </w:style>
  <w:style w:type="paragraph" w:customStyle="1" w:styleId="33">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SILKROADLAW</Company>
  <Pages>9</Pages>
  <Words>4537</Words>
  <Characters>4635</Characters>
  <Lines>27</Lines>
  <Paragraphs>7</Paragraphs>
  <TotalTime>1</TotalTime>
  <ScaleCrop>false</ScaleCrop>
  <LinksUpToDate>false</LinksUpToDate>
  <CharactersWithSpaces>4909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2021-07-19T02:22:00Z</dcterms:created>
  <dc:creator>王素云</dc:creator>
  <cp:lastModifiedBy>cool~静</cp:lastModifiedBy>
  <cp:lastPrinted>2019-03-27T08:40:00Z</cp:lastPrinted>
  <dcterms:modified xsi:type="dcterms:W3CDTF">2024-12-18T02:20:57Z</dcterms:modified>
  <dc:title>测绘合同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7DDAF39A06A84570ADC8D9A2A0BA6935_13</vt:lpwstr>
  </property>
</Properties>
</file>