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高新区二次创业区经三十四路（纬三十二路-纬二十路）市政道路工程考古发掘委托第三方技术服务</w:t>
      </w:r>
    </w:p>
    <w:p>
      <w:pPr>
        <w:pStyle w:val="null3"/>
        <w:jc w:val="center"/>
        <w:outlineLvl w:val="2"/>
      </w:pPr>
      <w:r>
        <w:rPr>
          <w:sz w:val="28"/>
          <w:b/>
        </w:rPr>
        <w:t>采购项目编号：</w:t>
      </w:r>
      <w:r>
        <w:rPr>
          <w:sz w:val="28"/>
          <w:b/>
        </w:rPr>
        <w:t>SZT2024-SN-XC-ZC-FW-1353</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高新区二次创业区经三十四路（纬三十二路-纬二十路）市政道路工程考古发掘委托第三方技术服务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SZT2024-SN-XC-ZC-FW-1353</w:t>
      </w:r>
    </w:p>
    <w:p>
      <w:pPr>
        <w:pStyle w:val="null3"/>
        <w:outlineLvl w:val="2"/>
      </w:pPr>
      <w:r>
        <w:rPr>
          <w:sz w:val="28"/>
          <w:b/>
        </w:rPr>
        <w:t>二、项目名称：</w:t>
      </w:r>
      <w:r>
        <w:rPr>
          <w:sz w:val="28"/>
          <w:b/>
        </w:rPr>
        <w:t>高新区二次创业区经三十四路（纬三十二路-纬二十路）市政道路工程考古发掘委托第三方技术服务</w:t>
      </w:r>
    </w:p>
    <w:p>
      <w:pPr>
        <w:pStyle w:val="null3"/>
        <w:outlineLvl w:val="2"/>
      </w:pPr>
      <w:r>
        <w:rPr>
          <w:sz w:val="28"/>
          <w:b/>
        </w:rPr>
        <w:t>三、磋商项目简介</w:t>
      </w:r>
    </w:p>
    <w:p>
      <w:pPr>
        <w:pStyle w:val="null3"/>
        <w:ind w:firstLine="480"/>
      </w:pPr>
      <w:r>
        <w:rPr/>
        <w:t>西安市文物保护考古研究院高新区二次创业区经三十四路（纬三十二路-纬二十路）市政道路工程考古发掘委托第三方技术服务,按照国家文物局颁布的《田野考古操作规程》及相关法律法规进行发掘。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w:t>
      </w:r>
    </w:p>
    <w:p>
      <w:pPr>
        <w:pStyle w:val="null3"/>
      </w:pPr>
      <w:r>
        <w:rPr/>
        <w:t>2、考古发掘资质证书：供应商应具有中华人民共和国考古发掘资质证书。</w:t>
      </w:r>
    </w:p>
    <w:p>
      <w:pPr>
        <w:pStyle w:val="null3"/>
      </w:pPr>
      <w:r>
        <w:rPr/>
        <w:t>3、项目负责人要求：项目负责人应具有国家文物局颁发的考古发掘领队资格证或考古发掘项目负责人资质证书。</w:t>
      </w:r>
    </w:p>
    <w:p>
      <w:pPr>
        <w:pStyle w:val="null3"/>
      </w:pPr>
      <w:r>
        <w:rPr/>
        <w:t>4、不接受联合体相关要求：本项目不接受联合体投标。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029-85251916</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杨艳、李毓菲、单博</w:t>
      </w:r>
    </w:p>
    <w:p>
      <w:pPr>
        <w:pStyle w:val="null3"/>
      </w:pPr>
      <w:r>
        <w:rPr/>
        <w:t xml:space="preserve"> 联系电话： </w:t>
      </w:r>
      <w:r>
        <w:rPr/>
        <w:t>029-88364979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采购包1：1,796,341.90元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西安市文物保护考古研究院高新区二次创业区经三十四路（纬三十二路-纬二十路）市政道路工程考古发掘委托第三方技术服务,按照国家文物局颁布的《田野考古操作规程》及相关法律法规进行发掘。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1,796,341.90</w:t>
      </w:r>
    </w:p>
    <w:p>
      <w:pPr>
        <w:pStyle w:val="null3"/>
      </w:pPr>
      <w:r>
        <w:rPr/>
        <w:t>采购包最高限价（元）: 1,796,341.90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高新区二次创业区经三十四路（纬三十二路-纬二十路）市政道路工程考古发掘委托第三方技术服务</w:t>
            </w:r>
          </w:p>
        </w:tc>
        <w:tc>
          <w:tcPr>
            <w:tcW w:type="dxa" w:w="831"/>
          </w:tcPr>
          <w:p>
            <w:pPr>
              <w:pStyle w:val="null3"/>
              <w:jc w:val="right"/>
            </w:pPr>
            <w:r>
              <w:rPr/>
              <w:t>1.00</w:t>
            </w:r>
          </w:p>
        </w:tc>
        <w:tc>
          <w:tcPr>
            <w:tcW w:type="dxa" w:w="831"/>
          </w:tcPr>
          <w:p>
            <w:pPr>
              <w:pStyle w:val="null3"/>
              <w:jc w:val="right"/>
            </w:pPr>
            <w:r>
              <w:rPr/>
              <w:t>1,796,341.90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标的名称：高新区二次创业区经三十四路（纬三十二路-纬二十路）市政道路工程考古发掘委托第三方技术服务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ind w:firstLine="422"/>
              <w:jc w:val="both"/>
            </w:pPr>
            <w:r>
              <w:rPr>
                <w:rFonts w:ascii="calibri" w:hAnsi="calibri" w:cs="calibri" w:eastAsia="calibri"/>
                <w:sz w:val="21"/>
              </w:rPr>
              <w:t>1、按照国家文物局颁布的《田野考古操作规程》及相关法律法规进行发掘。</w:t>
            </w:r>
          </w:p>
          <w:p>
            <w:pPr>
              <w:pStyle w:val="null3"/>
            </w:pPr>
            <w:r>
              <w:rPr>
                <w:rFonts w:ascii="calibri" w:hAnsi="calibri" w:cs="calibri" w:eastAsia="calibri"/>
                <w:sz w:val="21"/>
              </w:rPr>
              <w:t xml:space="preserve">   2、发掘工作：</w:t>
            </w:r>
          </w:p>
          <w:p>
            <w:pPr>
              <w:pStyle w:val="null3"/>
            </w:pPr>
            <w:r>
              <w:rPr>
                <w:rFonts w:ascii="calibri" w:hAnsi="calibri" w:cs="calibri" w:eastAsia="calibri"/>
                <w:sz w:val="21"/>
              </w:rPr>
              <w:t>1)古遗址（建筑基址、古道路、古沟渠、古窑址、灰坑、古井等）类：采用布置探方/探沟作业方法。布置探方/探沟规格视现场情况而定。</w:t>
            </w:r>
          </w:p>
          <w:p>
            <w:pPr>
              <w:pStyle w:val="null3"/>
            </w:pPr>
            <w:r>
              <w:rPr>
                <w:rFonts w:ascii="calibri" w:hAnsi="calibri" w:cs="calibri" w:eastAsia="calibri"/>
                <w:sz w:val="21"/>
              </w:rPr>
              <w:t>2）墓葬类：从上至下人工开挖，先发掘墓道后发掘墓室。墓室采取大揭顶厚，逐层下挖清理。以上发掘内容均需挖至生土层。</w:t>
            </w:r>
          </w:p>
          <w:p>
            <w:pPr>
              <w:pStyle w:val="null3"/>
            </w:pPr>
            <w:r>
              <w:rPr>
                <w:rFonts w:ascii="calibri" w:hAnsi="calibri" w:cs="calibri" w:eastAsia="calibri"/>
                <w:sz w:val="21"/>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pPr>
            <w:r>
              <w:rPr>
                <w:rFonts w:ascii="calibri" w:hAnsi="calibri" w:cs="calibri" w:eastAsia="calibri"/>
                <w:sz w:val="21"/>
              </w:rPr>
              <w:t>4）发掘资料拾取：资料拾取过程中应由考古领队、技术工人全程参与，指定专人对发掘物资、出土文物和记录资料应及时清点、核实并移交至招标人。</w:t>
            </w:r>
          </w:p>
          <w:p>
            <w:pPr>
              <w:pStyle w:val="null3"/>
            </w:pPr>
            <w:r>
              <w:rPr>
                <w:rFonts w:ascii="calibri" w:hAnsi="calibri" w:cs="calibri" w:eastAsia="calibri"/>
                <w:sz w:val="21"/>
              </w:rPr>
              <w:t>3、发掘资料整理</w:t>
            </w:r>
          </w:p>
          <w:p>
            <w:pPr>
              <w:pStyle w:val="null3"/>
            </w:pPr>
            <w:r>
              <w:rPr>
                <w:rFonts w:ascii="calibri" w:hAnsi="calibri" w:cs="calibri" w:eastAsia="calibri"/>
                <w:sz w:val="21"/>
              </w:rPr>
              <w:t>1）按照规定的技术要求对考古资料进行整理并建立资料库。</w:t>
            </w:r>
          </w:p>
          <w:p>
            <w:pPr>
              <w:pStyle w:val="null3"/>
            </w:pPr>
            <w:r>
              <w:rPr>
                <w:rFonts w:ascii="calibri" w:hAnsi="calibri" w:cs="calibri" w:eastAsia="calibri"/>
                <w:sz w:val="21"/>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pPr>
            <w:r>
              <w:rPr>
                <w:rFonts w:ascii="calibri" w:hAnsi="calibri" w:cs="calibri" w:eastAsia="calibri"/>
                <w:sz w:val="21"/>
              </w:rPr>
              <w:t>3）建立资料库与电子数据库：按照遗迹单位统一汇总所有田野发掘记录和资料整理记录，形成完整的资料档案；电子数据库基于田野工作的各项文字、影像和测绘记录，符合数据库的要求。</w:t>
            </w:r>
          </w:p>
          <w:p>
            <w:pPr>
              <w:pStyle w:val="null3"/>
            </w:pPr>
            <w:r>
              <w:rPr>
                <w:rFonts w:ascii="calibri" w:hAnsi="calibri" w:cs="calibri" w:eastAsia="calibri"/>
                <w:sz w:val="21"/>
              </w:rPr>
              <w:t>4、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pPr>
            <w:r>
              <w:rPr>
                <w:rFonts w:ascii="calibri" w:hAnsi="calibri" w:cs="calibri" w:eastAsia="calibri"/>
                <w:sz w:val="21"/>
              </w:rPr>
              <w:t>5、采购内容：考古田野发掘，具体的墓葬信息详见“附件 分项报价表”的内容。</w:t>
            </w:r>
          </w:p>
          <w:p>
            <w:pPr>
              <w:pStyle w:val="null3"/>
            </w:pPr>
            <w:r>
              <w:rPr>
                <w:rFonts w:ascii="calibri" w:hAnsi="calibri" w:cs="calibri" w:eastAsia="calibri"/>
                <w:sz w:val="21"/>
              </w:rPr>
              <w:t>6、采购预算及限价：</w:t>
            </w:r>
          </w:p>
          <w:p>
            <w:pPr>
              <w:pStyle w:val="null3"/>
            </w:pPr>
            <w:r>
              <w:rPr>
                <w:rFonts w:ascii="calibri" w:hAnsi="calibri" w:cs="calibri" w:eastAsia="calibri"/>
                <w:sz w:val="21"/>
              </w:rPr>
              <w:t>6.1项目采购预算：1796341.90元</w:t>
            </w:r>
          </w:p>
          <w:p>
            <w:pPr>
              <w:pStyle w:val="null3"/>
            </w:pPr>
            <w:r>
              <w:rPr>
                <w:rFonts w:ascii="calibri" w:hAnsi="calibri" w:cs="calibri" w:eastAsia="calibri"/>
                <w:sz w:val="21"/>
              </w:rPr>
              <w:t>6.2本项目发掘费单价限价：498.56元/㎡。</w:t>
            </w:r>
          </w:p>
          <w:p>
            <w:pPr>
              <w:pStyle w:val="null3"/>
            </w:pPr>
            <w:r>
              <w:rPr>
                <w:rFonts w:ascii="calibri" w:hAnsi="calibri" w:cs="calibri" w:eastAsia="calibri"/>
                <w:sz w:val="21"/>
              </w:rPr>
              <w:t>6.3深度超过2米的按国家文物局【90】文物字第248号文件规定的每增加0.5米预算相应递增15%的调整系数进行预算。发掘对象为大中型墓葬或其他特殊遗迹时，总预算按照200%计算。</w:t>
            </w:r>
          </w:p>
          <w:p>
            <w:pPr>
              <w:pStyle w:val="null3"/>
            </w:pPr>
            <w:r>
              <w:rPr>
                <w:rFonts w:ascii="calibri" w:hAnsi="calibri" w:cs="calibri" w:eastAsia="calibri"/>
                <w:sz w:val="21"/>
              </w:rPr>
              <w:t>6.4投标人投标报价的单价超过限价，或者投标总报价超出采购预算，作为不实质性响应招标文件处理。</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达到服务要求所必须的人员</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田野发掘结束，经验收合格，并提交该项目考古发掘工作报告后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考古发掘资质证书</w:t>
            </w:r>
          </w:p>
        </w:tc>
        <w:tc>
          <w:tcPr>
            <w:tcW w:type="dxa" w:w="3322"/>
          </w:tcPr>
          <w:p>
            <w:pPr>
              <w:pStyle w:val="null3"/>
            </w:pPr>
            <w:r>
              <w:rPr/>
              <w:t>供应商应具有中华人民共和国考古发掘资质证书。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不接受联合体相关要求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供应商参加政府采购活动承诺书 报价表 陕西省政府采购供货商拒绝政府采购领域商业贿赂承诺书</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服务期是否满足磋商文件要求</w:t>
            </w:r>
          </w:p>
        </w:tc>
        <w:tc>
          <w:tcPr>
            <w:tcW w:type="dxa" w:w="1661"/>
          </w:tcPr>
          <w:p>
            <w:pPr>
              <w:pStyle w:val="null3"/>
            </w:pPr>
            <w:r>
              <w:rPr/>
              <w:t>商务要求偏离表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付款方式是否响应磋商文件的要求</w:t>
            </w:r>
          </w:p>
        </w:tc>
        <w:tc>
          <w:tcPr>
            <w:tcW w:type="dxa" w:w="1661"/>
          </w:tcPr>
          <w:p>
            <w:pPr>
              <w:pStyle w:val="null3"/>
            </w:pPr>
            <w:r>
              <w:rPr/>
              <w:t>商务要求偏离表 分项报价表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报价未超出采购预算及最高限价或单价限价</w:t>
            </w:r>
          </w:p>
        </w:tc>
        <w:tc>
          <w:tcPr>
            <w:tcW w:type="dxa" w:w="1661"/>
          </w:tcPr>
          <w:p>
            <w:pPr>
              <w:pStyle w:val="null3"/>
            </w:pPr>
            <w:r>
              <w:rPr/>
              <w:t>分项报价表 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技术部分2</w:t>
            </w:r>
          </w:p>
        </w:tc>
        <w:tc>
          <w:tcPr>
            <w:tcW w:type="dxa" w:w="2492"/>
          </w:tcPr>
          <w:p>
            <w:pPr>
              <w:pStyle w:val="null3"/>
            </w:pPr>
            <w:r>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技术部分3</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技术部分4</w:t>
            </w:r>
          </w:p>
        </w:tc>
        <w:tc>
          <w:tcPr>
            <w:tcW w:type="dxa" w:w="2492"/>
          </w:tcPr>
          <w:p>
            <w:pPr>
              <w:pStyle w:val="null3"/>
            </w:pPr>
            <w:r>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项目业绩一览表</w:t>
            </w:r>
          </w:p>
        </w:tc>
      </w:tr>
      <w:tr>
        <w:tc>
          <w:tcPr>
            <w:tcW w:type="dxa" w:w="831"/>
            <w:vMerge/>
          </w:tcPr>
          <w:p/>
        </w:tc>
        <w:tc>
          <w:tcPr>
            <w:tcW w:type="dxa" w:w="1661"/>
          </w:tcPr>
          <w:p>
            <w:pPr>
              <w:pStyle w:val="null3"/>
            </w:pPr>
            <w:r>
              <w:rPr/>
              <w:t>技术部分5</w:t>
            </w:r>
          </w:p>
        </w:tc>
        <w:tc>
          <w:tcPr>
            <w:tcW w:type="dxa" w:w="2492"/>
          </w:tcPr>
          <w:p>
            <w:pPr>
              <w:pStyle w:val="null3"/>
            </w:pPr>
            <w:r>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技术部分6</w:t>
            </w:r>
          </w:p>
        </w:tc>
        <w:tc>
          <w:tcPr>
            <w:tcW w:type="dxa" w:w="2492"/>
          </w:tcPr>
          <w:p>
            <w:pPr>
              <w:pStyle w:val="null3"/>
            </w:pPr>
            <w:r>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技术部分7</w:t>
            </w:r>
          </w:p>
        </w:tc>
        <w:tc>
          <w:tcPr>
            <w:tcW w:type="dxa" w:w="2492"/>
          </w:tcPr>
          <w:p>
            <w:pPr>
              <w:pStyle w:val="null3"/>
            </w:pPr>
            <w:r>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服务部分1</w:t>
            </w:r>
          </w:p>
        </w:tc>
        <w:tc>
          <w:tcPr>
            <w:tcW w:type="dxa" w:w="2492"/>
          </w:tcPr>
          <w:p>
            <w:pPr>
              <w:pStyle w:val="null3"/>
            </w:pPr>
            <w:r>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服务部分2</w:t>
            </w:r>
          </w:p>
        </w:tc>
        <w:tc>
          <w:tcPr>
            <w:tcW w:type="dxa" w:w="2492"/>
          </w:tcPr>
          <w:p>
            <w:pPr>
              <w:pStyle w:val="null3"/>
            </w:pPr>
            <w:r>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服务部分3</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服务部分4</w:t>
            </w:r>
          </w:p>
        </w:tc>
        <w:tc>
          <w:tcPr>
            <w:tcW w:type="dxa" w:w="2492"/>
          </w:tcPr>
          <w:p>
            <w:pPr>
              <w:pStyle w:val="null3"/>
            </w:pPr>
            <w:r>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服务部分5</w:t>
            </w:r>
          </w:p>
        </w:tc>
        <w:tc>
          <w:tcPr>
            <w:tcW w:type="dxa" w:w="2492"/>
          </w:tcPr>
          <w:p>
            <w:pPr>
              <w:pStyle w:val="null3"/>
            </w:pPr>
            <w:r>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人员配备2</w:t>
            </w:r>
          </w:p>
        </w:tc>
        <w:tc>
          <w:tcPr>
            <w:tcW w:type="dxa" w:w="2492"/>
          </w:tcPr>
          <w:p>
            <w:pPr>
              <w:pStyle w:val="null3"/>
            </w:pPr>
            <w:r>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满足磋商文件要求的最低投标总报价为评审基准价，其他投标人的价格分按照下列公式计算：投标报价得分=(评标基准价／投标总报价)×20 符合磋商文件规定的小微企业、监狱企业等优惠条件的供应商，价格给予10%的扣除，用扣除后的价格参与评审。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详见附件：磋商报价表</w:t>
      </w:r>
    </w:p>
    <w:p>
      <w:pPr>
        <w:pStyle w:val="null3"/>
        <w:ind w:firstLine="960"/>
      </w:pPr>
      <w:r>
        <w:rPr/>
        <w:t>详见附件：分项报价表</w:t>
      </w:r>
    </w:p>
    <w:p>
      <w:pPr>
        <w:pStyle w:val="null3"/>
        <w:ind w:firstLine="960"/>
      </w:pPr>
      <w:r>
        <w:rPr/>
        <w:t>详见附件：商务要求偏离表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详见附件：项目业绩一览表</w:t>
      </w:r>
    </w:p>
    <w:p>
      <w:pPr>
        <w:pStyle w:val="null3"/>
        <w:ind w:firstLine="960"/>
      </w:pPr>
      <w:r>
        <w:rPr/>
        <w:t>详见附件：资格证明文件</w:t>
      </w:r>
    </w:p>
    <w:p>
      <w:pPr>
        <w:pStyle w:val="null3"/>
        <w:ind w:firstLine="960"/>
      </w:pPr>
      <w:r>
        <w:rPr/>
        <w:t>详见附件：供应商参加政府采购活动承诺书</w:t>
      </w:r>
    </w:p>
    <w:p>
      <w:pPr>
        <w:pStyle w:val="null3"/>
        <w:ind w:firstLine="960"/>
      </w:pPr>
      <w:r>
        <w:rPr/>
        <w:t>详见附件：陕西省政府采购供货商拒绝政府采购领域商业贿赂承诺书</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