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2025年承储未央区区级应急成品储备粮(二次)</w:t>
      </w:r>
    </w:p>
    <w:p>
      <w:pPr>
        <w:pStyle w:val="null3"/>
        <w:jc w:val="center"/>
        <w:outlineLvl w:val="2"/>
      </w:pPr>
      <w:r>
        <w:rPr>
          <w:sz w:val="28"/>
          <w:b/>
        </w:rPr>
        <w:t>采购项目编号：</w:t>
      </w:r>
      <w:r>
        <w:rPr>
          <w:sz w:val="28"/>
          <w:b/>
        </w:rPr>
        <w:t>SZT2024-SN-QC-ZC-FW-1293.1B1</w:t>
      </w:r>
      <w:r>
        <w:br/>
      </w:r>
      <w:r>
        <w:br/>
      </w:r>
      <w:r>
        <w:br/>
      </w:r>
    </w:p>
    <w:p>
      <w:pPr>
        <w:pStyle w:val="null3"/>
        <w:jc w:val="center"/>
        <w:outlineLvl w:val="2"/>
      </w:pPr>
      <w:r>
        <w:rPr>
          <w:sz w:val="28"/>
          <w:b/>
        </w:rPr>
        <w:t>西安市未央区发展和改革委员会</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西安市未央区发展和改革委员会</w:t>
      </w:r>
      <w:r>
        <w:rPr/>
        <w:t>委托，拟对</w:t>
      </w:r>
      <w:r>
        <w:rPr/>
        <w:t>2025年承储未央区区级应急成品储备粮(二次)</w:t>
      </w:r>
      <w:r>
        <w:rPr/>
        <w:t>采用竞争性磋商采购方式进行采购，兹邀请供应商参加本项目的竞争性磋商。</w:t>
      </w:r>
    </w:p>
    <w:p>
      <w:pPr>
        <w:pStyle w:val="null3"/>
        <w:outlineLvl w:val="2"/>
      </w:pPr>
      <w:r>
        <w:rPr>
          <w:sz w:val="28"/>
          <w:b/>
        </w:rPr>
        <w:t>一、项目编号：</w:t>
      </w:r>
      <w:r>
        <w:rPr>
          <w:sz w:val="28"/>
          <w:b/>
        </w:rPr>
        <w:t>SZT2024-SN-QC-ZC-FW-1293.1B1</w:t>
      </w:r>
    </w:p>
    <w:p>
      <w:pPr>
        <w:pStyle w:val="null3"/>
        <w:outlineLvl w:val="2"/>
      </w:pPr>
      <w:r>
        <w:rPr>
          <w:sz w:val="28"/>
          <w:b/>
        </w:rPr>
        <w:t>二、项目名称：</w:t>
      </w:r>
      <w:r>
        <w:rPr>
          <w:sz w:val="28"/>
          <w:b/>
        </w:rPr>
        <w:t>2025年承储未央区区级应急成品储备粮(二次)</w:t>
      </w:r>
    </w:p>
    <w:p>
      <w:pPr>
        <w:pStyle w:val="null3"/>
        <w:outlineLvl w:val="2"/>
      </w:pPr>
      <w:r>
        <w:rPr>
          <w:sz w:val="28"/>
          <w:b/>
        </w:rPr>
        <w:t>三、磋商项目简介</w:t>
      </w:r>
    </w:p>
    <w:p>
      <w:pPr>
        <w:pStyle w:val="null3"/>
        <w:ind w:firstLine="480"/>
      </w:pPr>
      <w:r>
        <w:rPr/>
        <w:t>为了保障区级粮食应急供应，维护市场稳定，完成未央区成品储备粮承储任务。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采购包1（面粉）：属于专门面向中小企业采购。</w:t>
      </w:r>
    </w:p>
    <w:p>
      <w:pPr>
        <w:pStyle w:val="null3"/>
        <w:ind w:firstLine="480"/>
      </w:pPr>
      <w:r>
        <w:rPr/>
        <w:t>（三）本项目的特定资格要求：</w:t>
      </w:r>
    </w:p>
    <w:p>
      <w:pPr>
        <w:pStyle w:val="null3"/>
      </w:pPr>
      <w:r>
        <w:rPr/>
        <w:t>采购包1：</w:t>
      </w:r>
    </w:p>
    <w:p>
      <w:pPr>
        <w:pStyle w:val="null3"/>
      </w:pPr>
      <w:r>
        <w:rPr/>
        <w:t>1、法人身份证明或被授权人身份证：法定代表人直接参加的，须出示身份证；法定代表人授权他人参加的，须提供法定代表人授权委托 书、被授权人身份证。供应商需在项目电子化交易系统中按要求上传相应证明文件并进行电子签章 。</w:t>
      </w:r>
    </w:p>
    <w:p>
      <w:pPr>
        <w:pStyle w:val="null3"/>
      </w:pPr>
      <w:r>
        <w:rPr/>
        <w:t>2、本项目专门面向中小企业采购：本项目专门面向中小企业采购，仅限符合《政府采购促进中小企业发展办法》（财库〔2020〕46 号）条件的中小企业参与，供应商应填写中小企业声明函并对真实性负责。供应商需在项目电子化 交易系统中按要求上传相应证明文件并进行电子签章。</w:t>
      </w:r>
    </w:p>
    <w:p>
      <w:pPr>
        <w:pStyle w:val="null3"/>
      </w:pPr>
      <w:r>
        <w:rPr/>
        <w:t>3、本项目不接受联合体磋商：本项目不接受联合体磋商。供应商需在项目电子化交易系统中按要求上传相应证明文件并进行电子 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西安市未央区发展和改革委员会</w:t>
      </w:r>
    </w:p>
    <w:p>
      <w:pPr>
        <w:pStyle w:val="null3"/>
      </w:pPr>
      <w:r>
        <w:rPr/>
        <w:t xml:space="preserve"> 地址： </w:t>
      </w:r>
      <w:r>
        <w:rPr/>
        <w:t>未央路未央大厦B座12层</w:t>
      </w:r>
    </w:p>
    <w:p>
      <w:pPr>
        <w:pStyle w:val="null3"/>
      </w:pPr>
      <w:r>
        <w:rPr/>
        <w:t xml:space="preserve"> 邮编： </w:t>
      </w:r>
      <w:r>
        <w:rPr/>
        <w:t>710003</w:t>
      </w:r>
    </w:p>
    <w:p>
      <w:pPr>
        <w:pStyle w:val="null3"/>
      </w:pPr>
      <w:r>
        <w:rPr/>
        <w:t xml:space="preserve"> 联系人： </w:t>
      </w:r>
      <w:r>
        <w:rPr/>
        <w:t>西安市未央区发展和改革委员会粮储科</w:t>
      </w:r>
    </w:p>
    <w:p>
      <w:pPr>
        <w:pStyle w:val="null3"/>
      </w:pPr>
      <w:r>
        <w:rPr/>
        <w:t xml:space="preserve"> 联系电话： </w:t>
      </w:r>
      <w:r>
        <w:rPr/>
        <w:t>029-81611782</w:t>
      </w:r>
    </w:p>
    <w:p>
      <w:pPr>
        <w:pStyle w:val="null3"/>
        <w:outlineLvl w:val="3"/>
      </w:pPr>
      <w:r>
        <w:rPr>
          <w:sz w:val="24"/>
          <w:b/>
        </w:rPr>
        <w:t>代理机构：</w:t>
      </w:r>
      <w:r>
        <w:rPr>
          <w:sz w:val="24"/>
          <w:b/>
        </w:rPr>
        <w:t>陕西中技招标有限公司</w:t>
      </w:r>
    </w:p>
    <w:p>
      <w:pPr>
        <w:pStyle w:val="null3"/>
      </w:pPr>
      <w:r>
        <w:rPr/>
        <w:t xml:space="preserve"> 地址： </w:t>
      </w:r>
      <w:r>
        <w:rPr/>
        <w:t>莲湖区高新四路高科广场A座1001室</w:t>
      </w:r>
    </w:p>
    <w:p>
      <w:pPr>
        <w:pStyle w:val="null3"/>
      </w:pPr>
      <w:r>
        <w:rPr/>
        <w:t xml:space="preserve"> 邮编： </w:t>
      </w:r>
      <w:r>
        <w:rPr/>
        <w:t>710075</w:t>
      </w:r>
    </w:p>
    <w:p>
      <w:pPr>
        <w:pStyle w:val="null3"/>
      </w:pPr>
      <w:r>
        <w:rPr/>
        <w:t xml:space="preserve"> 联系人： </w:t>
      </w:r>
      <w:r>
        <w:rPr/>
        <w:t>董鹏辉、刘媛</w:t>
      </w:r>
    </w:p>
    <w:p>
      <w:pPr>
        <w:pStyle w:val="null3"/>
      </w:pPr>
      <w:r>
        <w:rPr/>
        <w:t xml:space="preserve"> 联系电话： </w:t>
      </w:r>
      <w:r>
        <w:rPr/>
        <w:t>029-88364979-877</w:t>
      </w:r>
    </w:p>
    <w:p>
      <w:pPr>
        <w:pStyle w:val="null3"/>
        <w:outlineLvl w:val="3"/>
      </w:pPr>
      <w:r>
        <w:rPr>
          <w:sz w:val="24"/>
          <w:b/>
        </w:rPr>
        <w:t>采购监督机构：</w:t>
      </w:r>
      <w:r>
        <w:rPr>
          <w:sz w:val="24"/>
          <w:b/>
        </w:rPr>
        <w:t>西安市未央区政府采购管理股</w:t>
      </w:r>
    </w:p>
    <w:p>
      <w:pPr>
        <w:pStyle w:val="null3"/>
        <w:ind w:firstLine="480"/>
      </w:pPr>
      <w:r>
        <w:rPr/>
        <w:t>联系人：</w:t>
      </w:r>
      <w:r>
        <w:rPr/>
        <w:t>西安市未央区财政局政府采购管理科</w:t>
      </w:r>
    </w:p>
    <w:p>
      <w:pPr>
        <w:pStyle w:val="null3"/>
        <w:ind w:firstLine="480"/>
      </w:pPr>
      <w:r>
        <w:rPr/>
        <w:t>联系电话：</w:t>
      </w:r>
      <w:r>
        <w:rPr/>
        <w:t>029-86276259</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采购包1：269,000.00元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收取按照国家计委颁布的《招标代理服务收费管理暂行办法》（计价格[2002]1980号）和（发改办价格[2003]857号）收费标准计取。 收款单位：陕西中技招标有限公司、开户银行：招商银行西安分行营业部、银行账号：129916812810001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西安市未央区发展和改革委员会</w:t>
      </w:r>
      <w:r>
        <w:rPr/>
        <w:t>和</w:t>
      </w:r>
      <w:r>
        <w:rPr/>
        <w:t>陕西中技招标有限公司</w:t>
      </w:r>
      <w:r>
        <w:rPr/>
        <w:t>享有。对磋商文件中供应商参加本次政府采购活动应当具备的条件，磋商项目技术、服务、商务及其他要求，评审细则及标准由</w:t>
      </w:r>
      <w:r>
        <w:rPr/>
        <w:t>西安市未央区发展和改革委员会</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西安市未央区发展和改革委员会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无</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联系人：戴经理</w:t>
      </w:r>
    </w:p>
    <w:p>
      <w:pPr>
        <w:pStyle w:val="null3"/>
      </w:pPr>
      <w:r>
        <w:rPr/>
        <w:t>联系电话：029-88364979-829</w:t>
      </w:r>
    </w:p>
    <w:p>
      <w:pPr>
        <w:pStyle w:val="null3"/>
      </w:pPr>
      <w:r>
        <w:rPr/>
        <w:t>地址：莲湖区高新区四路高科广场A座1001室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为了保障区级粮食应急供应，维护市场稳定，完成未央区成品储备粮承储任务。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269,000.00</w:t>
      </w:r>
    </w:p>
    <w:p>
      <w:pPr>
        <w:pStyle w:val="null3"/>
      </w:pPr>
      <w:r>
        <w:rPr/>
        <w:t>采购包最高限价（元）: 269,000.00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面粉</w:t>
            </w:r>
          </w:p>
        </w:tc>
        <w:tc>
          <w:tcPr>
            <w:tcW w:type="dxa" w:w="831"/>
          </w:tcPr>
          <w:p>
            <w:pPr>
              <w:pStyle w:val="null3"/>
              <w:jc w:val="right"/>
            </w:pPr>
            <w:r>
              <w:rPr/>
              <w:t>1.00</w:t>
            </w:r>
          </w:p>
        </w:tc>
        <w:tc>
          <w:tcPr>
            <w:tcW w:type="dxa" w:w="831"/>
          </w:tcPr>
          <w:p>
            <w:pPr>
              <w:pStyle w:val="null3"/>
              <w:jc w:val="right"/>
            </w:pPr>
            <w:r>
              <w:rPr/>
              <w:t>269,000.00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8"/>
              </w:rPr>
              <w:t>一．项目概况</w:t>
            </w:r>
          </w:p>
          <w:p>
            <w:pPr>
              <w:pStyle w:val="null3"/>
              <w:ind w:firstLine="560"/>
              <w:jc w:val="both"/>
            </w:pPr>
            <w:r>
              <w:rPr>
                <w:rFonts w:ascii="宋体" w:hAnsi="宋体" w:cs="宋体" w:eastAsia="宋体"/>
                <w:sz w:val="28"/>
              </w:rPr>
              <w:t>为了保障区级粮食应急供应，维护市场稳定，完成未央区成品储备粮承储任务。</w:t>
            </w:r>
          </w:p>
          <w:p>
            <w:pPr>
              <w:pStyle w:val="null3"/>
              <w:jc w:val="both"/>
            </w:pPr>
            <w:r>
              <w:rPr>
                <w:rFonts w:ascii="宋体" w:hAnsi="宋体" w:cs="宋体" w:eastAsia="宋体"/>
                <w:sz w:val="28"/>
              </w:rPr>
              <w:t>1包：500吨面粉（辖区内储存）。</w:t>
            </w:r>
          </w:p>
          <w:p>
            <w:pPr>
              <w:pStyle w:val="null3"/>
              <w:jc w:val="both"/>
            </w:pPr>
            <w:r>
              <w:rPr>
                <w:rFonts w:ascii="宋体" w:hAnsi="宋体" w:cs="宋体" w:eastAsia="宋体"/>
                <w:sz w:val="28"/>
              </w:rPr>
              <w:t>二、</w:t>
            </w:r>
            <w:r>
              <w:rPr>
                <w:rFonts w:ascii="宋体" w:hAnsi="宋体" w:cs="宋体" w:eastAsia="宋体"/>
                <w:sz w:val="28"/>
              </w:rPr>
              <w:t>服务要求</w:t>
            </w:r>
          </w:p>
          <w:p>
            <w:pPr>
              <w:pStyle w:val="null3"/>
              <w:ind w:firstLine="560"/>
              <w:jc w:val="both"/>
            </w:pPr>
            <w:r>
              <w:rPr>
                <w:rFonts w:ascii="宋体" w:hAnsi="宋体" w:cs="宋体" w:eastAsia="宋体"/>
                <w:sz w:val="28"/>
              </w:rPr>
              <w:t>1.供应商应保证承储区级应急储备粮</w:t>
            </w:r>
            <w:r>
              <w:rPr>
                <w:rFonts w:ascii="宋体" w:hAnsi="宋体" w:cs="宋体" w:eastAsia="宋体"/>
                <w:sz w:val="28"/>
              </w:rPr>
              <w:t>符合</w:t>
            </w:r>
            <w:r>
              <w:rPr>
                <w:rFonts w:ascii="宋体" w:hAnsi="宋体" w:cs="宋体" w:eastAsia="宋体"/>
                <w:sz w:val="28"/>
              </w:rPr>
              <w:t>GB/T 1355-2021《小麦粉》中标准粉（含）以上标准要求</w:t>
            </w:r>
            <w:r>
              <w:rPr>
                <w:rFonts w:ascii="宋体" w:hAnsi="宋体" w:cs="宋体" w:eastAsia="宋体"/>
                <w:sz w:val="28"/>
              </w:rPr>
              <w:t>。</w:t>
            </w:r>
            <w:r>
              <w:rPr>
                <w:rFonts w:ascii="宋体" w:hAnsi="宋体" w:cs="宋体" w:eastAsia="宋体"/>
                <w:sz w:val="28"/>
              </w:rPr>
              <w:t>主要食品安全指标应当符合《食品安全国家标准粮食》（</w:t>
            </w:r>
            <w:r>
              <w:rPr>
                <w:rFonts w:ascii="宋体" w:hAnsi="宋体" w:cs="宋体" w:eastAsia="宋体"/>
                <w:sz w:val="28"/>
              </w:rPr>
              <w:t>GB 2715-2016）或《食品安全国家标准食用油》（GB 2716-2018）要求。</w:t>
            </w:r>
            <w:r>
              <w:rPr>
                <w:rFonts w:ascii="宋体" w:hAnsi="宋体" w:cs="宋体" w:eastAsia="宋体"/>
                <w:sz w:val="28"/>
              </w:rPr>
              <w:t>预包装的</w:t>
            </w:r>
            <w:r>
              <w:rPr>
                <w:rFonts w:ascii="宋体" w:hAnsi="宋体" w:cs="宋体" w:eastAsia="宋体"/>
                <w:sz w:val="28"/>
              </w:rPr>
              <w:t>区</w:t>
            </w:r>
            <w:r>
              <w:rPr>
                <w:rFonts w:ascii="宋体" w:hAnsi="宋体" w:cs="宋体" w:eastAsia="宋体"/>
                <w:sz w:val="28"/>
              </w:rPr>
              <w:t>级应急成品储备粮应符合保质期要求。</w:t>
            </w:r>
            <w:r>
              <w:rPr>
                <w:rFonts w:ascii="宋体" w:hAnsi="宋体" w:cs="宋体" w:eastAsia="宋体"/>
                <w:sz w:val="28"/>
              </w:rPr>
              <w:t>如以上国家标准修订调整，按照新标准执行。</w:t>
            </w:r>
          </w:p>
          <w:p>
            <w:pPr>
              <w:pStyle w:val="null3"/>
              <w:ind w:firstLine="480"/>
              <w:jc w:val="both"/>
            </w:pPr>
            <w:r>
              <w:rPr>
                <w:rFonts w:ascii="宋体" w:hAnsi="宋体" w:cs="宋体" w:eastAsia="宋体"/>
                <w:sz w:val="28"/>
              </w:rPr>
              <w:t>2.区级成品储备粮食包装规格为每袋25公斤及其以下，每包装单位规格和计量误差应当符合国家有关规定。且项目后期粮食外运时所产生的运输费用由供应商自行承担。</w:t>
            </w:r>
          </w:p>
          <w:p>
            <w:pPr>
              <w:pStyle w:val="null3"/>
              <w:ind w:firstLine="480"/>
            </w:pPr>
            <w:r>
              <w:rPr>
                <w:rFonts w:ascii="宋体" w:hAnsi="宋体" w:cs="宋体" w:eastAsia="宋体"/>
                <w:sz w:val="28"/>
              </w:rPr>
              <w:t>3.承储企业按照“保持规模、保证质量、先入</w:t>
            </w:r>
            <w:r>
              <w:rPr>
                <w:rFonts w:ascii="宋体" w:hAnsi="宋体" w:cs="宋体" w:eastAsia="宋体"/>
                <w:sz w:val="28"/>
              </w:rPr>
              <w:t>后</w:t>
            </w:r>
            <w:r>
              <w:rPr>
                <w:rFonts w:ascii="宋体" w:hAnsi="宋体" w:cs="宋体" w:eastAsia="宋体"/>
                <w:sz w:val="28"/>
              </w:rPr>
              <w:t>出、均衡有序</w:t>
            </w:r>
            <w:r>
              <w:rPr>
                <w:rFonts w:ascii="宋体" w:hAnsi="宋体" w:cs="宋体" w:eastAsia="宋体"/>
                <w:sz w:val="28"/>
              </w:rPr>
              <w:t>”的原则，在保质期内自主开展区级应急成品储备粮轮换工作。区级应急成品储备</w:t>
            </w:r>
            <w:r>
              <w:rPr>
                <w:rFonts w:ascii="宋体" w:hAnsi="宋体" w:cs="宋体" w:eastAsia="宋体"/>
                <w:sz w:val="28"/>
              </w:rPr>
              <w:t>面粉</w:t>
            </w:r>
            <w:r>
              <w:rPr>
                <w:rFonts w:ascii="宋体" w:hAnsi="宋体" w:cs="宋体" w:eastAsia="宋体"/>
                <w:sz w:val="28"/>
              </w:rPr>
              <w:t>，每年高温季节（</w:t>
            </w:r>
            <w:r>
              <w:rPr>
                <w:rFonts w:ascii="宋体" w:hAnsi="宋体" w:cs="宋体" w:eastAsia="宋体"/>
                <w:sz w:val="28"/>
              </w:rPr>
              <w:t>6月-8月）库存数量不低于承储计划数量的80%，其余月份库存数量任何时点须足额达到承储计划数量。</w:t>
            </w:r>
          </w:p>
          <w:p>
            <w:pPr>
              <w:pStyle w:val="null3"/>
              <w:ind w:firstLine="480"/>
            </w:pPr>
            <w:r>
              <w:rPr>
                <w:rFonts w:ascii="宋体" w:hAnsi="宋体" w:cs="宋体" w:eastAsia="宋体"/>
                <w:sz w:val="28"/>
              </w:rPr>
              <w:t>4.承储企业需按照省、市、区对于粮食购销领域监管信息化建设的要求，报送建设方案，按时完成建设任务，实现与省级平台互联互通，并保障系统日常运转正常。</w:t>
            </w:r>
          </w:p>
          <w:p>
            <w:pPr>
              <w:pStyle w:val="null3"/>
              <w:ind w:firstLine="480"/>
            </w:pPr>
            <w:r>
              <w:rPr>
                <w:rFonts w:ascii="宋体" w:hAnsi="宋体" w:cs="宋体" w:eastAsia="宋体"/>
                <w:sz w:val="28"/>
              </w:rPr>
              <w:t>5.承储企业应建立健全区级应急成品储备粮出入库、质量、储存、检化验和防虫、防火、防盗、防汛等安全管理制度，并配备必要安全防护措施。</w:t>
            </w:r>
          </w:p>
          <w:p>
            <w:pPr>
              <w:pStyle w:val="null3"/>
              <w:ind w:firstLine="480"/>
            </w:pPr>
            <w:r>
              <w:rPr>
                <w:rFonts w:ascii="宋体" w:hAnsi="宋体" w:cs="宋体" w:eastAsia="宋体"/>
                <w:sz w:val="28"/>
              </w:rPr>
              <w:t>6.区级应急成品储备粮储存仓房应符合国家《粮油储藏技术规范》对粮仓的要求，并取得区级成品储备粮承储资格。</w:t>
            </w:r>
          </w:p>
          <w:p>
            <w:pPr>
              <w:pStyle w:val="null3"/>
              <w:ind w:firstLine="480"/>
            </w:pPr>
            <w:r>
              <w:rPr>
                <w:rFonts w:ascii="宋体" w:hAnsi="宋体" w:cs="宋体" w:eastAsia="宋体"/>
                <w:sz w:val="28"/>
              </w:rPr>
              <w:t>7.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经区发展和改革委员会（区粮食和物资储备局）同意。</w:t>
            </w:r>
          </w:p>
          <w:p>
            <w:pPr>
              <w:pStyle w:val="null3"/>
              <w:ind w:firstLine="480"/>
            </w:pPr>
            <w:r>
              <w:rPr>
                <w:rFonts w:ascii="宋体" w:hAnsi="宋体" w:cs="宋体" w:eastAsia="宋体"/>
                <w:sz w:val="28"/>
              </w:rPr>
              <w:t>8.区级应急成品储备粮仓房应悬挂或标示专用标志，在显著位置应悬挂“区级应急成品储备粮储存品质检验记录卡”、“区级储备粮仓单”、“区级储备粮管理责任卡”，分仓号、垛位存放的区级应急成品储备粮必须悬挂“区级成品储备粮”仓垛卡。</w:t>
            </w:r>
          </w:p>
          <w:p>
            <w:pPr>
              <w:pStyle w:val="null3"/>
              <w:ind w:firstLine="480"/>
            </w:pPr>
            <w:r>
              <w:rPr>
                <w:rFonts w:ascii="宋体" w:hAnsi="宋体" w:cs="宋体" w:eastAsia="宋体"/>
                <w:sz w:val="28"/>
              </w:rPr>
              <w:t>9.区级应急成品储备粮实行专人、专账管理。承储企业应当安排具有（粮）仓储管理员职业资格的人员从事区级应急成品储备粮保管工作，按照成品粮储藏有关要求，定期进行检查，分析粮情，做好检测记录，发现问题及时处理。必须按照有关统计、财务、保管制度的要求，建立健全管理账簿、台账，并定期进行核查，做到账目齐全、装订规范、内容真实、账账相符、账实相符。</w:t>
            </w:r>
          </w:p>
          <w:p>
            <w:pPr>
              <w:pStyle w:val="null3"/>
              <w:ind w:firstLine="480"/>
            </w:pPr>
            <w:r>
              <w:rPr>
                <w:rFonts w:ascii="宋体" w:hAnsi="宋体" w:cs="宋体" w:eastAsia="宋体"/>
                <w:sz w:val="28"/>
              </w:rPr>
              <w:t>10.承储企业应当建立完善的成品粮质量检验制度，配备必要的检验仪器设备和具有农产品食品检验员职业资格的人员，定期对应急成品储备粮的质量、主要食品安全指标按照国家标准进行检验，对应急成品储备粮的粮情安全状况、存放地点卫生状况进行定期检查。区发展和改革委员会（区粮食和物资储备局）委托第三方检测机构对储存的区级应急成品储备粮质量进行定期检验。</w:t>
            </w:r>
          </w:p>
          <w:p>
            <w:pPr>
              <w:pStyle w:val="null3"/>
              <w:ind w:firstLine="480"/>
            </w:pPr>
            <w:r>
              <w:rPr>
                <w:rFonts w:ascii="宋体" w:hAnsi="宋体" w:cs="宋体" w:eastAsia="宋体"/>
                <w:sz w:val="28"/>
              </w:rPr>
              <w:t>11.承储企业必须以《国家粮食流通统计制度》规定的方式和时间向区发展和改革委员会（区粮食和物资储备局）报送区级应急成品储备粮的有关统计报表，同时将区级应急成品储备粮储存、轮换等情况报送区发展和改革委员会（区粮食和物资储备局）。</w:t>
            </w:r>
          </w:p>
          <w:p>
            <w:pPr>
              <w:pStyle w:val="null3"/>
              <w:ind w:firstLine="480"/>
            </w:pPr>
            <w:r>
              <w:rPr>
                <w:rFonts w:ascii="宋体" w:hAnsi="宋体" w:cs="宋体" w:eastAsia="宋体"/>
                <w:sz w:val="28"/>
              </w:rPr>
              <w:t>12.在应对突发事件时，承储企业必须执行区粮食行政管理部门指令，服从政府粮食宏观调控措施或应急措施。必要时，区粮食行政管理部门根据《西安市</w:t>
            </w:r>
            <w:r>
              <w:rPr>
                <w:rFonts w:ascii="宋体" w:hAnsi="宋体" w:cs="宋体" w:eastAsia="宋体"/>
                <w:sz w:val="28"/>
              </w:rPr>
              <w:t>未央</w:t>
            </w:r>
            <w:r>
              <w:rPr>
                <w:rFonts w:ascii="宋体" w:hAnsi="宋体" w:cs="宋体" w:eastAsia="宋体"/>
                <w:sz w:val="28"/>
              </w:rPr>
              <w:t>区粮食应急预案》规定对承储企业的自有成品粮进行采购，按指定价格组织应急供应，稳定粮食市场。</w:t>
            </w:r>
          </w:p>
          <w:p>
            <w:pPr>
              <w:pStyle w:val="null3"/>
              <w:ind w:firstLine="480"/>
              <w:jc w:val="both"/>
            </w:pPr>
            <w:r>
              <w:rPr>
                <w:rFonts w:ascii="宋体" w:hAnsi="宋体" w:cs="宋体" w:eastAsia="宋体"/>
                <w:sz w:val="28"/>
              </w:rPr>
              <w:t>13.承储企业必须严格落实</w:t>
            </w:r>
            <w:r>
              <w:rPr>
                <w:rFonts w:ascii="宋体" w:hAnsi="宋体" w:cs="宋体" w:eastAsia="宋体"/>
                <w:sz w:val="28"/>
              </w:rPr>
              <w:t>未央</w:t>
            </w:r>
            <w:r>
              <w:rPr>
                <w:rFonts w:ascii="宋体" w:hAnsi="宋体" w:cs="宋体" w:eastAsia="宋体"/>
                <w:sz w:val="28"/>
              </w:rPr>
              <w:t>区区级储备粮管理规定的有关规定，积极配合区发改委及有关部门的监管，区发改委在日常管理中，发现承储企业违反有关规定的，应督促承储企业立即改正或限期改正。问题严重的，及时向市粮食行政管理部门和区政府报告，并终止代储合同。</w:t>
            </w:r>
          </w:p>
        </w:tc>
      </w:tr>
    </w:tbl>
    <w:p>
      <w:pPr>
        <w:pStyle w:val="null3"/>
        <w:outlineLvl w:val="2"/>
      </w:pPr>
      <w:r>
        <w:rPr>
          <w:sz w:val="28"/>
          <w:b/>
        </w:rPr>
        <w:t>3.2.3人员配置要求</w:t>
      </w:r>
    </w:p>
    <w:p>
      <w:pPr>
        <w:pStyle w:val="null3"/>
      </w:pPr>
      <w:r>
        <w:rPr/>
        <w:t>采购包1：</w:t>
      </w:r>
    </w:p>
    <w:p>
      <w:pPr>
        <w:pStyle w:val="null3"/>
      </w:pPr>
      <w:r>
        <w:rPr/>
        <w:t>详见采购需求</w:t>
      </w:r>
    </w:p>
    <w:p>
      <w:pPr>
        <w:pStyle w:val="null3"/>
        <w:outlineLvl w:val="2"/>
      </w:pPr>
      <w:r>
        <w:rPr>
          <w:sz w:val="28"/>
          <w:b/>
        </w:rPr>
        <w:t>3.2.4设施设备要求</w:t>
      </w:r>
    </w:p>
    <w:p>
      <w:pPr>
        <w:pStyle w:val="null3"/>
      </w:pPr>
      <w:r>
        <w:rPr/>
        <w:t>采购包1：</w:t>
      </w:r>
    </w:p>
    <w:p>
      <w:pPr>
        <w:pStyle w:val="null3"/>
      </w:pPr>
      <w:r>
        <w:rPr/>
        <w:t>详见采购需求</w:t>
      </w:r>
    </w:p>
    <w:p>
      <w:pPr>
        <w:pStyle w:val="null3"/>
        <w:outlineLvl w:val="2"/>
      </w:pPr>
      <w:r>
        <w:rPr>
          <w:sz w:val="28"/>
          <w:b/>
        </w:rPr>
        <w:t>3.2.5其他要求</w:t>
      </w:r>
    </w:p>
    <w:p>
      <w:pPr>
        <w:pStyle w:val="null3"/>
      </w:pPr>
      <w:r>
        <w:rPr/>
        <w:t>采购包1：</w:t>
      </w:r>
    </w:p>
    <w:p>
      <w:pPr>
        <w:pStyle w:val="null3"/>
      </w:pPr>
      <w:r>
        <w:rPr/>
        <w:t>详见采购需求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w:t>
      </w:r>
    </w:p>
    <w:p>
      <w:pPr>
        <w:pStyle w:val="null3"/>
        <w:outlineLvl w:val="3"/>
      </w:pPr>
      <w:r>
        <w:rPr>
          <w:sz w:val="24"/>
          <w:b/>
        </w:rPr>
        <w:t>3.3.2服务地点</w:t>
      </w:r>
    </w:p>
    <w:p>
      <w:pPr>
        <w:pStyle w:val="null3"/>
      </w:pPr>
      <w:r>
        <w:rPr/>
        <w:t>采购包1：</w:t>
      </w:r>
    </w:p>
    <w:p>
      <w:pPr>
        <w:pStyle w:val="null3"/>
      </w:pPr>
      <w:r>
        <w:rPr/>
        <w:t>采购制定地点</w:t>
      </w:r>
    </w:p>
    <w:p>
      <w:pPr>
        <w:pStyle w:val="null3"/>
        <w:outlineLvl w:val="3"/>
      </w:pPr>
      <w:r>
        <w:rPr>
          <w:sz w:val="24"/>
          <w:b/>
        </w:rPr>
        <w:t>3.3.3考核（验收）标准和方法</w:t>
      </w:r>
    </w:p>
    <w:p>
      <w:pPr>
        <w:pStyle w:val="null3"/>
      </w:pPr>
      <w:r>
        <w:rPr/>
        <w:t>采购包1：</w:t>
      </w:r>
    </w:p>
    <w:p>
      <w:pPr>
        <w:pStyle w:val="null3"/>
      </w:pPr>
      <w:r>
        <w:rPr/>
        <w:t>自行验收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采购人每季度向成交单位支付费用</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采购人每季度向成交单位支付费用</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采购人每季度向成交单位支付费用</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采购人每季度向成交单位支付费用</w:t>
      </w:r>
      <w:r>
        <w:rPr/>
        <w:t xml:space="preserve"> ，达到付款条件起 </w:t>
      </w:r>
      <w:r>
        <w:rPr/>
        <w:t>15</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合同的履行、违约责任和解决争议的方法等适用《中华人民共和国民法典》。具体 详见合同文本。</w:t>
      </w:r>
    </w:p>
    <w:p>
      <w:pPr>
        <w:pStyle w:val="null3"/>
        <w:outlineLvl w:val="2"/>
      </w:pPr>
      <w:r>
        <w:rPr>
          <w:sz w:val="28"/>
          <w:b/>
        </w:rPr>
        <w:t>3.4其他要求</w:t>
      </w:r>
    </w:p>
    <w:p>
      <w:pPr>
        <w:pStyle w:val="null3"/>
      </w:pPr>
      <w:r>
        <w:rPr/>
        <w:t>成交公告发布后，成交供应商将2套纸质响应文件，递交至采购代理机构。</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 法人应提供事业单位法人证、组织机构代码证等证明文件；其他组织应提供合法证明文 件；自然人提供身份证明文件）； 2.具有良好的商业信誉和健全的财务会计制度（提供2023年度财务审计报告或开标前6个月内银行资信证明或财政部门认可的政府 采购专业担保机构出具的投标担保函）； 3.具有履行合同所必需的服务能力（格式详见 附件）； 4.具有依法缴纳税收和社会保障资金的良好记录（提供开标前12个月内任一月 份的社保和缴纳税收的证明，税种须包含增值税或企业所得税，依法不需要缴纳社会保 障资金、免税或无须缴纳税款的供应商，应提供相关证明文件)； 5.参加政府采购活动前 三年内，在经营活动中没有重大违法记录（格式详见附件）供应商需在项目电子化交易 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 标前6个月内银行资信证明或财政部门认可的政府采购专业担保机构出具的投标担保函）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拒绝商业贿赂承诺书 其他证明文件 供应商诚信承诺书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法人身份证明或被授权人身份证</w:t>
            </w:r>
          </w:p>
        </w:tc>
        <w:tc>
          <w:tcPr>
            <w:tcW w:type="dxa" w:w="3322"/>
          </w:tcPr>
          <w:p>
            <w:pPr>
              <w:pStyle w:val="null3"/>
            </w:pPr>
            <w:r>
              <w:rPr/>
              <w:t>法定代表人直接参加的，须出示身份证；法定代表人授权他人参加的，须提供法定代表人授权委托 书、被授权人身份证。供应商需在项目电子化交易系统中按要求上传相应证明文件并进行电子签章 。</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本项目专门面向中小企业采购，仅限符合《政府采购促进中小企业发展办法》（财库〔2020〕46 号）条件的中小企业参与，供应商应填写中小企业声明函并对真实性负责。供应商需在项目电子化 交易系统中按要求上传相应证明文件并进行电子签章。</w:t>
            </w:r>
          </w:p>
        </w:tc>
        <w:tc>
          <w:tcPr>
            <w:tcW w:type="dxa" w:w="1661"/>
          </w:tcPr>
          <w:p>
            <w:pPr>
              <w:pStyle w:val="null3"/>
            </w:pPr>
            <w:r>
              <w:rPr/>
              <w:t>资格证明文件 中小企业声明函</w:t>
            </w:r>
          </w:p>
        </w:tc>
      </w:tr>
      <w:tr>
        <w:tc>
          <w:tcPr>
            <w:tcW w:type="dxa" w:w="831"/>
          </w:tcPr>
          <w:p>
            <w:pPr>
              <w:pStyle w:val="null3"/>
            </w:pPr>
            <w:r>
              <w:rPr/>
              <w:t>3</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本项目不接受联合体磋商。供应商需在项目电子化交易系统中按要求上传相应证明文件并进行电子 签章。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是否符合磋商文件腰子</w:t>
            </w:r>
          </w:p>
        </w:tc>
        <w:tc>
          <w:tcPr>
            <w:tcW w:type="dxa" w:w="1661"/>
          </w:tcPr>
          <w:p>
            <w:pPr>
              <w:pStyle w:val="null3"/>
            </w:pPr>
            <w:r>
              <w:rPr/>
              <w:t>商务及服务要求偏离表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是否符合磋商文件要求</w:t>
            </w:r>
          </w:p>
        </w:tc>
        <w:tc>
          <w:tcPr>
            <w:tcW w:type="dxa" w:w="1661"/>
          </w:tcPr>
          <w:p>
            <w:pPr>
              <w:pStyle w:val="null3"/>
            </w:pPr>
            <w:r>
              <w:rPr/>
              <w:t>商务及服务要求偏离表</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是否符合磋商文件要求</w:t>
            </w:r>
          </w:p>
        </w:tc>
        <w:tc>
          <w:tcPr>
            <w:tcW w:type="dxa" w:w="1661"/>
          </w:tcPr>
          <w:p>
            <w:pPr>
              <w:pStyle w:val="null3"/>
            </w:pPr>
            <w:r>
              <w:rPr/>
              <w:t>商务及服务要求偏离表</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是否符合磋商文件要求</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针对本项目相关工作分配及综合服务管理方案</w:t>
            </w:r>
          </w:p>
        </w:tc>
        <w:tc>
          <w:tcPr>
            <w:tcW w:type="dxa" w:w="2492"/>
          </w:tcPr>
          <w:p>
            <w:pPr>
              <w:pStyle w:val="null3"/>
            </w:pPr>
            <w:r>
              <w:rPr/>
              <w:t>提供针对本项目相关工作分配及综合服务管理方案，保证管理的规范性，评委对磋商响应文件中提供的以上内容的完整性、科学性、合理性、计划性，按其合理及响应程度进行综合评审，方案合理并符合实际采购需求得8分，基本符合采购需求且无重要漏项得6分，方案相比于采购需求有缺项得4分，案相比于采购需求有重大缺项得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良好的食品存储场所及条件</w:t>
            </w:r>
          </w:p>
        </w:tc>
        <w:tc>
          <w:tcPr>
            <w:tcW w:type="dxa" w:w="2492"/>
          </w:tcPr>
          <w:p>
            <w:pPr>
              <w:pStyle w:val="null3"/>
            </w:pPr>
            <w:r>
              <w:rPr/>
              <w:t>供应商具有良好的食品存储场所及条件,场所具备符合国家标准的防漏、防潮、防虫、防污染及通风条件，以及与粮食品种、储粮周期、成品粮储存功能、仓型、进出粮方式等相适应的粮食仓储设施，提供相关证明材料（包括但不限于场地图片、租赁协议或购买合同等）按其响应程度进行综合评审； 食品存储场所及条件规范、证明材料齐全得8分； 食品存储场所及条件较规范、证明材料较齐全得6分； 食品存储场所及条件基本规范、证明材料有缺漏项得4分； 食品存储场所及条件不规范、证明材料有明显缺漏项得2分； 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详细列出服务方案、内容和方式、保障措施，服务措施切实可行，能够考虑并满足服务的多种需求，接受采购人对服务的监督、批评和建议。 1.服务措施详尽、全面、有效、合理，可实施性强，得8分； 2.服务措施有效、合理，具有一定实施性，得6分； 3.服务措施有效、合理，基本满足实施要求，得4分； .4.服务措施部分满足得2分； 4.服务措施不合理或未提供0分。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应急方案</w:t>
            </w:r>
          </w:p>
        </w:tc>
        <w:tc>
          <w:tcPr>
            <w:tcW w:type="dxa" w:w="2492"/>
          </w:tcPr>
          <w:p>
            <w:pPr>
              <w:pStyle w:val="null3"/>
            </w:pPr>
            <w:r>
              <w:rPr/>
              <w:t>突发情况的应急处理措施及紧急调用应急方案，可根据采购人需要及时送达采购人指定地点； 应急处理措施及紧急调用应急方案完全满足本项目要求得8分； 应急处理措施及紧急调用应急方案基本满足本项目要求得6； 应急处理措施及紧急调用应急方案部分满足本项目要求得4分； 应急处理措施及紧急调用应急方案不满足本项目要求得2分。 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值班及安全管理工作方案</w:t>
            </w:r>
          </w:p>
        </w:tc>
        <w:tc>
          <w:tcPr>
            <w:tcW w:type="dxa" w:w="2492"/>
          </w:tcPr>
          <w:p>
            <w:pPr>
              <w:pStyle w:val="null3"/>
            </w:pPr>
            <w:r>
              <w:rPr/>
              <w:t>供应商针对本项目特点提供的值班及安全管理工作方案，包括但不限于采购人要求的工作范围。 1.服务方案全面、详细、科学合理、规范，可操作性强，得6分；2.服务方案较为合理、规范，具有一定操作性，得4分； 3.服务方案简单，得2分； 4.服务方案不合理或未提供得0分。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拟配备人员组织架构</w:t>
            </w:r>
          </w:p>
        </w:tc>
        <w:tc>
          <w:tcPr>
            <w:tcW w:type="dxa" w:w="2492"/>
          </w:tcPr>
          <w:p>
            <w:pPr>
              <w:pStyle w:val="null3"/>
            </w:pPr>
            <w:r>
              <w:rPr/>
              <w:t>提供拟配备人员组织架构，人员配置合理，人员岗位职责明确。具备相关的统计财会人员、仓储保管人员，做好仓储管理工作。 配备人员组织架构，人员配置合理，完全满足本项目服务要求的得8分； 针对本项目组织架构较合理，人员配置较合理，人员岗位职责较明确，基本满足本项目要求的得6分； 配备人员组织架构，人员配置部分合理，人员岗位职责部分明确，部分满足本项目要求的得4分；配备人员组织架构，人员配置基本合理，人员岗位职责不明确，不满足本项目要求的得2分； 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设备管理方案</w:t>
            </w:r>
          </w:p>
        </w:tc>
        <w:tc>
          <w:tcPr>
            <w:tcW w:type="dxa" w:w="2492"/>
          </w:tcPr>
          <w:p>
            <w:pPr>
              <w:pStyle w:val="null3"/>
            </w:pPr>
            <w:r>
              <w:rPr/>
              <w:t>储存正常运行，管理、维护，有具体的保障措施及有效可行的管理制度。对于所有设施设备的运行保障有详细方案。 1.设施设备管理制度和方案详尽、全面、有效、合理，可实施性强，得6分； 2.设施设备管理制度和方案有效、合理，具有可实施性，得4分； 3.设施设备管理制度和方案具有实施性，得2分；4.设施设备管理制度和方案不合理或未提供，得0分。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人员管理制度</w:t>
            </w:r>
          </w:p>
        </w:tc>
        <w:tc>
          <w:tcPr>
            <w:tcW w:type="dxa" w:w="2492"/>
          </w:tcPr>
          <w:p>
            <w:pPr>
              <w:pStyle w:val="null3"/>
            </w:pPr>
            <w:r>
              <w:rPr/>
              <w:t>针对不同岗位有不同的培训制度、人员奖惩制度、请销假制度。 1.管理制度全面、有效、规范、可行，得6分； 2.管理制度有效、可行，得4分； 3.管理制度简单，得2分； 4.管理制度不合理或未提供，得0分。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团队人员保障</w:t>
            </w:r>
          </w:p>
        </w:tc>
        <w:tc>
          <w:tcPr>
            <w:tcW w:type="dxa" w:w="2492"/>
          </w:tcPr>
          <w:p>
            <w:pPr>
              <w:pStyle w:val="null3"/>
            </w:pPr>
            <w:r>
              <w:rPr/>
              <w:t>1.供应商提供详细的对特殊需要时能够迅速派出足够数量和有经验的增员人员的应急方案，科学、高效、合理得6分； 2.供应商提供完整的对特殊需要时能够迅速派出足够数量和有经验的增员人员的应急方案，较合理得3分； 3.供应商提供的应急方案不合理或未提供得0分。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1.供应商的企业管理体制健全、组织构架清晰、权责分明、信誉度良好得6分； 2.供应商的企业管理体制健全，组织构架较清晰、权责分明、信誉度较好得4分； 3.供应商的企业管理体制完整得2分； 4.供应商提供的企业经营体制不合理或未提供相关证明资料得0分。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供应商可根据自身情况及项目特征，做出本项目的合理化建议。 1.合理化建议详尽、全面、有效、合理，可实施性强，得5分； 2.合理化建议简单、不具有实施性，得3分。 3.合理化建议不能满足要求、不具有实施性，得1分。4.不合理或未提供得0分。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根据供应商提供的自2020年1月1日以来相关业绩证明材料，每个有效业绩得3分。（合同、协议复印件加盖公章装订在投标文件中，否则不作为评审依据。）满分15分。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1.满足磋商文件实质性要求且最后报价最低的供应商价格为投标基准价，其价格分为满分10分。 2.投标报价得分=（投标基准价/投标报价）×10。 专门面向中小企业采购的项目或者采购包，不再执行价格评审优惠的扶持政策。</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详见附件：商务及服务要求偏离表</w:t>
      </w:r>
    </w:p>
    <w:p>
      <w:pPr>
        <w:pStyle w:val="null3"/>
        <w:ind w:firstLine="960"/>
      </w:pPr>
      <w:r>
        <w:rPr/>
        <w:t>详见附件：资格证明文件</w:t>
      </w:r>
    </w:p>
    <w:p>
      <w:pPr>
        <w:pStyle w:val="null3"/>
        <w:ind w:firstLine="960"/>
      </w:pPr>
      <w:r>
        <w:rPr/>
        <w:t>详见附件：服务方案</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详见附件：其他证明文件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