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高温高压宽频介电谱仪采购项目</w:t>
      </w:r>
    </w:p>
    <w:p>
      <w:pPr>
        <w:pStyle w:val="null3"/>
        <w:jc w:val="center"/>
        <w:outlineLvl w:val="2"/>
      </w:pPr>
      <w:r>
        <w:rPr>
          <w:sz w:val="28"/>
          <w:b/>
        </w:rPr>
        <w:t>采购项目编号：</w:t>
      </w:r>
      <w:r>
        <w:rPr>
          <w:sz w:val="28"/>
          <w:b/>
        </w:rPr>
        <w:t>SZT2024-SN-SC-ZC-HW-1221</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高温高压宽频介电谱仪采购项目</w:t>
      </w:r>
      <w:r>
        <w:rPr/>
        <w:t>进行国内公开招标，兹邀请符合本次招标要求的供应商参加投标。</w:t>
      </w:r>
    </w:p>
    <w:p>
      <w:pPr>
        <w:pStyle w:val="null3"/>
        <w:outlineLvl w:val="2"/>
      </w:pPr>
      <w:r>
        <w:rPr>
          <w:sz w:val="28"/>
          <w:b/>
        </w:rPr>
        <w:t>一、采购项目编号：</w:t>
      </w:r>
      <w:r>
        <w:rPr>
          <w:sz w:val="28"/>
          <w:b/>
        </w:rPr>
        <w:t>SZT2024-SN-SC-ZC-HW-1221</w:t>
      </w:r>
    </w:p>
    <w:p>
      <w:pPr>
        <w:pStyle w:val="null3"/>
        <w:outlineLvl w:val="2"/>
      </w:pPr>
      <w:r>
        <w:rPr>
          <w:sz w:val="28"/>
          <w:b/>
        </w:rPr>
        <w:t>二、采购项目名称：</w:t>
      </w:r>
      <w:r>
        <w:rPr>
          <w:sz w:val="28"/>
          <w:b/>
        </w:rPr>
        <w:t>高温高压宽频介电谱仪采购项目</w:t>
      </w:r>
    </w:p>
    <w:p>
      <w:pPr>
        <w:pStyle w:val="null3"/>
        <w:outlineLvl w:val="2"/>
      </w:pPr>
      <w:r>
        <w:rPr>
          <w:sz w:val="28"/>
          <w:b/>
        </w:rPr>
        <w:t>三、招标项目简介</w:t>
      </w:r>
    </w:p>
    <w:p>
      <w:pPr>
        <w:pStyle w:val="null3"/>
        <w:ind w:firstLine="480"/>
      </w:pPr>
      <w:r>
        <w:rPr/>
        <w:t>温度集成铁电测试仪采购项目，采购温度集成铁电测试仪一套，用以满足对无机薄膜、有机薄膜、陶瓷块体材料、叠层聚合物等电介质材料及器件的铁电、压电、热释电等相关性能进行分析，利用Sawyer-Tower电路，对样品施加一定频率和电压的波形信号，并对温度进行变化控制，测试样品反馈的电流、形变、极化强度等数据结果，从而多功能表征材料及器件在不同的电场、温度场下的电极化、压电形变、热释电等性能变化的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杨艳、沈肖楠、单博</w:t>
      </w:r>
    </w:p>
    <w:p>
      <w:pPr>
        <w:pStyle w:val="null3"/>
      </w:pPr>
      <w:r>
        <w:rPr/>
        <w:t xml:space="preserve"> 联系电话： </w:t>
      </w:r>
      <w:r>
        <w:rPr/>
        <w:t>029-88364979-821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应付有进口开箱单，到货后由甲方（使用单位）及乙方对货物进行试运行测试，检查核对内容包括：产品名称、类型、版本、参数、功能需求等（乙方协助）。核对无误后，甲方或甲方指定使用单位在到货签收单上签字。若货物与合同约定不符，甲方有权拒绝接收，乙方应无条件退换货直至合格，并承担逾期交货的违约责任。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高温高压宽频介电谱仪采购项目，采购高温高压宽频介电谱仪一套。通过该设备主要实现电介质材料及器件（如固体、薄膜、液体、粉末、胶体、电容器、传感器等）的电学性能测量，可用于电介质材料及器件的介电常数、损耗、模量、复阻抗、复电容及相位等介电性能测试， 研究分析材料的分子动力学、分子结构、玻璃化转变、弛豫峰值、老化、激活能等大量信息，实现对材料和器件各类功能的深入研究。</w:t>
      </w:r>
    </w:p>
    <w:p>
      <w:pPr>
        <w:pStyle w:val="null3"/>
        <w:outlineLvl w:val="2"/>
      </w:pPr>
      <w:r>
        <w:rPr>
          <w:sz w:val="28"/>
          <w:b/>
        </w:rPr>
        <w:t>3.2采购内容</w:t>
      </w:r>
    </w:p>
    <w:p>
      <w:pPr>
        <w:pStyle w:val="null3"/>
      </w:pPr>
      <w:r>
        <w:rPr/>
        <w:t>采购包1：</w:t>
      </w:r>
    </w:p>
    <w:p>
      <w:pPr>
        <w:pStyle w:val="null3"/>
      </w:pPr>
      <w:r>
        <w:rPr/>
        <w:t>采购包预算金额（元）: 2,000,000.00</w:t>
      </w:r>
    </w:p>
    <w:p>
      <w:pPr>
        <w:pStyle w:val="null3"/>
      </w:pPr>
      <w:r>
        <w:rPr/>
        <w:t>采购包最高限价（元）: 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西安工业大学高温高压宽频介电谱仪采购项目</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标的名称：西安工业大学高温高压宽频介电谱仪采购项目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arial" w:hAnsi="arial" w:cs="arial" w:eastAsia="arial"/>
                <w:sz w:val="21"/>
                <w:color w:val="000000"/>
              </w:rPr>
              <w:t>1.用途：用于科研上电介质材料及器件（如固体、薄膜、液体、粉末、胶体、电容器、传感器等）的电学性能测量，可用于电介质材料及器件的介电常数、损耗、模量、复阻抗、复电容及相位等介电性能测试， 研究分析材料的分子动力学、分子结构、玻璃化转变、弛豫峰值，老化、激活能等参数。</w:t>
            </w:r>
          </w:p>
          <w:p>
            <w:pPr>
              <w:pStyle w:val="null3"/>
            </w:pPr>
            <w:r>
              <w:rPr>
                <w:rFonts w:ascii="arial" w:hAnsi="arial" w:cs="arial" w:eastAsia="arial"/>
                <w:sz w:val="21"/>
                <w:color w:val="000000"/>
              </w:rPr>
              <w:t xml:space="preserve">2.具体性能指标：  </w:t>
            </w:r>
          </w:p>
          <w:p>
            <w:pPr>
              <w:pStyle w:val="null3"/>
            </w:pPr>
            <w:r>
              <w:rPr>
                <w:rFonts w:ascii="arial" w:hAnsi="arial" w:cs="arial" w:eastAsia="arial"/>
                <w:sz w:val="21"/>
                <w:color w:val="000000"/>
              </w:rPr>
              <w:t>▲1)阻抗范围: 0.01Ω ~ 100TΩ;</w:t>
            </w:r>
          </w:p>
          <w:p>
            <w:pPr>
              <w:pStyle w:val="null3"/>
            </w:pPr>
            <w:r>
              <w:rPr>
                <w:rFonts w:ascii="arial" w:hAnsi="arial" w:cs="arial" w:eastAsia="arial"/>
                <w:sz w:val="21"/>
                <w:color w:val="000000"/>
              </w:rPr>
              <w:t>▲2)控温精度：±0.01℃；</w:t>
            </w:r>
          </w:p>
          <w:p>
            <w:pPr>
              <w:pStyle w:val="null3"/>
            </w:pPr>
            <w:r>
              <w:rPr>
                <w:rFonts w:ascii="arial" w:hAnsi="arial" w:cs="arial" w:eastAsia="arial"/>
                <w:sz w:val="21"/>
                <w:color w:val="000000"/>
              </w:rPr>
              <w:t>▲3)升降温速率：0.01~20℃/min；</w:t>
            </w:r>
          </w:p>
          <w:p>
            <w:pPr>
              <w:pStyle w:val="null3"/>
            </w:pPr>
            <w:r>
              <w:rPr>
                <w:rFonts w:ascii="arial" w:hAnsi="arial" w:cs="arial" w:eastAsia="arial"/>
                <w:sz w:val="21"/>
                <w:color w:val="000000"/>
              </w:rPr>
              <w:t>▲4)损耗精度：＜10-4;</w:t>
            </w:r>
          </w:p>
          <w:p>
            <w:pPr>
              <w:pStyle w:val="null3"/>
            </w:pPr>
            <w:r>
              <w:rPr>
                <w:rFonts w:ascii="arial" w:hAnsi="arial" w:cs="arial" w:eastAsia="arial"/>
                <w:sz w:val="21"/>
                <w:color w:val="000000"/>
              </w:rPr>
              <w:t>▲5)相位差：≤0.002°;</w:t>
            </w:r>
          </w:p>
          <w:p>
            <w:pPr>
              <w:pStyle w:val="null3"/>
            </w:pPr>
            <w:r>
              <w:rPr>
                <w:rFonts w:ascii="arial" w:hAnsi="arial" w:cs="arial" w:eastAsia="arial"/>
                <w:sz w:val="21"/>
                <w:color w:val="000000"/>
              </w:rPr>
              <w:t>6)温度范围：-160℃到350℃；</w:t>
            </w:r>
          </w:p>
          <w:p>
            <w:pPr>
              <w:pStyle w:val="null3"/>
            </w:pPr>
            <w:r>
              <w:rPr>
                <w:rFonts w:ascii="arial" w:hAnsi="arial" w:cs="arial" w:eastAsia="arial"/>
                <w:sz w:val="21"/>
                <w:color w:val="000000"/>
              </w:rPr>
              <w:t>▲7)频率范围：10μHz ~ 20MHz;</w:t>
            </w:r>
          </w:p>
          <w:p>
            <w:pPr>
              <w:pStyle w:val="null3"/>
            </w:pPr>
            <w:r>
              <w:rPr>
                <w:rFonts w:ascii="arial" w:hAnsi="arial" w:cs="arial" w:eastAsia="arial"/>
                <w:sz w:val="21"/>
                <w:color w:val="000000"/>
              </w:rPr>
              <w:t>8)液氮杜瓦容积≥120 升；</w:t>
            </w:r>
          </w:p>
          <w:p>
            <w:pPr>
              <w:pStyle w:val="null3"/>
            </w:pPr>
            <w:r>
              <w:rPr>
                <w:rFonts w:ascii="arial" w:hAnsi="arial" w:cs="arial" w:eastAsia="arial"/>
                <w:sz w:val="21"/>
                <w:color w:val="000000"/>
              </w:rPr>
              <w:t>▲9)高电压模式电压范围＞±1000Vacp-p/dc（交流、直流和混合电压）；</w:t>
            </w:r>
          </w:p>
          <w:p>
            <w:pPr>
              <w:pStyle w:val="null3"/>
            </w:pPr>
            <w:r>
              <w:rPr>
                <w:rFonts w:ascii="arial" w:hAnsi="arial" w:cs="arial" w:eastAsia="arial"/>
                <w:sz w:val="21"/>
                <w:color w:val="000000"/>
              </w:rPr>
              <w:t>10)高电压模式频率范围：10 μHz~10KHz；</w:t>
            </w:r>
          </w:p>
          <w:p>
            <w:pPr>
              <w:pStyle w:val="null3"/>
            </w:pPr>
            <w:r>
              <w:rPr>
                <w:rFonts w:ascii="arial" w:hAnsi="arial" w:cs="arial" w:eastAsia="arial"/>
                <w:sz w:val="21"/>
                <w:color w:val="000000"/>
              </w:rPr>
              <w:t>11)高电压模式最大阻抗样品：≥1000 TΩ；</w:t>
            </w:r>
          </w:p>
          <w:p>
            <w:pPr>
              <w:pStyle w:val="null3"/>
            </w:pPr>
            <w:r>
              <w:rPr>
                <w:rFonts w:ascii="arial" w:hAnsi="arial" w:cs="arial" w:eastAsia="arial"/>
                <w:sz w:val="21"/>
                <w:color w:val="000000"/>
              </w:rPr>
              <w:t>12)高电压模式温度范围-160 ℃ ~ 400 ℃；</w:t>
            </w:r>
          </w:p>
          <w:p>
            <w:pPr>
              <w:pStyle w:val="null3"/>
            </w:pPr>
            <w:r>
              <w:rPr>
                <w:rFonts w:ascii="arial" w:hAnsi="arial" w:cs="arial" w:eastAsia="arial"/>
                <w:sz w:val="21"/>
                <w:color w:val="000000"/>
              </w:rPr>
              <w:t>13)液体粉末样品池频率范围1mHz~10MHz</w:t>
            </w:r>
          </w:p>
          <w:p>
            <w:pPr>
              <w:pStyle w:val="null3"/>
            </w:pPr>
            <w:r>
              <w:rPr>
                <w:rFonts w:ascii="arial" w:hAnsi="arial" w:cs="arial" w:eastAsia="arial"/>
                <w:sz w:val="21"/>
                <w:color w:val="000000"/>
              </w:rPr>
              <w:t>14)液体粉末样品池温度范围-160 ℃ ~ 250 ℃</w:t>
            </w:r>
          </w:p>
          <w:p>
            <w:pPr>
              <w:pStyle w:val="null3"/>
            </w:pPr>
            <w:r>
              <w:rPr>
                <w:rFonts w:ascii="arial" w:hAnsi="arial" w:cs="arial" w:eastAsia="arial"/>
                <w:sz w:val="21"/>
                <w:color w:val="000000"/>
              </w:rPr>
              <w:t>15)测试软件：在线测量的标准软件包：自动校准、测量设定、逻辑编程、在线二维、三维（频率、温度等）曲线；具有数据存储、导入和导出功能。</w:t>
            </w:r>
          </w:p>
          <w:p>
            <w:pPr>
              <w:pStyle w:val="null3"/>
            </w:pPr>
            <w:r>
              <w:rPr>
                <w:rFonts w:ascii="arial" w:hAnsi="arial" w:cs="arial" w:eastAsia="arial"/>
                <w:sz w:val="21"/>
                <w:color w:val="000000"/>
              </w:rPr>
              <w:t>16)分析软件：增强测量数据的处理：可进行分子驰豫的非线性拟合、等效电路模型拟合等。</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1、交货日期：自合同生效后 150 日历日，安装日期： 到货后15个日历日内或以用户协商日期为准。 甲方在设备安装环境不完全具备的条件下，可要求延期交货，乙方应无条件同意。乙方发货前需书面告知甲方，并征求甲方同意。 2、乙方向甲方交货时应移交每套设备的全套档案资料（包括产品合格证、使用说明书、保修卡、技术资料等），否则视为未交货。 3、乙方交货时应为甲方（用户）免费指导和培训设备的操作与维护。 4、乙方逾期完成安装调试的，每逾期一日应向甲方支付违约金1万元，违约金不足以弥补损失的，应继续赔偿甲方损失。 5、乙方安装调试结束后提供设备运行报告，再向甲方申请进行设备初验。</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1、设备质保期（保修期）为 1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20%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20%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20%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sz w:val="28"/>
          <w:b/>
        </w:rPr>
        <w:t>3.5其他要求</w:t>
      </w:r>
    </w:p>
    <w:p>
      <w:pPr>
        <w:pStyle w:val="null3"/>
      </w:pPr>
      <w:r>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3、预付款保函（采购人若要求）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 ；自然人提供身份证明文件）；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法定代表人授权要求</w:t>
            </w:r>
          </w:p>
        </w:tc>
        <w:tc>
          <w:tcPr>
            <w:tcW w:type="dxa" w:w="3322"/>
          </w:tcPr>
          <w:p>
            <w:pPr>
              <w:pStyle w:val="null3"/>
            </w:pPr>
            <w:r>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商务要求偏离表 开标记录表</w:t>
            </w:r>
          </w:p>
        </w:tc>
      </w:tr>
      <w:tr>
        <w:tc>
          <w:tcPr>
            <w:tcW w:type="dxa" w:w="831"/>
          </w:tcPr>
          <w:p>
            <w:pPr>
              <w:pStyle w:val="null3"/>
            </w:pPr>
            <w:r>
              <w:rPr/>
              <w:t>6</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开标一览表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39分。结合规格、技术参数偏离表的响应证明材料，按招标文件内配置最低要求，带“▲”号指标项每出现1个负偏离扣3分，非“▲”号指标项每出现1个负偏离，扣2分，供应商须按招标文件要求提供带“▲”号指标项的证明材料（包括但不限于加盖厂商公章的技术参数说明、产品彩页、检测报告和带网址链接的功能截图等技术支持性文件），否则自行承担未提供证明材料导致技术参数被视为负偏离的风险。</w:t>
            </w:r>
          </w:p>
        </w:tc>
        <w:tc>
          <w:tcPr>
            <w:tcW w:type="dxa" w:w="831"/>
          </w:tcPr>
          <w:p>
            <w:pPr>
              <w:pStyle w:val="null3"/>
              <w:jc w:val="right"/>
            </w:pPr>
            <w:r>
              <w:rPr/>
              <w:t>39.0000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选型方案全部满足采购需求，有质量保证承诺得3分；选型方案部分满足采购需求，有质量保证承诺得1分，未提供或选型导致严重负偏离得0分。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货物简要说明一览表</w:t>
            </w:r>
          </w:p>
          <w:p>
            <w:pPr>
              <w:pStyle w:val="null3"/>
            </w:pPr>
            <w:r>
              <w:rPr/>
              <w:t>供应商认为有必要说明的其他资料</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4分；实施方案组织基本合理，运输方案不够详尽，有一定的进度保障措施，具备保障项目时效性的承诺的得2分；未提供或无法证明可以达到时效要求的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p>
            <w:pPr>
              <w:pStyle w:val="null3"/>
            </w:pPr>
            <w:r>
              <w:rPr/>
              <w:t>拟配备团队情况</w:t>
            </w:r>
          </w:p>
          <w:p>
            <w:pPr>
              <w:pStyle w:val="null3"/>
            </w:pPr>
            <w:r>
              <w:rPr/>
              <w:t>供应商认为有必要说明的其他资料</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培训方案明确，培训内容完整，计划安排清晰可靠得5分；培训方案不够明确，培训内容基本完整，计划安排清晰得3分；培训内容较完整，计划安排基本清晰得1分；未提供或培训内容缺失得0分。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供应商认为有必要说明的其他资料</w:t>
            </w:r>
          </w:p>
          <w:p>
            <w:pPr>
              <w:pStyle w:val="null3"/>
            </w:pPr>
            <w:r>
              <w:rPr/>
              <w:t>实施方案</w:t>
            </w:r>
          </w:p>
          <w:p>
            <w:pPr>
              <w:pStyle w:val="null3"/>
            </w:pPr>
            <w:r>
              <w:rPr/>
              <w:t>拟配备团队情况</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w:t>
            </w:r>
          </w:p>
          <w:p>
            <w:pPr>
              <w:pStyle w:val="null3"/>
            </w:pPr>
            <w:r>
              <w:rPr/>
              <w:t>供应商认为有必要说明的其他资料</w:t>
            </w:r>
          </w:p>
          <w:p>
            <w:pPr>
              <w:pStyle w:val="null3"/>
            </w:pPr>
            <w:r>
              <w:rPr/>
              <w:t>拟配备团队情况</w:t>
            </w:r>
          </w:p>
          <w:p>
            <w:pPr>
              <w:pStyle w:val="null3"/>
            </w:pPr>
            <w:r>
              <w:rPr/>
              <w:t>实施方案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货物简要说明一览表</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提供供应商2021年1月1日至今同类项目业绩（以合同签订时间为准），提供合同复印件（扫描件）加盖供应商公章，每份有效业绩计1分，最高得10分。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开标记录表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详见附件：服务承诺</w:t>
      </w:r>
    </w:p>
    <w:p>
      <w:pPr>
        <w:pStyle w:val="null3"/>
        <w:ind w:firstLine="960"/>
      </w:pPr>
      <w:r>
        <w:rPr/>
        <w:t>详见附件：供应商认为有必要说明的其他资料</w:t>
      </w:r>
    </w:p>
    <w:p>
      <w:pPr>
        <w:pStyle w:val="null3"/>
        <w:ind w:firstLine="960"/>
      </w:pPr>
      <w:r>
        <w:rPr/>
        <w:t>详见附件：供应商资格证明文件</w:t>
      </w:r>
    </w:p>
    <w:p>
      <w:pPr>
        <w:pStyle w:val="null3"/>
        <w:ind w:firstLine="960"/>
      </w:pPr>
      <w:r>
        <w:rPr/>
        <w:t>详见附件：规格、技术参数偏离表</w:t>
      </w:r>
    </w:p>
    <w:p>
      <w:pPr>
        <w:pStyle w:val="null3"/>
        <w:ind w:firstLine="960"/>
      </w:pPr>
      <w:r>
        <w:rPr/>
        <w:t>详见附件：货物简要说明一览表</w:t>
      </w:r>
    </w:p>
    <w:p>
      <w:pPr>
        <w:pStyle w:val="null3"/>
        <w:ind w:firstLine="960"/>
      </w:pPr>
      <w:r>
        <w:rPr/>
        <w:t>详见附件：开标记录表</w:t>
      </w:r>
    </w:p>
    <w:p>
      <w:pPr>
        <w:pStyle w:val="null3"/>
        <w:ind w:firstLine="960"/>
      </w:pPr>
      <w:r>
        <w:rPr/>
        <w:t>详见附件：拟配备团队情况</w:t>
      </w:r>
    </w:p>
    <w:p>
      <w:pPr>
        <w:pStyle w:val="null3"/>
        <w:ind w:firstLine="960"/>
      </w:pPr>
      <w:r>
        <w:rPr/>
        <w:t>详见附件：商务要求偏离表</w:t>
      </w:r>
    </w:p>
    <w:p>
      <w:pPr>
        <w:pStyle w:val="null3"/>
        <w:ind w:firstLine="960"/>
      </w:pPr>
      <w:r>
        <w:rPr/>
        <w:t>详见附件：实施方案</w:t>
      </w:r>
    </w:p>
    <w:p>
      <w:pPr>
        <w:pStyle w:val="null3"/>
        <w:ind w:firstLine="960"/>
      </w:pPr>
      <w:r>
        <w:rPr/>
        <w:t>详见附件：投标保证金缴纳凭证</w:t>
      </w:r>
    </w:p>
    <w:p>
      <w:pPr>
        <w:pStyle w:val="null3"/>
        <w:ind w:firstLine="960"/>
      </w:pPr>
      <w:r>
        <w:rPr/>
        <w:t>详见附件：项目业绩一览表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详见附件：进口设备采购协议（模板）.docx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