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神经外科手术导航定位系统（手术机器人）购置、安装及售后服务项目</w:t>
      </w:r>
    </w:p>
    <w:p>
      <w:pPr>
        <w:pStyle w:val="null3"/>
        <w:jc w:val="center"/>
        <w:outlineLvl w:val="2"/>
      </w:pPr>
      <w:r>
        <w:rPr>
          <w:sz w:val="28"/>
          <w:b/>
        </w:rPr>
        <w:t>采购项目编号：</w:t>
      </w:r>
      <w:r>
        <w:rPr>
          <w:sz w:val="28"/>
          <w:b/>
        </w:rPr>
        <w:t>SZT2024-SN-SC-ZC-HW-1317</w:t>
      </w:r>
      <w:r>
        <w:br/>
      </w:r>
      <w:r>
        <w:br/>
      </w:r>
      <w:r>
        <w:br/>
      </w:r>
    </w:p>
    <w:p>
      <w:pPr>
        <w:pStyle w:val="null3"/>
        <w:jc w:val="center"/>
        <w:outlineLvl w:val="2"/>
      </w:pPr>
      <w:r>
        <w:rPr>
          <w:sz w:val="28"/>
          <w:b/>
        </w:rPr>
        <w:t>西安医学院第一附属医院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西安医学院第一附属医院</w:t>
      </w:r>
      <w:r>
        <w:rPr/>
        <w:t>委托，拟对</w:t>
      </w:r>
      <w:r>
        <w:rPr/>
        <w:t>神经外科手术导航定位系统（手术机器人）购置、安装及售后服务项目</w:t>
      </w:r>
      <w:r>
        <w:rPr/>
        <w:t>进行国内公开招标，兹邀请符合本次招标要求的供应商参加投标。</w:t>
      </w:r>
    </w:p>
    <w:p>
      <w:pPr>
        <w:pStyle w:val="null3"/>
        <w:outlineLvl w:val="2"/>
      </w:pPr>
      <w:r>
        <w:rPr>
          <w:sz w:val="28"/>
          <w:b/>
        </w:rPr>
        <w:t>一、采购项目编号：</w:t>
      </w:r>
      <w:r>
        <w:rPr>
          <w:sz w:val="28"/>
          <w:b/>
        </w:rPr>
        <w:t>SZT2024-SN-SC-ZC-HW-1317</w:t>
      </w:r>
    </w:p>
    <w:p>
      <w:pPr>
        <w:pStyle w:val="null3"/>
        <w:outlineLvl w:val="2"/>
      </w:pPr>
      <w:r>
        <w:rPr>
          <w:sz w:val="28"/>
          <w:b/>
        </w:rPr>
        <w:t>二、采购项目名称：</w:t>
      </w:r>
      <w:r>
        <w:rPr>
          <w:sz w:val="28"/>
          <w:b/>
        </w:rPr>
        <w:t>神经外科手术导航定位系统（手术机器人）购置、安装及售后服务项目</w:t>
      </w:r>
    </w:p>
    <w:p>
      <w:pPr>
        <w:pStyle w:val="null3"/>
        <w:outlineLvl w:val="2"/>
      </w:pPr>
      <w:r>
        <w:rPr>
          <w:sz w:val="28"/>
          <w:b/>
        </w:rPr>
        <w:t>三、招标项目简介</w:t>
      </w:r>
    </w:p>
    <w:p>
      <w:pPr>
        <w:pStyle w:val="null3"/>
        <w:ind w:firstLine="480"/>
      </w:pPr>
      <w:r>
        <w:rPr/>
        <w:t>神经外科手术导航定位系统（手术机器人）购置、安装及售后服务</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3、生产厂家的医疗器械生产许可证或医疗器械生产备案证：出具生产厂家的医疗器械生产许可证或医疗器械生产备案证</w:t>
      </w:r>
    </w:p>
    <w:p>
      <w:pPr>
        <w:pStyle w:val="null3"/>
      </w:pPr>
      <w:r>
        <w:rPr/>
        <w:t>4、所投产品属于医疗器械的出具所投产品医疗器械注册证或医疗器械备案凭证：所投产品属于医疗器械的出具所投产品医疗器械注册证或医疗器械备案凭证，如国家规定免注册产品提供相关证明文件</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西安医学院第一附属医院</w:t>
      </w:r>
    </w:p>
    <w:p>
      <w:pPr>
        <w:pStyle w:val="null3"/>
      </w:pPr>
      <w:r>
        <w:rPr/>
        <w:t xml:space="preserve"> 地址： </w:t>
      </w:r>
      <w:r>
        <w:rPr/>
        <w:t>丰镐西路48号</w:t>
      </w:r>
    </w:p>
    <w:p>
      <w:pPr>
        <w:pStyle w:val="null3"/>
      </w:pPr>
      <w:r>
        <w:rPr/>
        <w:t xml:space="preserve"> 邮编： </w:t>
      </w:r>
      <w:r>
        <w:rPr/>
        <w:t>710000</w:t>
      </w:r>
    </w:p>
    <w:p>
      <w:pPr>
        <w:pStyle w:val="null3"/>
      </w:pPr>
      <w:r>
        <w:rPr/>
        <w:t xml:space="preserve"> 联系人： </w:t>
      </w:r>
      <w:r>
        <w:rPr/>
        <w:t>西安医学院第一附属医院经办</w:t>
      </w:r>
    </w:p>
    <w:p>
      <w:pPr>
        <w:pStyle w:val="null3"/>
      </w:pPr>
      <w:r>
        <w:rPr/>
        <w:t xml:space="preserve"> 联系电话： </w:t>
      </w:r>
      <w:r>
        <w:rPr/>
        <w:t>029-84277525</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采购包1保证金金额：60,000.00元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代理服务费收费标准：招标代理服务费的收取参见国家计委颁布的《招标代理服务收费管理暂行办法》（计价格[2002]1980号）和（发改办价格[2003]857号）收费标准，按照成交金额差额定率累进法计算收取。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西安医学院第一附属医院</w:t>
      </w:r>
      <w:r>
        <w:rPr/>
        <w:t>和</w:t>
      </w:r>
      <w:r>
        <w:rPr/>
        <w:t>陕西中技招标有限公司</w:t>
      </w:r>
      <w:r>
        <w:rPr/>
        <w:t>享有。对招标文件中供应商参加本次政府采购活动应当具备的条件，招标项目技术、服务、商务及其他要求，评标细则及标准由</w:t>
      </w:r>
      <w:r>
        <w:rPr/>
        <w:t>西安医学院第一附属医院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西安医学院第一附属医院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联系人：戴工</w:t>
      </w:r>
    </w:p>
    <w:p>
      <w:pPr>
        <w:pStyle w:val="null3"/>
      </w:pPr>
      <w:r>
        <w:rPr/>
        <w:t>联系电话：029-88364979-856</w:t>
      </w:r>
    </w:p>
    <w:p>
      <w:pPr>
        <w:pStyle w:val="null3"/>
      </w:pPr>
      <w:r>
        <w:rPr/>
        <w:t>地址：西安市高新四路1号高科广场A座10楼1001室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神经外科手术导航定位系统（手术机器人）购置、安装及售后服务，详见招投标文件</w:t>
      </w:r>
    </w:p>
    <w:p>
      <w:pPr>
        <w:pStyle w:val="null3"/>
        <w:outlineLvl w:val="2"/>
      </w:pPr>
      <w:r>
        <w:rPr>
          <w:sz w:val="28"/>
          <w:b/>
        </w:rPr>
        <w:t>3.2采购内容</w:t>
      </w:r>
    </w:p>
    <w:p>
      <w:pPr>
        <w:pStyle w:val="null3"/>
      </w:pPr>
      <w:r>
        <w:rPr/>
        <w:t>采购包1：</w:t>
      </w:r>
    </w:p>
    <w:p>
      <w:pPr>
        <w:pStyle w:val="null3"/>
      </w:pPr>
      <w:r>
        <w:rPr/>
        <w:t>采购包预算金额（元）: 5,000,000.00</w:t>
      </w:r>
    </w:p>
    <w:p>
      <w:pPr>
        <w:pStyle w:val="null3"/>
      </w:pPr>
      <w:r>
        <w:rPr/>
        <w:t>采购包最高限价（元）: 5,000,000.00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神经外科手术导航定位系统（手术机器人）</w:t>
            </w:r>
          </w:p>
        </w:tc>
        <w:tc>
          <w:tcPr>
            <w:tcW w:type="dxa" w:w="831"/>
          </w:tcPr>
          <w:p>
            <w:pPr>
              <w:pStyle w:val="null3"/>
              <w:jc w:val="right"/>
            </w:pPr>
            <w:r>
              <w:rPr/>
              <w:t>1.00</w:t>
            </w:r>
          </w:p>
        </w:tc>
        <w:tc>
          <w:tcPr>
            <w:tcW w:type="dxa" w:w="831"/>
          </w:tcPr>
          <w:p>
            <w:pPr>
              <w:pStyle w:val="null3"/>
              <w:jc w:val="right"/>
            </w:pPr>
            <w:r>
              <w:rPr/>
              <w:t>5,000,000.00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标的名称：神经外科手术导航定位系统（手术机器人）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345" w:after="330"/>
              <w:jc w:val="center"/>
              <w:outlineLvl w:val="0"/>
            </w:pPr>
            <w:r>
              <w:rPr>
                <w:rFonts w:ascii="宋体" w:hAnsi="宋体" w:cs="宋体" w:eastAsia="宋体"/>
                <w:sz w:val="20"/>
                <w:b/>
              </w:rPr>
              <w:t>神经外科手术导航定位系统</w:t>
            </w:r>
          </w:p>
          <w:p>
            <w:pPr>
              <w:pStyle w:val="null3"/>
              <w:numPr>
                <w:ilvl w:val="0"/>
                <w:numId w:val="1"/>
              </w:numPr>
              <w:spacing w:before="105" w:after="105"/>
              <w:jc w:val="left"/>
            </w:pPr>
            <w:r>
              <w:rPr>
                <w:rFonts w:ascii="宋体" w:hAnsi="宋体" w:cs="宋体" w:eastAsia="宋体"/>
                <w:sz w:val="20"/>
              </w:rPr>
              <w:t>机械臂：</w:t>
            </w:r>
          </w:p>
          <w:p>
            <w:pPr>
              <w:pStyle w:val="null3"/>
              <w:numPr>
                <w:ilvl w:val="1"/>
                <w:numId w:val="1"/>
              </w:numPr>
              <w:spacing w:before="105" w:after="105"/>
              <w:jc w:val="left"/>
            </w:pPr>
            <w:r>
              <w:rPr>
                <w:rFonts w:ascii="宋体" w:hAnsi="宋体" w:cs="宋体" w:eastAsia="宋体"/>
                <w:sz w:val="20"/>
              </w:rPr>
              <w:t>机械臂由</w:t>
            </w:r>
            <w:r>
              <w:rPr>
                <w:rFonts w:ascii="宋体" w:hAnsi="宋体" w:cs="宋体" w:eastAsia="宋体"/>
                <w:sz w:val="20"/>
              </w:rPr>
              <w:t>≥5个关节串联而成, 各关节皆可由电机锁定或者电磁锁定。</w:t>
            </w:r>
          </w:p>
          <w:p>
            <w:pPr>
              <w:pStyle w:val="null3"/>
              <w:numPr>
                <w:ilvl w:val="1"/>
                <w:numId w:val="1"/>
              </w:numPr>
              <w:spacing w:before="105" w:after="105"/>
              <w:jc w:val="left"/>
            </w:pPr>
            <w:r>
              <w:rPr>
                <w:rFonts w:ascii="宋体" w:hAnsi="宋体" w:cs="宋体" w:eastAsia="宋体"/>
                <w:sz w:val="20"/>
              </w:rPr>
              <w:t>★</w:t>
            </w:r>
            <w:r>
              <w:rPr>
                <w:rFonts w:ascii="宋体" w:hAnsi="宋体" w:cs="宋体" w:eastAsia="宋体"/>
                <w:sz w:val="20"/>
              </w:rPr>
              <w:t>多旋转关节串联式机械臂定位误差：</w:t>
            </w:r>
            <w:r>
              <w:rPr>
                <w:rFonts w:ascii="宋体" w:hAnsi="宋体" w:cs="宋体" w:eastAsia="宋体"/>
                <w:sz w:val="20"/>
              </w:rPr>
              <w:t>≤0.5mm。（提供第三方的检测报告）</w:t>
            </w:r>
          </w:p>
          <w:p>
            <w:pPr>
              <w:pStyle w:val="null3"/>
              <w:numPr>
                <w:ilvl w:val="1"/>
                <w:numId w:val="1"/>
              </w:numPr>
              <w:spacing w:before="105" w:after="105"/>
              <w:jc w:val="left"/>
            </w:pPr>
            <w:r>
              <w:rPr>
                <w:rFonts w:ascii="宋体" w:hAnsi="宋体" w:cs="宋体" w:eastAsia="宋体"/>
                <w:sz w:val="20"/>
              </w:rPr>
              <w:t>多旋转关节串联式机械臂负载能力：</w:t>
            </w:r>
            <w:r>
              <w:rPr>
                <w:rFonts w:ascii="宋体" w:hAnsi="宋体" w:cs="宋体" w:eastAsia="宋体"/>
                <w:sz w:val="20"/>
              </w:rPr>
              <w:t>≥1KG。</w:t>
            </w:r>
          </w:p>
          <w:p>
            <w:pPr>
              <w:pStyle w:val="null3"/>
              <w:numPr>
                <w:ilvl w:val="1"/>
                <w:numId w:val="1"/>
              </w:numPr>
              <w:spacing w:before="105" w:after="105"/>
              <w:jc w:val="left"/>
            </w:pPr>
            <w:r>
              <w:rPr>
                <w:rFonts w:ascii="宋体" w:hAnsi="宋体" w:cs="宋体" w:eastAsia="宋体"/>
                <w:sz w:val="20"/>
              </w:rPr>
              <w:t>机械臂各串联式关节配备电机或角度传感器。</w:t>
            </w:r>
          </w:p>
          <w:p>
            <w:pPr>
              <w:pStyle w:val="null3"/>
              <w:numPr>
                <w:ilvl w:val="1"/>
                <w:numId w:val="1"/>
              </w:numPr>
              <w:spacing w:before="105" w:after="105"/>
              <w:jc w:val="left"/>
            </w:pPr>
            <w:r>
              <w:rPr>
                <w:rFonts w:ascii="宋体" w:hAnsi="宋体" w:cs="宋体" w:eastAsia="宋体"/>
                <w:sz w:val="20"/>
              </w:rPr>
              <w:t>串联式机械臂可通过一次摆位即可定位至全颅脑任意点坐标。</w:t>
            </w:r>
          </w:p>
          <w:p>
            <w:pPr>
              <w:pStyle w:val="null3"/>
              <w:numPr>
                <w:ilvl w:val="1"/>
                <w:numId w:val="1"/>
              </w:numPr>
              <w:spacing w:before="105" w:after="105"/>
              <w:jc w:val="left"/>
            </w:pPr>
            <w:r>
              <w:rPr>
                <w:rFonts w:ascii="宋体" w:hAnsi="宋体" w:cs="宋体" w:eastAsia="宋体"/>
                <w:sz w:val="20"/>
              </w:rPr>
              <w:t>串联式机械臂可根据操作者在臂体施加的外力进行运动调整，包括单关节转动、自由移动等。</w:t>
            </w:r>
          </w:p>
          <w:p>
            <w:pPr>
              <w:pStyle w:val="null3"/>
              <w:numPr>
                <w:ilvl w:val="1"/>
                <w:numId w:val="1"/>
              </w:numPr>
              <w:spacing w:before="105" w:after="105"/>
              <w:jc w:val="left"/>
            </w:pPr>
            <w:r>
              <w:rPr>
                <w:rFonts w:ascii="宋体" w:hAnsi="宋体" w:cs="宋体" w:eastAsia="宋体"/>
                <w:sz w:val="20"/>
              </w:rPr>
              <w:t>在运动过程中，串联式机械臂受到阻力可立即停止运动。</w:t>
            </w:r>
          </w:p>
          <w:p>
            <w:pPr>
              <w:pStyle w:val="null3"/>
              <w:numPr>
                <w:ilvl w:val="1"/>
                <w:numId w:val="1"/>
              </w:numPr>
              <w:spacing w:before="105" w:after="105"/>
              <w:jc w:val="left"/>
            </w:pPr>
            <w:r>
              <w:rPr>
                <w:rFonts w:ascii="宋体" w:hAnsi="宋体" w:cs="宋体" w:eastAsia="宋体"/>
                <w:sz w:val="20"/>
              </w:rPr>
              <w:t>导向器可安装于串联式机械臂末端，导向器可被光学跟踪定位仪利用光学原理识别追踪三维位置和姿态。</w:t>
            </w:r>
          </w:p>
          <w:p>
            <w:pPr>
              <w:pStyle w:val="null3"/>
              <w:numPr>
                <w:ilvl w:val="0"/>
                <w:numId w:val="1"/>
              </w:numPr>
              <w:spacing w:before="105" w:after="105"/>
              <w:jc w:val="left"/>
            </w:pPr>
            <w:r>
              <w:rPr>
                <w:rFonts w:ascii="宋体" w:hAnsi="宋体" w:cs="宋体" w:eastAsia="宋体"/>
                <w:sz w:val="20"/>
              </w:rPr>
              <w:t>专用工作站：</w:t>
            </w:r>
          </w:p>
          <w:p>
            <w:pPr>
              <w:pStyle w:val="null3"/>
              <w:numPr>
                <w:ilvl w:val="1"/>
                <w:numId w:val="1"/>
              </w:numPr>
              <w:spacing w:before="105" w:after="105"/>
              <w:jc w:val="left"/>
            </w:pPr>
            <w:r>
              <w:rPr>
                <w:rFonts w:ascii="宋体" w:hAnsi="宋体" w:cs="宋体" w:eastAsia="宋体"/>
                <w:sz w:val="20"/>
              </w:rPr>
              <w:t>配置不低于</w:t>
            </w:r>
            <w:r>
              <w:rPr>
                <w:rFonts w:ascii="宋体" w:hAnsi="宋体" w:cs="宋体" w:eastAsia="宋体"/>
                <w:sz w:val="20"/>
              </w:rPr>
              <w:t>Intel I7处理器；≥16G内存；≥1TB固态硬盘；独立显卡。</w:t>
            </w:r>
          </w:p>
          <w:p>
            <w:pPr>
              <w:pStyle w:val="null3"/>
              <w:numPr>
                <w:ilvl w:val="1"/>
                <w:numId w:val="1"/>
              </w:numPr>
              <w:spacing w:before="105" w:after="105"/>
              <w:jc w:val="left"/>
            </w:pPr>
            <w:r>
              <w:rPr>
                <w:rFonts w:ascii="宋体" w:hAnsi="宋体" w:cs="宋体" w:eastAsia="宋体"/>
                <w:sz w:val="20"/>
              </w:rPr>
              <w:t>显示器：</w:t>
            </w:r>
            <w:r>
              <w:rPr>
                <w:rFonts w:ascii="宋体" w:hAnsi="宋体" w:cs="宋体" w:eastAsia="宋体"/>
                <w:sz w:val="20"/>
              </w:rPr>
              <w:t>≥21英寸高清触控屏。</w:t>
            </w:r>
          </w:p>
          <w:p>
            <w:pPr>
              <w:pStyle w:val="null3"/>
              <w:numPr>
                <w:ilvl w:val="1"/>
                <w:numId w:val="1"/>
              </w:numPr>
              <w:spacing w:before="105" w:after="105"/>
              <w:jc w:val="left"/>
            </w:pPr>
            <w:r>
              <w:rPr>
                <w:rFonts w:ascii="宋体" w:hAnsi="宋体" w:cs="宋体" w:eastAsia="宋体"/>
                <w:sz w:val="20"/>
              </w:rPr>
              <w:t>具有光驱和</w:t>
            </w:r>
            <w:r>
              <w:rPr>
                <w:rFonts w:ascii="宋体" w:hAnsi="宋体" w:cs="宋体" w:eastAsia="宋体"/>
                <w:sz w:val="20"/>
              </w:rPr>
              <w:t>USB接口，配有鼠标和键盘。</w:t>
            </w:r>
          </w:p>
          <w:p>
            <w:pPr>
              <w:pStyle w:val="null3"/>
              <w:numPr>
                <w:ilvl w:val="0"/>
                <w:numId w:val="1"/>
              </w:numPr>
              <w:spacing w:before="105" w:after="105"/>
              <w:jc w:val="left"/>
            </w:pPr>
            <w:r>
              <w:rPr>
                <w:rFonts w:ascii="宋体" w:hAnsi="宋体" w:cs="宋体" w:eastAsia="宋体"/>
                <w:sz w:val="20"/>
              </w:rPr>
              <w:t>光学跟踪定位仪：</w:t>
            </w:r>
          </w:p>
          <w:p>
            <w:pPr>
              <w:pStyle w:val="null3"/>
              <w:numPr>
                <w:ilvl w:val="1"/>
                <w:numId w:val="1"/>
              </w:numPr>
              <w:spacing w:before="105" w:after="105"/>
              <w:jc w:val="left"/>
            </w:pPr>
            <w:r>
              <w:rPr>
                <w:rFonts w:ascii="宋体" w:hAnsi="宋体" w:cs="宋体" w:eastAsia="宋体"/>
                <w:sz w:val="20"/>
              </w:rPr>
              <w:t>采用双目或以上光学跟踪定位仪，配有专用多关节支架，实现对目标物三维位置和姿态的实时亚毫米级追踪。</w:t>
            </w:r>
          </w:p>
          <w:p>
            <w:pPr>
              <w:pStyle w:val="null3"/>
              <w:numPr>
                <w:ilvl w:val="1"/>
                <w:numId w:val="1"/>
              </w:numPr>
              <w:spacing w:before="105" w:after="105"/>
              <w:jc w:val="left"/>
            </w:pPr>
            <w:r>
              <w:rPr>
                <w:rFonts w:ascii="宋体" w:hAnsi="宋体" w:cs="宋体" w:eastAsia="宋体"/>
                <w:sz w:val="20"/>
              </w:rPr>
              <w:t>专用光学跟踪定位仪支架具备竖直旋转、水平旋转等关节，可独立于主设备外实现定位仪在手术室内的灵活摆位。</w:t>
            </w:r>
          </w:p>
          <w:p>
            <w:pPr>
              <w:pStyle w:val="null3"/>
              <w:numPr>
                <w:ilvl w:val="1"/>
                <w:numId w:val="1"/>
              </w:numPr>
              <w:spacing w:before="105" w:after="105"/>
              <w:jc w:val="left"/>
            </w:pPr>
            <w:r>
              <w:rPr>
                <w:rFonts w:ascii="宋体" w:hAnsi="宋体" w:cs="宋体" w:eastAsia="宋体"/>
                <w:sz w:val="20"/>
              </w:rPr>
              <w:t>光学跟踪定位仪可同时追踪</w:t>
            </w:r>
            <w:r>
              <w:rPr>
                <w:rFonts w:ascii="宋体" w:hAnsi="宋体" w:cs="宋体" w:eastAsia="宋体"/>
                <w:sz w:val="20"/>
              </w:rPr>
              <w:t>≥20个导航工具目标。</w:t>
            </w:r>
          </w:p>
          <w:p>
            <w:pPr>
              <w:pStyle w:val="null3"/>
              <w:numPr>
                <w:ilvl w:val="1"/>
                <w:numId w:val="1"/>
              </w:numPr>
              <w:spacing w:before="105" w:after="105"/>
              <w:jc w:val="left"/>
            </w:pPr>
            <w:r>
              <w:rPr>
                <w:rFonts w:ascii="宋体" w:hAnsi="宋体" w:cs="宋体" w:eastAsia="宋体"/>
                <w:sz w:val="20"/>
              </w:rPr>
              <w:t>跟踪导航探针，在系统中实时显示探针所指位置和方向，不需要定位机械臂引导。</w:t>
            </w:r>
          </w:p>
          <w:p>
            <w:pPr>
              <w:pStyle w:val="null3"/>
              <w:numPr>
                <w:ilvl w:val="0"/>
                <w:numId w:val="1"/>
              </w:numPr>
              <w:spacing w:before="105" w:after="105"/>
              <w:jc w:val="left"/>
            </w:pPr>
            <w:r>
              <w:rPr>
                <w:rFonts w:ascii="宋体" w:hAnsi="宋体" w:cs="宋体" w:eastAsia="宋体"/>
                <w:sz w:val="20"/>
              </w:rPr>
              <w:t>主控台车：承载机械臂或定位装置、专用工作站和显示器等，可万向推动，可稳固锁定。</w:t>
            </w:r>
          </w:p>
          <w:p>
            <w:pPr>
              <w:pStyle w:val="null3"/>
              <w:numPr>
                <w:ilvl w:val="0"/>
                <w:numId w:val="1"/>
              </w:numPr>
              <w:spacing w:before="105" w:after="105"/>
              <w:jc w:val="left"/>
            </w:pPr>
            <w:r>
              <w:rPr>
                <w:rFonts w:ascii="宋体" w:hAnsi="宋体" w:cs="宋体" w:eastAsia="宋体"/>
                <w:sz w:val="20"/>
              </w:rPr>
              <w:t>自动注册标志物：可被光学跟踪定位仪自动追踪，实现对患者的无接触、自动注册。</w:t>
            </w:r>
          </w:p>
          <w:p>
            <w:pPr>
              <w:pStyle w:val="null3"/>
              <w:numPr>
                <w:ilvl w:val="0"/>
                <w:numId w:val="1"/>
              </w:numPr>
              <w:spacing w:before="105" w:after="105"/>
              <w:jc w:val="left"/>
            </w:pPr>
            <w:r>
              <w:rPr>
                <w:rFonts w:ascii="宋体" w:hAnsi="宋体" w:cs="宋体" w:eastAsia="宋体"/>
                <w:sz w:val="20"/>
              </w:rPr>
              <w:t>光学导航工具：可被光学跟踪定位仪实时追踪三维位置和姿态，实现术中实时光学导航。</w:t>
            </w:r>
          </w:p>
          <w:p>
            <w:pPr>
              <w:pStyle w:val="null3"/>
              <w:numPr>
                <w:ilvl w:val="0"/>
                <w:numId w:val="1"/>
              </w:numPr>
              <w:spacing w:before="105" w:after="105"/>
              <w:jc w:val="left"/>
            </w:pPr>
            <w:r>
              <w:rPr>
                <w:rFonts w:ascii="宋体" w:hAnsi="宋体" w:cs="宋体" w:eastAsia="宋体"/>
                <w:sz w:val="20"/>
              </w:rPr>
              <w:t>影像处理模块：</w:t>
            </w:r>
          </w:p>
          <w:p>
            <w:pPr>
              <w:pStyle w:val="null3"/>
              <w:numPr>
                <w:ilvl w:val="1"/>
                <w:numId w:val="1"/>
              </w:numPr>
              <w:spacing w:before="105" w:after="105"/>
              <w:jc w:val="left"/>
            </w:pPr>
            <w:r>
              <w:rPr>
                <w:rFonts w:ascii="宋体" w:hAnsi="宋体" w:cs="宋体" w:eastAsia="宋体"/>
                <w:sz w:val="20"/>
              </w:rPr>
              <w:t>具备</w:t>
            </w:r>
            <w:r>
              <w:rPr>
                <w:rFonts w:ascii="宋体" w:hAnsi="宋体" w:cs="宋体" w:eastAsia="宋体"/>
                <w:sz w:val="20"/>
              </w:rPr>
              <w:t>DICOM3.0文件读取、解析、预览和显示。</w:t>
            </w:r>
          </w:p>
          <w:p>
            <w:pPr>
              <w:pStyle w:val="null3"/>
              <w:numPr>
                <w:ilvl w:val="1"/>
                <w:numId w:val="1"/>
              </w:numPr>
              <w:spacing w:before="105" w:after="105"/>
              <w:jc w:val="left"/>
            </w:pPr>
            <w:r>
              <w:rPr>
                <w:rFonts w:ascii="宋体" w:hAnsi="宋体" w:cs="宋体" w:eastAsia="宋体"/>
                <w:sz w:val="20"/>
              </w:rPr>
              <w:t xml:space="preserve"> </w:t>
            </w:r>
            <w:r>
              <w:rPr>
                <w:rFonts w:ascii="宋体" w:hAnsi="宋体" w:cs="宋体" w:eastAsia="宋体"/>
                <w:sz w:val="20"/>
              </w:rPr>
              <w:t>具备</w:t>
            </w:r>
            <w:r>
              <w:rPr>
                <w:rFonts w:ascii="宋体" w:hAnsi="宋体" w:cs="宋体" w:eastAsia="宋体"/>
                <w:sz w:val="20"/>
              </w:rPr>
              <w:t>CT、MRI（MRA、T1、T2、MRV、DTI等）、PET等多模态影像融合。</w:t>
            </w:r>
          </w:p>
          <w:p>
            <w:pPr>
              <w:pStyle w:val="null3"/>
              <w:numPr>
                <w:ilvl w:val="1"/>
                <w:numId w:val="1"/>
              </w:numPr>
              <w:spacing w:before="105" w:after="105"/>
              <w:jc w:val="left"/>
            </w:pPr>
            <w:r>
              <w:rPr>
                <w:rFonts w:ascii="宋体" w:hAnsi="宋体" w:cs="宋体" w:eastAsia="宋体"/>
                <w:sz w:val="20"/>
              </w:rPr>
              <w:t>具备影像间自动融合、手动融合和基于解剖特征点融合。</w:t>
            </w:r>
          </w:p>
          <w:p>
            <w:pPr>
              <w:pStyle w:val="null3"/>
              <w:numPr>
                <w:ilvl w:val="1"/>
                <w:numId w:val="1"/>
              </w:numPr>
              <w:spacing w:before="105" w:after="105"/>
              <w:jc w:val="left"/>
            </w:pPr>
            <w:r>
              <w:rPr>
                <w:rFonts w:ascii="宋体" w:hAnsi="宋体" w:cs="宋体" w:eastAsia="宋体"/>
                <w:sz w:val="20"/>
              </w:rPr>
              <w:t>具备自动融合时设定兴趣区融合。</w:t>
            </w:r>
          </w:p>
          <w:p>
            <w:pPr>
              <w:pStyle w:val="null3"/>
              <w:numPr>
                <w:ilvl w:val="1"/>
                <w:numId w:val="1"/>
              </w:numPr>
              <w:spacing w:before="105" w:after="105"/>
              <w:jc w:val="left"/>
            </w:pPr>
            <w:r>
              <w:rPr>
                <w:rFonts w:ascii="宋体" w:hAnsi="宋体" w:cs="宋体" w:eastAsia="宋体"/>
                <w:sz w:val="20"/>
              </w:rPr>
              <w:t>具备融合微调，包括平移和旋转微调。</w:t>
            </w:r>
          </w:p>
          <w:p>
            <w:pPr>
              <w:pStyle w:val="null3"/>
              <w:numPr>
                <w:ilvl w:val="1"/>
                <w:numId w:val="1"/>
              </w:numPr>
              <w:spacing w:before="105" w:after="105"/>
              <w:jc w:val="left"/>
            </w:pPr>
            <w:r>
              <w:rPr>
                <w:rFonts w:ascii="宋体" w:hAnsi="宋体" w:cs="宋体" w:eastAsia="宋体"/>
                <w:sz w:val="20"/>
              </w:rPr>
              <w:t>具备以透明叠加、棋盘格、混合等视图方式呈现融合结果。</w:t>
            </w:r>
          </w:p>
          <w:p>
            <w:pPr>
              <w:pStyle w:val="null3"/>
              <w:numPr>
                <w:ilvl w:val="1"/>
                <w:numId w:val="1"/>
              </w:numPr>
              <w:spacing w:before="105" w:after="105"/>
              <w:jc w:val="left"/>
            </w:pPr>
            <w:r>
              <w:rPr>
                <w:rFonts w:ascii="宋体" w:hAnsi="宋体" w:cs="宋体" w:eastAsia="宋体"/>
                <w:sz w:val="20"/>
              </w:rPr>
              <w:t>具备影像分割不同解剖结构（皮肤、颅骨、血管、脑皮层等）的三维模型和脑皮层、血管等所分割的三维模型的叠加显示。</w:t>
            </w:r>
          </w:p>
          <w:p>
            <w:pPr>
              <w:pStyle w:val="null3"/>
              <w:numPr>
                <w:ilvl w:val="1"/>
                <w:numId w:val="1"/>
              </w:numPr>
              <w:spacing w:before="105" w:after="105"/>
              <w:jc w:val="left"/>
            </w:pPr>
            <w:r>
              <w:rPr>
                <w:rFonts w:ascii="宋体" w:hAnsi="宋体" w:cs="宋体" w:eastAsia="宋体"/>
                <w:sz w:val="20"/>
              </w:rPr>
              <w:t>重构轴位面、冠状面、矢状面、垂直于路径的横截面和平行于路径的横截面视图。</w:t>
            </w:r>
          </w:p>
          <w:p>
            <w:pPr>
              <w:pStyle w:val="null3"/>
              <w:numPr>
                <w:ilvl w:val="1"/>
                <w:numId w:val="1"/>
              </w:numPr>
              <w:spacing w:before="105" w:after="105"/>
              <w:jc w:val="left"/>
            </w:pPr>
            <w:r>
              <w:rPr>
                <w:rFonts w:ascii="宋体" w:hAnsi="宋体" w:cs="宋体" w:eastAsia="宋体"/>
                <w:sz w:val="20"/>
              </w:rPr>
              <w:t>具备影像灰阶和彩色显示及调整。</w:t>
            </w:r>
          </w:p>
          <w:p>
            <w:pPr>
              <w:pStyle w:val="null3"/>
              <w:numPr>
                <w:ilvl w:val="1"/>
                <w:numId w:val="1"/>
              </w:numPr>
              <w:spacing w:before="105" w:after="105"/>
              <w:jc w:val="left"/>
            </w:pPr>
            <w:r>
              <w:rPr>
                <w:rFonts w:ascii="宋体" w:hAnsi="宋体" w:cs="宋体" w:eastAsia="宋体"/>
                <w:sz w:val="20"/>
              </w:rPr>
              <w:t>具备二维、三维距离测量、角度测量；调整三维模型的透明度等显示属性；放大、缩小、平移、旋转二维影像和三维模型。</w:t>
            </w:r>
          </w:p>
          <w:p>
            <w:pPr>
              <w:pStyle w:val="null3"/>
              <w:numPr>
                <w:ilvl w:val="0"/>
                <w:numId w:val="1"/>
              </w:numPr>
              <w:spacing w:before="105" w:after="105"/>
              <w:jc w:val="left"/>
            </w:pPr>
            <w:r>
              <w:rPr>
                <w:rFonts w:ascii="宋体" w:hAnsi="宋体" w:cs="宋体" w:eastAsia="宋体"/>
                <w:sz w:val="20"/>
              </w:rPr>
              <w:t>手术计划模块：</w:t>
            </w:r>
          </w:p>
          <w:p>
            <w:pPr>
              <w:pStyle w:val="null3"/>
              <w:numPr>
                <w:ilvl w:val="1"/>
                <w:numId w:val="1"/>
              </w:numPr>
              <w:spacing w:before="105" w:after="105"/>
              <w:jc w:val="left"/>
            </w:pPr>
            <w:r>
              <w:rPr>
                <w:rFonts w:ascii="宋体" w:hAnsi="宋体" w:cs="宋体" w:eastAsia="宋体"/>
                <w:sz w:val="20"/>
              </w:rPr>
              <w:t>具备</w:t>
            </w:r>
            <w:r>
              <w:rPr>
                <w:rFonts w:ascii="宋体" w:hAnsi="宋体" w:cs="宋体" w:eastAsia="宋体"/>
                <w:sz w:val="20"/>
              </w:rPr>
              <w:t>病灶等兴趣区域的自动、手动轮廓勾画；病灶等兴趣区域三维体积的计算及病灶等兴趣区域的三维显示；</w:t>
            </w:r>
          </w:p>
          <w:p>
            <w:pPr>
              <w:pStyle w:val="null3"/>
              <w:numPr>
                <w:ilvl w:val="1"/>
                <w:numId w:val="1"/>
              </w:numPr>
              <w:spacing w:before="105" w:after="105"/>
              <w:jc w:val="left"/>
            </w:pPr>
            <w:r>
              <w:rPr>
                <w:rFonts w:ascii="宋体" w:hAnsi="宋体" w:cs="宋体" w:eastAsia="宋体"/>
                <w:sz w:val="20"/>
              </w:rPr>
              <w:t>具备在二维影像和三维解剖上设定手术靶点、入颅点，规划多个手术路径；</w:t>
            </w:r>
          </w:p>
          <w:p>
            <w:pPr>
              <w:pStyle w:val="null3"/>
              <w:numPr>
                <w:ilvl w:val="1"/>
                <w:numId w:val="1"/>
              </w:numPr>
              <w:spacing w:before="105" w:after="105"/>
              <w:jc w:val="left"/>
            </w:pPr>
            <w:r>
              <w:rPr>
                <w:rFonts w:ascii="宋体" w:hAnsi="宋体" w:cs="宋体" w:eastAsia="宋体"/>
                <w:sz w:val="20"/>
              </w:rPr>
              <w:t>具备手术路径的二维和三维显示，对手术路径可见性等显示属性设置，和手术路径与轴位面、冠状面和矢状面视图交点的二维和三维显示；</w:t>
            </w:r>
          </w:p>
          <w:p>
            <w:pPr>
              <w:pStyle w:val="null3"/>
              <w:numPr>
                <w:ilvl w:val="1"/>
                <w:numId w:val="1"/>
              </w:numPr>
              <w:spacing w:before="105" w:after="105"/>
              <w:jc w:val="left"/>
            </w:pPr>
            <w:r>
              <w:rPr>
                <w:rFonts w:ascii="宋体" w:hAnsi="宋体" w:cs="宋体" w:eastAsia="宋体"/>
                <w:sz w:val="20"/>
              </w:rPr>
              <w:t>具备定义</w:t>
            </w:r>
            <w:r>
              <w:rPr>
                <w:rFonts w:ascii="宋体" w:hAnsi="宋体" w:cs="宋体" w:eastAsia="宋体"/>
                <w:sz w:val="20"/>
              </w:rPr>
              <w:t>AC-PC坐标系，并重组视图，支持在AC-PC坐标系中直接输入坐标设定路径靶点；</w:t>
            </w:r>
          </w:p>
          <w:p>
            <w:pPr>
              <w:pStyle w:val="null3"/>
              <w:numPr>
                <w:ilvl w:val="1"/>
                <w:numId w:val="1"/>
              </w:numPr>
              <w:spacing w:before="105" w:after="105"/>
              <w:jc w:val="left"/>
            </w:pPr>
            <w:r>
              <w:rPr>
                <w:rFonts w:ascii="宋体" w:hAnsi="宋体" w:cs="宋体" w:eastAsia="宋体"/>
                <w:sz w:val="20"/>
              </w:rPr>
              <w:t>具备电极路径的触点显示；</w:t>
            </w:r>
          </w:p>
          <w:p>
            <w:pPr>
              <w:pStyle w:val="null3"/>
              <w:numPr>
                <w:ilvl w:val="1"/>
                <w:numId w:val="1"/>
              </w:numPr>
              <w:spacing w:before="105" w:after="105"/>
              <w:jc w:val="left"/>
            </w:pPr>
            <w:r>
              <w:rPr>
                <w:rFonts w:ascii="宋体" w:hAnsi="宋体" w:cs="宋体" w:eastAsia="宋体"/>
                <w:sz w:val="20"/>
              </w:rPr>
              <w:t>具备当前手术规划导出</w:t>
            </w:r>
            <w:r>
              <w:rPr>
                <w:rFonts w:ascii="宋体" w:hAnsi="宋体" w:cs="宋体" w:eastAsia="宋体"/>
                <w:sz w:val="20"/>
              </w:rPr>
              <w:t>/导入。</w:t>
            </w:r>
          </w:p>
          <w:p>
            <w:pPr>
              <w:pStyle w:val="null3"/>
              <w:numPr>
                <w:ilvl w:val="0"/>
                <w:numId w:val="1"/>
              </w:numPr>
              <w:spacing w:before="105" w:after="105"/>
              <w:jc w:val="left"/>
            </w:pPr>
            <w:r>
              <w:rPr>
                <w:rFonts w:ascii="宋体" w:hAnsi="宋体" w:cs="宋体" w:eastAsia="宋体"/>
                <w:sz w:val="20"/>
              </w:rPr>
              <w:t>手术注册模块</w:t>
            </w:r>
            <w:r>
              <w:rPr>
                <w:rFonts w:ascii="宋体" w:hAnsi="宋体" w:cs="宋体" w:eastAsia="宋体"/>
                <w:sz w:val="20"/>
              </w:rPr>
              <w:t xml:space="preserve"> ：</w:t>
            </w:r>
          </w:p>
          <w:p>
            <w:pPr>
              <w:pStyle w:val="null3"/>
              <w:numPr>
                <w:ilvl w:val="1"/>
                <w:numId w:val="1"/>
              </w:numPr>
              <w:spacing w:before="105" w:after="105"/>
              <w:jc w:val="left"/>
            </w:pPr>
            <w:r>
              <w:rPr>
                <w:rFonts w:ascii="宋体" w:hAnsi="宋体" w:cs="宋体" w:eastAsia="宋体"/>
                <w:sz w:val="20"/>
              </w:rPr>
              <w:t>在光学跟踪定位仪追踪下，术者可手持注册探针实现患者全体位的灵活、快速位置注册；</w:t>
            </w:r>
          </w:p>
          <w:p>
            <w:pPr>
              <w:pStyle w:val="null3"/>
              <w:numPr>
                <w:ilvl w:val="1"/>
                <w:numId w:val="1"/>
              </w:numPr>
              <w:spacing w:before="105" w:after="105"/>
              <w:jc w:val="left"/>
            </w:pPr>
            <w:r>
              <w:rPr>
                <w:rFonts w:ascii="宋体" w:hAnsi="宋体" w:cs="宋体" w:eastAsia="宋体"/>
                <w:sz w:val="20"/>
              </w:rPr>
              <w:t>通过各串联关节的电机或者角度传感器，即可完成机械臂位置注册；</w:t>
            </w:r>
          </w:p>
          <w:p>
            <w:pPr>
              <w:pStyle w:val="null3"/>
              <w:numPr>
                <w:ilvl w:val="1"/>
                <w:numId w:val="1"/>
              </w:numPr>
              <w:spacing w:before="105" w:after="105"/>
              <w:jc w:val="left"/>
            </w:pPr>
            <w:r>
              <w:rPr>
                <w:rFonts w:ascii="宋体" w:hAnsi="宋体" w:cs="宋体" w:eastAsia="宋体"/>
                <w:sz w:val="20"/>
              </w:rPr>
              <w:t>支持在系统中对注册点的自动和手动识别标记；</w:t>
            </w:r>
          </w:p>
          <w:p>
            <w:pPr>
              <w:pStyle w:val="null3"/>
              <w:numPr>
                <w:ilvl w:val="1"/>
                <w:numId w:val="1"/>
              </w:numPr>
              <w:spacing w:before="105" w:after="105"/>
              <w:jc w:val="left"/>
            </w:pPr>
            <w:r>
              <w:rPr>
                <w:rFonts w:ascii="宋体" w:hAnsi="宋体" w:cs="宋体" w:eastAsia="宋体"/>
                <w:sz w:val="20"/>
              </w:rPr>
              <w:t>光学跟踪定位仪利用光学原理，实时追踪自动注册标志物，实现对患者的快速自动注册；</w:t>
            </w:r>
          </w:p>
          <w:p>
            <w:pPr>
              <w:pStyle w:val="null3"/>
              <w:numPr>
                <w:ilvl w:val="1"/>
                <w:numId w:val="1"/>
              </w:numPr>
              <w:spacing w:before="105" w:after="105"/>
              <w:jc w:val="left"/>
            </w:pPr>
            <w:r>
              <w:rPr>
                <w:rFonts w:ascii="宋体" w:hAnsi="宋体" w:cs="宋体" w:eastAsia="宋体"/>
                <w:sz w:val="20"/>
              </w:rPr>
              <w:t>在光学跟踪定位仪追踪下，术者可手持探针对患者特征点进行识别和位置采集；</w:t>
            </w:r>
          </w:p>
          <w:p>
            <w:pPr>
              <w:pStyle w:val="null3"/>
              <w:numPr>
                <w:ilvl w:val="1"/>
                <w:numId w:val="1"/>
              </w:numPr>
              <w:spacing w:before="105" w:after="105"/>
              <w:jc w:val="left"/>
            </w:pPr>
            <w:r>
              <w:rPr>
                <w:rFonts w:ascii="宋体" w:hAnsi="宋体" w:cs="宋体" w:eastAsia="宋体"/>
                <w:sz w:val="20"/>
              </w:rPr>
              <w:t>具备注册点移位的纠正及手术注册信息的自动保存和加载功能。</w:t>
            </w:r>
          </w:p>
          <w:p>
            <w:pPr>
              <w:pStyle w:val="null3"/>
              <w:numPr>
                <w:ilvl w:val="0"/>
                <w:numId w:val="1"/>
              </w:numPr>
              <w:spacing w:before="105" w:after="105"/>
              <w:jc w:val="left"/>
            </w:pPr>
            <w:r>
              <w:rPr>
                <w:rFonts w:ascii="宋体" w:hAnsi="宋体" w:cs="宋体" w:eastAsia="宋体"/>
                <w:sz w:val="20"/>
              </w:rPr>
              <w:t>手术定位模块：</w:t>
            </w:r>
          </w:p>
          <w:p>
            <w:pPr>
              <w:pStyle w:val="null3"/>
              <w:numPr>
                <w:ilvl w:val="1"/>
                <w:numId w:val="1"/>
              </w:numPr>
              <w:spacing w:before="105" w:after="105"/>
              <w:jc w:val="left"/>
            </w:pPr>
            <w:r>
              <w:rPr>
                <w:rFonts w:ascii="宋体" w:hAnsi="宋体" w:cs="宋体" w:eastAsia="宋体"/>
                <w:sz w:val="20"/>
              </w:rPr>
              <w:t>根据术前的手术规划方案，系统可计算串联式机械臂各关节的目标转动角度；</w:t>
            </w:r>
          </w:p>
          <w:p>
            <w:pPr>
              <w:pStyle w:val="null3"/>
              <w:numPr>
                <w:ilvl w:val="1"/>
                <w:numId w:val="1"/>
              </w:numPr>
              <w:spacing w:before="105" w:after="105"/>
              <w:jc w:val="left"/>
            </w:pPr>
            <w:r>
              <w:rPr>
                <w:rFonts w:ascii="宋体" w:hAnsi="宋体" w:cs="宋体" w:eastAsia="宋体"/>
                <w:sz w:val="20"/>
              </w:rPr>
              <w:t>通过机械臂各串联关节，通过一次自动摆位即可引导手术器械定位至靶点进行手术的开展；</w:t>
            </w:r>
          </w:p>
          <w:p>
            <w:pPr>
              <w:pStyle w:val="null3"/>
              <w:numPr>
                <w:ilvl w:val="1"/>
                <w:numId w:val="1"/>
              </w:numPr>
              <w:spacing w:before="105" w:after="105"/>
              <w:jc w:val="left"/>
            </w:pPr>
            <w:r>
              <w:rPr>
                <w:rFonts w:ascii="宋体" w:hAnsi="宋体" w:cs="宋体" w:eastAsia="宋体"/>
                <w:sz w:val="20"/>
              </w:rPr>
              <w:t>在光学跟踪定位仪追踪下，控制串联式机械臂可验证在术中定位精度；</w:t>
            </w:r>
          </w:p>
          <w:p>
            <w:pPr>
              <w:pStyle w:val="null3"/>
              <w:numPr>
                <w:ilvl w:val="1"/>
                <w:numId w:val="1"/>
              </w:numPr>
              <w:spacing w:before="105" w:after="105"/>
              <w:jc w:val="left"/>
            </w:pPr>
            <w:r>
              <w:rPr>
                <w:rFonts w:ascii="宋体" w:hAnsi="宋体" w:cs="宋体" w:eastAsia="宋体"/>
                <w:sz w:val="20"/>
              </w:rPr>
              <w:t>串联式机械臂可通过各关节自动摆位进行轴向运动等靶点路径调整，可满足在术中路径调整。</w:t>
            </w:r>
          </w:p>
          <w:p>
            <w:pPr>
              <w:pStyle w:val="null3"/>
              <w:numPr>
                <w:ilvl w:val="0"/>
                <w:numId w:val="1"/>
              </w:numPr>
              <w:spacing w:before="105" w:after="105"/>
              <w:jc w:val="left"/>
            </w:pPr>
            <w:r>
              <w:rPr>
                <w:rFonts w:ascii="宋体" w:hAnsi="宋体" w:cs="宋体" w:eastAsia="宋体"/>
                <w:sz w:val="20"/>
              </w:rPr>
              <w:t>手术导航模块</w:t>
            </w:r>
            <w:r>
              <w:rPr>
                <w:rFonts w:ascii="宋体" w:hAnsi="宋体" w:cs="宋体" w:eastAsia="宋体"/>
                <w:sz w:val="20"/>
              </w:rPr>
              <w:t xml:space="preserve"> ：</w:t>
            </w:r>
          </w:p>
          <w:p>
            <w:pPr>
              <w:pStyle w:val="null3"/>
              <w:numPr>
                <w:ilvl w:val="1"/>
                <w:numId w:val="1"/>
              </w:numPr>
              <w:spacing w:before="105" w:after="105"/>
              <w:jc w:val="left"/>
            </w:pPr>
            <w:r>
              <w:rPr>
                <w:rFonts w:ascii="宋体" w:hAnsi="宋体" w:cs="宋体" w:eastAsia="宋体"/>
                <w:sz w:val="20"/>
              </w:rPr>
              <w:t>光学跟踪定位仪利用光学原理，在术中实时追踪术者手持的导航探针</w:t>
            </w:r>
            <w:r>
              <w:rPr>
                <w:rFonts w:ascii="宋体" w:hAnsi="宋体" w:cs="宋体" w:eastAsia="宋体"/>
                <w:sz w:val="20"/>
              </w:rPr>
              <w:t>, 在系统中实时显示导航探针所指的位置和方向；</w:t>
            </w:r>
          </w:p>
          <w:p>
            <w:pPr>
              <w:pStyle w:val="null3"/>
              <w:numPr>
                <w:ilvl w:val="1"/>
                <w:numId w:val="1"/>
              </w:numPr>
              <w:spacing w:before="105" w:after="105"/>
              <w:jc w:val="left"/>
            </w:pPr>
            <w:r>
              <w:rPr>
                <w:rFonts w:ascii="宋体" w:hAnsi="宋体" w:cs="宋体" w:eastAsia="宋体"/>
                <w:sz w:val="20"/>
              </w:rPr>
              <w:t>光学跟踪定位仪在追踪术者手持的导航探针时，在影像系统中可虚拟显示导航工具所指方向上更深入的解剖结构，深入距离可任意设定；</w:t>
            </w:r>
          </w:p>
          <w:p>
            <w:pPr>
              <w:pStyle w:val="null3"/>
              <w:numPr>
                <w:ilvl w:val="1"/>
                <w:numId w:val="1"/>
              </w:numPr>
              <w:spacing w:before="105" w:after="105"/>
              <w:jc w:val="left"/>
            </w:pPr>
            <w:r>
              <w:rPr>
                <w:rFonts w:ascii="宋体" w:hAnsi="宋体" w:cs="宋体" w:eastAsia="宋体"/>
                <w:sz w:val="20"/>
              </w:rPr>
              <w:t>光学跟踪定位仪利用光学原理，自动识别并计算患者示踪架，实现对术中患者移动的实时注册；</w:t>
            </w:r>
          </w:p>
          <w:p>
            <w:pPr>
              <w:pStyle w:val="null3"/>
              <w:ind w:left="420"/>
              <w:jc w:val="both"/>
            </w:pPr>
            <w:r>
              <w:rPr>
                <w:rFonts w:ascii="宋体" w:hAnsi="宋体" w:cs="宋体" w:eastAsia="宋体"/>
                <w:sz w:val="20"/>
              </w:rPr>
              <w:t>11.4具备脱离系统中机械臂的情况下，控制光学跟踪定位仪利用光学原理进行光学导航。</w:t>
            </w:r>
          </w:p>
          <w:p>
            <w:pPr>
              <w:pStyle w:val="null3"/>
              <w:ind w:left="420"/>
              <w:jc w:val="both"/>
            </w:pPr>
            <w:r>
              <w:rPr>
                <w:rFonts w:ascii="宋体" w:hAnsi="宋体" w:cs="宋体" w:eastAsia="宋体"/>
                <w:sz w:val="20"/>
              </w:rPr>
              <w:t>12.配置：</w:t>
            </w:r>
          </w:p>
          <w:p>
            <w:pPr>
              <w:pStyle w:val="null3"/>
              <w:ind w:left="420"/>
              <w:jc w:val="both"/>
            </w:pPr>
            <w:r>
              <w:rPr>
                <w:rFonts w:ascii="宋体" w:hAnsi="宋体" w:cs="宋体" w:eastAsia="宋体"/>
                <w:sz w:val="20"/>
              </w:rPr>
              <w:t>12.1 神经外科手术导航定位系统主机1台</w:t>
            </w:r>
          </w:p>
          <w:p>
            <w:pPr>
              <w:pStyle w:val="null3"/>
              <w:ind w:left="420"/>
              <w:jc w:val="both"/>
            </w:pPr>
            <w:r>
              <w:rPr>
                <w:rFonts w:ascii="宋体" w:hAnsi="宋体" w:cs="宋体" w:eastAsia="宋体"/>
                <w:sz w:val="20"/>
              </w:rPr>
              <w:t>12.2 光学跟踪定位仪1台</w:t>
            </w:r>
          </w:p>
          <w:p>
            <w:pPr>
              <w:pStyle w:val="null3"/>
              <w:jc w:val="both"/>
            </w:pPr>
            <w:r>
              <w:rPr>
                <w:rFonts w:ascii="宋体" w:hAnsi="宋体" w:cs="宋体" w:eastAsia="宋体"/>
                <w:sz w:val="20"/>
              </w:rPr>
              <w:t>12.3 备品备件：探针、参考架</w:t>
            </w:r>
          </w:p>
        </w:tc>
      </w:tr>
      <w:tr>
        <w:tc>
          <w:tcPr>
            <w:tcW w:type="dxa" w:w="2769"/>
          </w:tcPr>
          <w:p/>
        </w:tc>
        <w:tc>
          <w:tcPr>
            <w:tcW w:type="dxa" w:w="2769"/>
          </w:tcPr>
          <w:p>
            <w:pPr>
              <w:pStyle w:val="null3"/>
            </w:pPr>
            <w:r>
              <w:rPr/>
              <w:t>2</w:t>
            </w:r>
          </w:p>
        </w:tc>
        <w:tc>
          <w:tcPr>
            <w:tcW w:type="dxa" w:w="2769"/>
          </w:tcPr>
          <w:p>
            <w:pPr>
              <w:pStyle w:val="null3"/>
              <w:ind w:left="420"/>
              <w:jc w:val="both"/>
            </w:pPr>
            <w:r>
              <w:rPr>
                <w:rFonts w:ascii="仿宋" w:hAnsi="仿宋" w:cs="仿宋" w:eastAsia="仿宋"/>
                <w:sz w:val="24"/>
              </w:rPr>
              <w:t>商务要求</w:t>
            </w:r>
          </w:p>
          <w:tbl>
            <w:tblPr>
              <w:tblBorders>
                <w:top w:val="none" w:color="000000" w:sz="4"/>
                <w:left w:val="none" w:color="000000" w:sz="4"/>
                <w:bottom w:val="none" w:color="000000" w:sz="4"/>
                <w:right w:val="none" w:color="000000" w:sz="4"/>
                <w:insideH w:val="none"/>
                <w:insideV w:val="none"/>
              </w:tblBorders>
            </w:tblPr>
            <w:tblGrid>
              <w:gridCol w:w="216"/>
              <w:gridCol w:w="2333"/>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1</w:t>
                  </w:r>
                </w:p>
              </w:tc>
              <w:tc>
                <w:tcPr>
                  <w:tcW w:type="dxa" w:w="2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b/>
                    </w:rPr>
                    <w:t>售后服务要求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rPr>
                    <w:t>厂家承诺整机</w:t>
                  </w:r>
                  <w:r>
                    <w:rPr>
                      <w:rFonts w:ascii="仿宋" w:hAnsi="仿宋" w:cs="仿宋" w:eastAsia="仿宋"/>
                      <w:sz w:val="21"/>
                    </w:rPr>
                    <w:t>自设备验收合格之日起</w:t>
                  </w:r>
                  <w:r>
                    <w:rPr>
                      <w:rFonts w:ascii="仿宋" w:hAnsi="仿宋" w:cs="仿宋" w:eastAsia="仿宋"/>
                      <w:sz w:val="21"/>
                      <w:u w:val="single"/>
                    </w:rPr>
                    <w:t>2</w:t>
                  </w:r>
                  <w:r>
                    <w:rPr>
                      <w:rFonts w:ascii="仿宋" w:hAnsi="仿宋" w:cs="仿宋" w:eastAsia="仿宋"/>
                      <w:sz w:val="21"/>
                    </w:rPr>
                    <w:t>年保修，</w:t>
                  </w:r>
                  <w:r>
                    <w:rPr>
                      <w:rFonts w:ascii="仿宋" w:hAnsi="仿宋" w:cs="仿宋" w:eastAsia="仿宋"/>
                      <w:sz w:val="21"/>
                    </w:rPr>
                    <w:t>在验收前需由中标单位向采购人提供与生产厂家签订的原厂维保协议备案。</w:t>
                  </w:r>
                  <w:r>
                    <w:rPr>
                      <w:rFonts w:ascii="仿宋" w:hAnsi="仿宋" w:cs="仿宋" w:eastAsia="仿宋"/>
                      <w:sz w:val="21"/>
                    </w:rPr>
                    <w:t>终身维修</w:t>
                  </w:r>
                  <w:r>
                    <w:rPr>
                      <w:rFonts w:ascii="仿宋" w:hAnsi="仿宋" w:cs="仿宋" w:eastAsia="仿宋"/>
                      <w:sz w:val="21"/>
                    </w:rPr>
                    <w:t>,保修期满后免费维修，只收取材料成本费并保证零配件供应</w:t>
                  </w:r>
                  <w:r>
                    <w:rPr>
                      <w:rFonts w:ascii="仿宋" w:hAnsi="仿宋" w:cs="仿宋" w:eastAsia="仿宋"/>
                      <w:sz w:val="21"/>
                      <w:u w:val="single"/>
                    </w:rPr>
                    <w:t xml:space="preserve"> </w:t>
                  </w:r>
                  <w:r>
                    <w:rPr>
                      <w:rFonts w:ascii="仿宋" w:hAnsi="仿宋" w:cs="仿宋" w:eastAsia="仿宋"/>
                      <w:sz w:val="21"/>
                      <w:u w:val="single"/>
                    </w:rPr>
                    <w:t xml:space="preserve">10 </w:t>
                  </w:r>
                  <w:r>
                    <w:rPr>
                      <w:rFonts w:ascii="仿宋" w:hAnsi="仿宋" w:cs="仿宋" w:eastAsia="仿宋"/>
                      <w:sz w:val="21"/>
                    </w:rPr>
                    <w:t>年。保修期内维修必须由生产厂家而非经销商负责维修服务，且负责提供技术服务与技术支持，所有设备配套软件免费升级至最新版本。</w:t>
                  </w:r>
                </w:p>
                <w:p>
                  <w:pPr>
                    <w:pStyle w:val="null3"/>
                    <w:ind w:firstLine="420"/>
                    <w:jc w:val="both"/>
                  </w:pPr>
                  <w:r>
                    <w:rPr>
                      <w:rFonts w:ascii="仿宋" w:hAnsi="仿宋" w:cs="仿宋" w:eastAsia="仿宋"/>
                      <w:sz w:val="21"/>
                    </w:rPr>
                    <w:t>主机</w:t>
                  </w:r>
                  <w:r>
                    <w:rPr>
                      <w:rFonts w:ascii="仿宋" w:hAnsi="仿宋" w:cs="仿宋" w:eastAsia="仿宋"/>
                      <w:sz w:val="21"/>
                      <w:u w:val="single"/>
                    </w:rPr>
                    <w:t>2年</w:t>
                  </w:r>
                  <w:r>
                    <w:rPr>
                      <w:rFonts w:ascii="仿宋" w:hAnsi="仿宋" w:cs="仿宋" w:eastAsia="仿宋"/>
                      <w:sz w:val="21"/>
                    </w:rPr>
                    <w:t>保修指：由厂家工程师安装完成，经医院或第三方检测、验收合格之日起的</w:t>
                  </w:r>
                  <w:r>
                    <w:rPr>
                      <w:rFonts w:ascii="仿宋" w:hAnsi="仿宋" w:cs="仿宋" w:eastAsia="仿宋"/>
                      <w:sz w:val="21"/>
                      <w:u w:val="single"/>
                    </w:rPr>
                    <w:t>2年</w:t>
                  </w:r>
                  <w:r>
                    <w:rPr>
                      <w:rFonts w:ascii="仿宋" w:hAnsi="仿宋" w:cs="仿宋" w:eastAsia="仿宋"/>
                      <w:sz w:val="21"/>
                    </w:rPr>
                    <w:t>之内为保修期。在保修期内，任何由于机器质量原因或正常使用引起的故障及损坏，除人为因素损坏外，由厂家提供原厂配件更换。保修期过后，按合同约定执行。</w:t>
                  </w:r>
                </w:p>
                <w:p>
                  <w:pPr>
                    <w:pStyle w:val="null3"/>
                    <w:ind w:firstLine="420"/>
                    <w:jc w:val="both"/>
                  </w:pPr>
                  <w:r>
                    <w:rPr>
                      <w:rFonts w:ascii="仿宋" w:hAnsi="仿宋" w:cs="仿宋" w:eastAsia="仿宋"/>
                      <w:sz w:val="21"/>
                    </w:rPr>
                    <w:t>终身维修指：厂家对所售产品提供终身维修服务。如果因为该产品生产年限过长，零配件无法供应，维修方案将与用户协商解决。</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color w:val="000000"/>
                    </w:rPr>
                    <w:t>到货及安装：所有设备均由乙方免费送货上门并安装调试。</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color w:val="000000"/>
                    </w:rPr>
                    <w:t>维修服务：响应时间</w:t>
                  </w:r>
                  <w:r>
                    <w:rPr>
                      <w:rFonts w:ascii="仿宋" w:hAnsi="仿宋" w:cs="仿宋" w:eastAsia="仿宋"/>
                      <w:sz w:val="21"/>
                      <w:color w:val="000000"/>
                      <w:u w:val="single"/>
                    </w:rPr>
                    <w:t xml:space="preserve"> </w:t>
                  </w:r>
                  <w:r>
                    <w:rPr>
                      <w:rFonts w:ascii="仿宋" w:hAnsi="仿宋" w:cs="仿宋" w:eastAsia="仿宋"/>
                      <w:sz w:val="21"/>
                      <w:color w:val="000000"/>
                      <w:u w:val="single"/>
                    </w:rPr>
                    <w:t xml:space="preserve">1 </w:t>
                  </w:r>
                  <w:r>
                    <w:rPr>
                      <w:rFonts w:ascii="仿宋" w:hAnsi="仿宋" w:cs="仿宋" w:eastAsia="仿宋"/>
                      <w:sz w:val="21"/>
                      <w:color w:val="000000"/>
                    </w:rPr>
                    <w:t>小时，</w:t>
                  </w:r>
                  <w:r>
                    <w:rPr>
                      <w:rFonts w:ascii="仿宋" w:hAnsi="仿宋" w:cs="仿宋" w:eastAsia="仿宋"/>
                      <w:sz w:val="21"/>
                      <w:color w:val="000000"/>
                      <w:u w:val="single"/>
                    </w:rPr>
                    <w:t>4</w:t>
                  </w:r>
                  <w:r>
                    <w:rPr>
                      <w:rFonts w:ascii="仿宋" w:hAnsi="仿宋" w:cs="仿宋" w:eastAsia="仿宋"/>
                      <w:sz w:val="21"/>
                      <w:color w:val="000000"/>
                    </w:rPr>
                    <w:t>小时内到场进行维修，</w:t>
                  </w:r>
                  <w:r>
                    <w:rPr>
                      <w:rFonts w:ascii="仿宋" w:hAnsi="仿宋" w:cs="仿宋" w:eastAsia="仿宋"/>
                      <w:sz w:val="21"/>
                      <w:color w:val="000000"/>
                      <w:u w:val="single"/>
                    </w:rPr>
                    <w:t>24</w:t>
                  </w:r>
                  <w:r>
                    <w:rPr>
                      <w:rFonts w:ascii="仿宋" w:hAnsi="仿宋" w:cs="仿宋" w:eastAsia="仿宋"/>
                      <w:sz w:val="21"/>
                      <w:color w:val="000000"/>
                    </w:rPr>
                    <w:t>小时内修复，如果超过</w:t>
                  </w:r>
                  <w:r>
                    <w:rPr>
                      <w:rFonts w:ascii="仿宋" w:hAnsi="仿宋" w:cs="仿宋" w:eastAsia="仿宋"/>
                      <w:sz w:val="21"/>
                      <w:color w:val="000000"/>
                      <w:u w:val="single"/>
                    </w:rPr>
                    <w:t>48</w:t>
                  </w:r>
                  <w:r>
                    <w:rPr>
                      <w:rFonts w:ascii="仿宋" w:hAnsi="仿宋" w:cs="仿宋" w:eastAsia="仿宋"/>
                      <w:sz w:val="21"/>
                      <w:color w:val="000000"/>
                    </w:rPr>
                    <w:t>小时不能修复，提供同档次的备用机。质保期间，若同一硬件壹个月内连续</w:t>
                  </w:r>
                  <w:r>
                    <w:rPr>
                      <w:rFonts w:ascii="仿宋" w:hAnsi="仿宋" w:cs="仿宋" w:eastAsia="仿宋"/>
                      <w:sz w:val="21"/>
                      <w:color w:val="000000"/>
                    </w:rPr>
                    <w:t>2次出现同一故障（非人为情况），乙方无条件为甲方无偿更换为同一档次机器。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color w:val="000000"/>
                    </w:rPr>
                    <w:t>每</w:t>
                  </w:r>
                  <w:r>
                    <w:rPr>
                      <w:rFonts w:ascii="仿宋" w:hAnsi="仿宋" w:cs="仿宋" w:eastAsia="仿宋"/>
                      <w:sz w:val="21"/>
                      <w:color w:val="000000"/>
                    </w:rPr>
                    <w:t>半年</w:t>
                  </w:r>
                  <w:r>
                    <w:rPr>
                      <w:rFonts w:ascii="仿宋" w:hAnsi="仿宋" w:cs="仿宋" w:eastAsia="仿宋"/>
                      <w:sz w:val="21"/>
                      <w:color w:val="000000"/>
                    </w:rPr>
                    <w:t>免费上门对设备进行专业的保养和维护不少于两次。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color w:val="000000"/>
                    </w:rPr>
                    <w:t>装机后乙方为甲方相关医护、技术及维修人员提供培训，直至双方认证合格，培训约定如下：</w:t>
                  </w:r>
                </w:p>
                <w:p>
                  <w:pPr>
                    <w:pStyle w:val="null3"/>
                    <w:ind w:firstLine="420"/>
                    <w:jc w:val="both"/>
                  </w:pPr>
                  <w:r>
                    <w:rPr>
                      <w:rFonts w:ascii="仿宋" w:hAnsi="仿宋" w:cs="仿宋" w:eastAsia="仿宋"/>
                      <w:sz w:val="21"/>
                    </w:rPr>
                    <w:t>1、培训对象及人数：</w:t>
                  </w:r>
                  <w:r>
                    <w:rPr>
                      <w:rFonts w:ascii="仿宋" w:hAnsi="仿宋" w:cs="仿宋" w:eastAsia="仿宋"/>
                      <w:sz w:val="21"/>
                      <w:u w:val="single"/>
                    </w:rPr>
                    <w:t>技术操作和维修人员</w:t>
                  </w:r>
                  <w:r>
                    <w:rPr>
                      <w:rFonts w:ascii="仿宋" w:hAnsi="仿宋" w:cs="仿宋" w:eastAsia="仿宋"/>
                      <w:sz w:val="21"/>
                      <w:u w:val="single"/>
                    </w:rPr>
                    <w:t xml:space="preserve">3-5人   </w:t>
                  </w:r>
                </w:p>
                <w:p>
                  <w:pPr>
                    <w:pStyle w:val="null3"/>
                    <w:ind w:firstLine="420"/>
                    <w:jc w:val="both"/>
                  </w:pPr>
                  <w:r>
                    <w:rPr>
                      <w:rFonts w:ascii="仿宋" w:hAnsi="仿宋" w:cs="仿宋" w:eastAsia="仿宋"/>
                      <w:sz w:val="21"/>
                    </w:rPr>
                    <w:t>2、培训方式及地点：</w:t>
                  </w:r>
                  <w:r>
                    <w:rPr>
                      <w:rFonts w:ascii="仿宋" w:hAnsi="仿宋" w:cs="仿宋" w:eastAsia="仿宋"/>
                      <w:sz w:val="21"/>
                      <w:u w:val="single"/>
                    </w:rPr>
                    <w:t xml:space="preserve">     </w:t>
                  </w:r>
                  <w:r>
                    <w:rPr>
                      <w:rFonts w:ascii="仿宋" w:hAnsi="仿宋" w:cs="仿宋" w:eastAsia="仿宋"/>
                      <w:sz w:val="21"/>
                      <w:u w:val="single"/>
                    </w:rPr>
                    <w:t>现场培训</w:t>
                  </w:r>
                  <w:r>
                    <w:rPr>
                      <w:rFonts w:ascii="仿宋" w:hAnsi="仿宋" w:cs="仿宋" w:eastAsia="仿宋"/>
                      <w:sz w:val="21"/>
                      <w:u w:val="single"/>
                    </w:rPr>
                    <w:t xml:space="preserve">            </w:t>
                  </w:r>
                </w:p>
                <w:p>
                  <w:pPr>
                    <w:pStyle w:val="null3"/>
                    <w:ind w:firstLine="420"/>
                    <w:jc w:val="both"/>
                  </w:pPr>
                  <w:r>
                    <w:rPr>
                      <w:rFonts w:ascii="仿宋" w:hAnsi="仿宋" w:cs="仿宋" w:eastAsia="仿宋"/>
                      <w:sz w:val="21"/>
                      <w:color w:val="000000"/>
                    </w:rPr>
                    <w:t>3、培训时间及费用：</w:t>
                  </w:r>
                  <w:r>
                    <w:rPr>
                      <w:rFonts w:ascii="仿宋" w:hAnsi="仿宋" w:cs="仿宋" w:eastAsia="仿宋"/>
                      <w:sz w:val="21"/>
                      <w:color w:val="000000"/>
                      <w:u w:val="single"/>
                    </w:rPr>
                    <w:t>免费培训，直至双方认证合格</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交货、安装的期限和地点（货物）</w:t>
                  </w:r>
                </w:p>
                <w:p>
                  <w:pPr>
                    <w:pStyle w:val="null3"/>
                    <w:ind w:firstLine="420"/>
                    <w:jc w:val="both"/>
                  </w:pPr>
                  <w:r>
                    <w:rPr>
                      <w:rFonts w:ascii="仿宋" w:hAnsi="仿宋" w:cs="仿宋" w:eastAsia="仿宋"/>
                      <w:sz w:val="21"/>
                      <w:color w:val="000000"/>
                    </w:rPr>
                    <w:t>1、交货期：</w:t>
                  </w:r>
                  <w:r>
                    <w:rPr>
                      <w:rFonts w:ascii="仿宋" w:hAnsi="仿宋" w:cs="仿宋" w:eastAsia="仿宋"/>
                      <w:sz w:val="21"/>
                      <w:color w:val="000000"/>
                    </w:rPr>
                    <w:t>合同签订之日起</w:t>
                  </w:r>
                  <w:r>
                    <w:rPr>
                      <w:rFonts w:ascii="仿宋" w:hAnsi="仿宋" w:cs="仿宋" w:eastAsia="仿宋"/>
                      <w:sz w:val="21"/>
                      <w:color w:val="000000"/>
                      <w:u w:val="single"/>
                    </w:rPr>
                    <w:t>30</w:t>
                  </w:r>
                  <w:r>
                    <w:rPr>
                      <w:rFonts w:ascii="仿宋" w:hAnsi="仿宋" w:cs="仿宋" w:eastAsia="仿宋"/>
                      <w:sz w:val="21"/>
                      <w:color w:val="000000"/>
                    </w:rPr>
                    <w:t>个日历日内。</w:t>
                  </w:r>
                </w:p>
                <w:p>
                  <w:pPr>
                    <w:pStyle w:val="null3"/>
                    <w:ind w:firstLine="420"/>
                    <w:jc w:val="both"/>
                  </w:pPr>
                  <w:r>
                    <w:rPr>
                      <w:rFonts w:ascii="仿宋" w:hAnsi="仿宋" w:cs="仿宋" w:eastAsia="仿宋"/>
                      <w:sz w:val="21"/>
                      <w:color w:val="000000"/>
                    </w:rPr>
                    <w:t>2、交货及安装地点：西安医学院第一附属医院内。</w:t>
                  </w:r>
                </w:p>
                <w:p>
                  <w:pPr>
                    <w:pStyle w:val="null3"/>
                    <w:ind w:firstLine="420"/>
                    <w:jc w:val="both"/>
                  </w:pPr>
                  <w:r>
                    <w:rPr>
                      <w:rFonts w:ascii="仿宋" w:hAnsi="仿宋" w:cs="仿宋" w:eastAsia="仿宋"/>
                      <w:sz w:val="21"/>
                      <w:color w:val="000000"/>
                    </w:rPr>
                    <w:t>3、安装完成时间：接甲方通知后</w:t>
                  </w:r>
                  <w:r>
                    <w:rPr>
                      <w:rFonts w:ascii="仿宋" w:hAnsi="仿宋" w:cs="仿宋" w:eastAsia="仿宋"/>
                      <w:sz w:val="21"/>
                      <w:color w:val="000000"/>
                      <w:u w:val="single"/>
                    </w:rPr>
                    <w:t xml:space="preserve"> </w:t>
                  </w:r>
                  <w:r>
                    <w:rPr>
                      <w:rFonts w:ascii="仿宋" w:hAnsi="仿宋" w:cs="仿宋" w:eastAsia="仿宋"/>
                      <w:sz w:val="21"/>
                      <w:color w:val="000000"/>
                      <w:u w:val="single"/>
                    </w:rPr>
                    <w:t>5</w:t>
                  </w:r>
                  <w:r>
                    <w:rPr>
                      <w:rFonts w:ascii="仿宋" w:hAnsi="仿宋" w:cs="仿宋" w:eastAsia="仿宋"/>
                      <w:sz w:val="21"/>
                      <w:color w:val="000000"/>
                    </w:rPr>
                    <w:t>个工作日内全部调试完成，并可正常使用</w:t>
                  </w:r>
                  <w:r>
                    <w:rPr>
                      <w:rFonts w:ascii="仿宋" w:hAnsi="仿宋" w:cs="仿宋" w:eastAsia="仿宋"/>
                      <w:sz w:val="21"/>
                      <w:color w:val="000000"/>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在安装过程中确保原环境整体完整性，如有破坏，负责修补</w:t>
                  </w:r>
                  <w:r>
                    <w:rPr>
                      <w:rFonts w:ascii="仿宋" w:hAnsi="仿宋" w:cs="仿宋" w:eastAsia="仿宋"/>
                      <w:sz w:val="21"/>
                      <w:color w:val="000000"/>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b/>
                    </w:rPr>
                    <w:t>包装及其他要求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符合出厂规范、包装完整无破损、满足长途运输要求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防雨、防潮、各种符号、标识清楚，进口设备应具有原产国标识且标识清楚（本项目不涉及进口产品）</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必须为原装、全新产品，渠道合法</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b/>
                    </w:rPr>
                    <w:t>安装及验收要求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安装完成时间：接用户通知后</w:t>
                  </w:r>
                  <w:r>
                    <w:rPr>
                      <w:rFonts w:ascii="&quot;times new roman&quot;" w:hAnsi="&quot;times new roman&quot;" w:cs="&quot;times new roman&quot;" w:eastAsia="&quot;times new roman&quot;"/>
                      <w:sz w:val="21"/>
                      <w:u w:val="single"/>
                    </w:rPr>
                    <w:t xml:space="preserve"> </w:t>
                  </w:r>
                  <w:r>
                    <w:rPr>
                      <w:rFonts w:ascii="仿宋" w:hAnsi="仿宋" w:cs="仿宋" w:eastAsia="仿宋"/>
                      <w:sz w:val="21"/>
                      <w:u w:val="single"/>
                    </w:rPr>
                    <w:t>5</w:t>
                  </w:r>
                  <w:r>
                    <w:rPr>
                      <w:rFonts w:ascii="&quot;times new roman&quot;" w:hAnsi="&quot;times new roman&quot;" w:cs="&quot;times new roman&quot;" w:eastAsia="&quot;times new roman&quot;"/>
                      <w:sz w:val="21"/>
                      <w:u w:val="single"/>
                    </w:rPr>
                    <w:t xml:space="preserve"> </w:t>
                  </w:r>
                  <w:r>
                    <w:rPr>
                      <w:rFonts w:ascii="仿宋" w:hAnsi="仿宋" w:cs="仿宋" w:eastAsia="仿宋"/>
                      <w:sz w:val="21"/>
                    </w:rPr>
                    <w:t>个工作日内全部调试完成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安装标准：符合国家有关安全技术标准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验收标准及费用：</w:t>
                  </w:r>
                </w:p>
                <w:p>
                  <w:pPr>
                    <w:pStyle w:val="null3"/>
                    <w:ind w:firstLine="420"/>
                    <w:jc w:val="both"/>
                  </w:pPr>
                  <w:r>
                    <w:rPr>
                      <w:rFonts w:ascii="仿宋" w:hAnsi="仿宋" w:cs="仿宋" w:eastAsia="仿宋"/>
                      <w:sz w:val="21"/>
                      <w:color w:val="000000"/>
                    </w:rPr>
                    <w:t>（一）验收标准</w:t>
                  </w:r>
                </w:p>
                <w:p>
                  <w:pPr>
                    <w:pStyle w:val="null3"/>
                    <w:ind w:firstLine="420"/>
                    <w:jc w:val="both"/>
                  </w:pPr>
                  <w:r>
                    <w:rPr>
                      <w:rFonts w:ascii="仿宋" w:hAnsi="仿宋" w:cs="仿宋" w:eastAsia="仿宋"/>
                      <w:sz w:val="21"/>
                      <w:color w:val="000000"/>
                    </w:rPr>
                    <w:t>1、包装：符合出厂规范及符合《商品包装政府采购需求标准（试行）》、《快递包装政府采购需求标准（试行）》,包装完整无破损，防雨、防潮等各种符号标识清楚，进口设备应具有原产国标识且标识清楚。</w:t>
                  </w:r>
                </w:p>
                <w:p>
                  <w:pPr>
                    <w:pStyle w:val="null3"/>
                    <w:ind w:firstLine="420"/>
                    <w:jc w:val="both"/>
                  </w:pPr>
                  <w:r>
                    <w:rPr>
                      <w:rFonts w:ascii="仿宋" w:hAnsi="仿宋" w:cs="仿宋" w:eastAsia="仿宋"/>
                      <w:sz w:val="21"/>
                      <w:color w:val="000000"/>
                    </w:rPr>
                    <w:t>2、安装：符合本合同项下产品的全部相关国家安全技术标准及甲方要求。</w:t>
                  </w:r>
                </w:p>
                <w:p>
                  <w:pPr>
                    <w:pStyle w:val="null3"/>
                    <w:ind w:firstLine="420"/>
                    <w:jc w:val="both"/>
                  </w:pPr>
                  <w:r>
                    <w:rPr>
                      <w:rFonts w:ascii="仿宋" w:hAnsi="仿宋" w:cs="仿宋" w:eastAsia="仿宋"/>
                      <w:sz w:val="21"/>
                      <w:color w:val="000000"/>
                    </w:rPr>
                    <w:t>3、产品：</w:t>
                  </w:r>
                </w:p>
                <w:p>
                  <w:pPr>
                    <w:pStyle w:val="null3"/>
                    <w:ind w:firstLine="420"/>
                    <w:jc w:val="both"/>
                  </w:pPr>
                  <w:r>
                    <w:rPr>
                      <w:rFonts w:ascii="仿宋" w:hAnsi="仿宋" w:cs="仿宋" w:eastAsia="仿宋"/>
                      <w:sz w:val="21"/>
                      <w:color w:val="000000"/>
                    </w:rPr>
                    <w:t>（</w:t>
                  </w:r>
                  <w:r>
                    <w:rPr>
                      <w:rFonts w:ascii="仿宋" w:hAnsi="仿宋" w:cs="仿宋" w:eastAsia="仿宋"/>
                      <w:sz w:val="21"/>
                      <w:color w:val="000000"/>
                    </w:rPr>
                    <w:t>1）必须为原装、全新、合格产品，渠道合法</w:t>
                  </w:r>
                </w:p>
                <w:p>
                  <w:pPr>
                    <w:pStyle w:val="null3"/>
                    <w:ind w:firstLine="420"/>
                    <w:jc w:val="both"/>
                  </w:pPr>
                  <w:r>
                    <w:rPr>
                      <w:rFonts w:ascii="仿宋" w:hAnsi="仿宋" w:cs="仿宋" w:eastAsia="仿宋"/>
                      <w:sz w:val="21"/>
                      <w:color w:val="000000"/>
                    </w:rPr>
                    <w:t>（</w:t>
                  </w:r>
                  <w:r>
                    <w:rPr>
                      <w:rFonts w:ascii="仿宋" w:hAnsi="仿宋" w:cs="仿宋" w:eastAsia="仿宋"/>
                      <w:sz w:val="21"/>
                      <w:color w:val="000000"/>
                    </w:rPr>
                    <w:t>2）符合供方与需方签订的合同</w:t>
                  </w:r>
                </w:p>
                <w:p>
                  <w:pPr>
                    <w:pStyle w:val="null3"/>
                    <w:ind w:firstLine="420"/>
                    <w:jc w:val="both"/>
                  </w:pPr>
                  <w:r>
                    <w:rPr>
                      <w:rFonts w:ascii="仿宋" w:hAnsi="仿宋" w:cs="仿宋" w:eastAsia="仿宋"/>
                      <w:sz w:val="21"/>
                      <w:color w:val="000000"/>
                    </w:rPr>
                    <w:t>（</w:t>
                  </w:r>
                  <w:r>
                    <w:rPr>
                      <w:rFonts w:ascii="仿宋" w:hAnsi="仿宋" w:cs="仿宋" w:eastAsia="仿宋"/>
                      <w:sz w:val="21"/>
                      <w:color w:val="000000"/>
                    </w:rPr>
                    <w:t>3）符合招、投标文件的技术要求</w:t>
                  </w:r>
                </w:p>
                <w:p>
                  <w:pPr>
                    <w:pStyle w:val="null3"/>
                    <w:ind w:firstLine="420"/>
                    <w:jc w:val="both"/>
                  </w:pPr>
                  <w:r>
                    <w:rPr>
                      <w:rFonts w:ascii="仿宋" w:hAnsi="仿宋" w:cs="仿宋" w:eastAsia="仿宋"/>
                      <w:sz w:val="21"/>
                      <w:color w:val="000000"/>
                    </w:rPr>
                    <w:t>（</w:t>
                  </w:r>
                  <w:r>
                    <w:rPr>
                      <w:rFonts w:ascii="仿宋" w:hAnsi="仿宋" w:cs="仿宋" w:eastAsia="仿宋"/>
                      <w:sz w:val="21"/>
                      <w:color w:val="000000"/>
                    </w:rPr>
                    <w:t>4）符合产品原样本技术数据</w:t>
                  </w:r>
                </w:p>
                <w:p>
                  <w:pPr>
                    <w:pStyle w:val="null3"/>
                    <w:ind w:firstLine="304"/>
                    <w:jc w:val="both"/>
                  </w:pPr>
                  <w:r>
                    <w:rPr>
                      <w:rFonts w:ascii="仿宋" w:hAnsi="仿宋" w:cs="仿宋" w:eastAsia="仿宋"/>
                      <w:sz w:val="21"/>
                    </w:rPr>
                    <w:t>（</w:t>
                  </w:r>
                  <w:r>
                    <w:rPr>
                      <w:rFonts w:ascii="仿宋" w:hAnsi="仿宋" w:cs="仿宋" w:eastAsia="仿宋"/>
                      <w:sz w:val="21"/>
                    </w:rPr>
                    <w:t>5）符合国家有关技术规范要求和安全、环保、节能等强制性标准, 验收的手续及费用由投标单位自行办理和承担，招标单位提供相关辅助。</w:t>
                  </w:r>
                </w:p>
                <w:p>
                  <w:pPr>
                    <w:pStyle w:val="null3"/>
                    <w:ind w:firstLine="420"/>
                    <w:jc w:val="both"/>
                  </w:pPr>
                  <w:r>
                    <w:rPr>
                      <w:rFonts w:ascii="仿宋" w:hAnsi="仿宋" w:cs="仿宋" w:eastAsia="仿宋"/>
                      <w:sz w:val="21"/>
                      <w:color w:val="000000"/>
                    </w:rPr>
                    <w:t>（</w:t>
                  </w:r>
                  <w:r>
                    <w:rPr>
                      <w:rFonts w:ascii="仿宋" w:hAnsi="仿宋" w:cs="仿宋" w:eastAsia="仿宋"/>
                      <w:sz w:val="21"/>
                      <w:color w:val="000000"/>
                    </w:rPr>
                    <w:t>6）产品单证齐全（质量合格证、装箱清单、操作手册和维修手册等，如为进口产品，交货前须提供原产地证明、原厂生产检验合格证和海关手续等）。</w:t>
                  </w:r>
                </w:p>
                <w:p>
                  <w:pPr>
                    <w:pStyle w:val="null3"/>
                    <w:ind w:firstLine="420"/>
                    <w:jc w:val="both"/>
                  </w:pPr>
                  <w:r>
                    <w:rPr>
                      <w:rFonts w:ascii="仿宋" w:hAnsi="仿宋" w:cs="仿宋" w:eastAsia="仿宋"/>
                      <w:sz w:val="21"/>
                      <w:color w:val="000000"/>
                    </w:rPr>
                    <w:t>（</w:t>
                  </w:r>
                  <w:r>
                    <w:rPr>
                      <w:rFonts w:ascii="仿宋" w:hAnsi="仿宋" w:cs="仿宋" w:eastAsia="仿宋"/>
                      <w:sz w:val="21"/>
                      <w:color w:val="000000"/>
                    </w:rPr>
                    <w:t>7</w:t>
                  </w:r>
                  <w:r>
                    <w:rPr>
                      <w:rFonts w:ascii="仿宋" w:hAnsi="仿宋" w:cs="仿宋" w:eastAsia="仿宋"/>
                      <w:sz w:val="21"/>
                      <w:color w:val="000000"/>
                    </w:rPr>
                    <w:t>）</w:t>
                  </w:r>
                  <w:r>
                    <w:rPr>
                      <w:rFonts w:ascii="仿宋" w:hAnsi="仿宋" w:cs="仿宋" w:eastAsia="仿宋"/>
                      <w:sz w:val="21"/>
                      <w:color w:val="000000"/>
                    </w:rPr>
                    <w:t>国产产品到货安装时生产日期应在</w:t>
                  </w:r>
                  <w:r>
                    <w:rPr>
                      <w:rFonts w:ascii="仿宋" w:hAnsi="仿宋" w:cs="仿宋" w:eastAsia="仿宋"/>
                      <w:sz w:val="21"/>
                      <w:color w:val="000000"/>
                    </w:rPr>
                    <w:t>6个月以内，进口产品到货安装时生产日期应在1年以内。</w:t>
                  </w:r>
                </w:p>
                <w:p>
                  <w:pPr>
                    <w:pStyle w:val="null3"/>
                    <w:ind w:firstLine="420"/>
                    <w:jc w:val="both"/>
                  </w:pPr>
                  <w:r>
                    <w:rPr>
                      <w:rFonts w:ascii="仿宋" w:hAnsi="仿宋" w:cs="仿宋" w:eastAsia="仿宋"/>
                      <w:sz w:val="21"/>
                      <w:color w:val="000000"/>
                    </w:rPr>
                    <w:t>（二）验收方法</w:t>
                  </w:r>
                </w:p>
                <w:p>
                  <w:pPr>
                    <w:pStyle w:val="null3"/>
                    <w:ind w:firstLine="420"/>
                    <w:jc w:val="both"/>
                  </w:pPr>
                  <w:r>
                    <w:rPr>
                      <w:rFonts w:ascii="仿宋" w:hAnsi="仿宋" w:cs="仿宋" w:eastAsia="仿宋"/>
                      <w:sz w:val="21"/>
                      <w:color w:val="000000"/>
                    </w:rPr>
                    <w:t>甲乙双方共同进行验收或依照有关法规、文件规定，由国家质量检验、商检等部门共同进行验收。所有安装、验收的手续由乙方办理并承担费用，甲方提供相关辅助。设备正常运行</w:t>
                  </w:r>
                  <w:r>
                    <w:rPr>
                      <w:rFonts w:ascii="仿宋" w:hAnsi="仿宋" w:cs="仿宋" w:eastAsia="仿宋"/>
                      <w:sz w:val="21"/>
                      <w:color w:val="000000"/>
                    </w:rPr>
                    <w:t>15个工作日后，经甲方通知，自通知送达之日起三日内，双方共同进行验收，甲方向乙方出具验收合格书面证明文件，视为设备验收合格。乙方逾期未到场或拒绝到场验收的，甲方可自行验收。</w:t>
                  </w:r>
                </w:p>
                <w:p>
                  <w:pPr>
                    <w:pStyle w:val="null3"/>
                    <w:ind w:firstLine="420"/>
                    <w:jc w:val="both"/>
                  </w:pPr>
                  <w:r>
                    <w:rPr>
                      <w:rFonts w:ascii="仿宋" w:hAnsi="仿宋" w:cs="仿宋" w:eastAsia="仿宋"/>
                      <w:sz w:val="21"/>
                      <w:color w:val="000000"/>
                    </w:rPr>
                    <w:t>验收过程中发现设备存在瑕疵或质量问题的，乙方应无条件配合甲方进行维修、更换或退货工作，因此给甲方造成损失的，乙方就全部损失承担赔偿责任。</w:t>
                  </w:r>
                </w:p>
                <w:p>
                  <w:pPr>
                    <w:pStyle w:val="null3"/>
                    <w:ind w:firstLine="420"/>
                    <w:jc w:val="both"/>
                  </w:pPr>
                  <w:r>
                    <w:rPr>
                      <w:rFonts w:ascii="仿宋" w:hAnsi="仿宋" w:cs="仿宋" w:eastAsia="仿宋"/>
                      <w:sz w:val="21"/>
                      <w:color w:val="000000"/>
                    </w:rPr>
                    <w:t>在履约验收环节，乙方须按照《商品包装政府采购需求标准（试行）》、《快递包装政府采购需求标准（试行）》的环保要求出具检测报告。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b/>
                    </w:rPr>
                    <w:t>付款方式和条件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w:t>
                  </w:r>
                  <w:r>
                    <w:rPr>
                      <w:rFonts w:ascii="仿宋" w:hAnsi="仿宋" w:cs="仿宋" w:eastAsia="仿宋"/>
                      <w:sz w:val="21"/>
                      <w:b/>
                    </w:rPr>
                    <w:t>货物</w:t>
                  </w:r>
                  <w:r>
                    <w:rPr>
                      <w:rFonts w:ascii="仿宋" w:hAnsi="仿宋" w:cs="仿宋" w:eastAsia="仿宋"/>
                      <w:sz w:val="21"/>
                      <w:b/>
                    </w:rPr>
                    <w:t>-设备</w:t>
                  </w:r>
                  <w:r>
                    <w:rPr>
                      <w:rFonts w:ascii="仿宋" w:hAnsi="仿宋" w:cs="仿宋" w:eastAsia="仿宋"/>
                      <w:sz w:val="21"/>
                    </w:rPr>
                    <w:t>】</w:t>
                  </w:r>
                </w:p>
                <w:p>
                  <w:pPr>
                    <w:pStyle w:val="null3"/>
                    <w:jc w:val="left"/>
                  </w:pPr>
                  <w:r>
                    <w:rPr>
                      <w:rFonts w:ascii="仿宋" w:hAnsi="仿宋" w:cs="仿宋" w:eastAsia="仿宋"/>
                      <w:sz w:val="21"/>
                    </w:rPr>
                    <w:t>设备安装调试验收合格（以甲方出具的书面验收合格文件为准）后支付合同总价的</w:t>
                  </w:r>
                  <w:r>
                    <w:rPr>
                      <w:rFonts w:ascii="仿宋" w:hAnsi="仿宋" w:cs="仿宋" w:eastAsia="仿宋"/>
                      <w:sz w:val="21"/>
                      <w:u w:val="single"/>
                    </w:rPr>
                    <w:t>30%</w:t>
                  </w:r>
                  <w:r>
                    <w:rPr>
                      <w:rFonts w:ascii="仿宋" w:hAnsi="仿宋" w:cs="仿宋" w:eastAsia="仿宋"/>
                      <w:sz w:val="21"/>
                    </w:rPr>
                    <w:t>，半年期满后支付合同总价的</w:t>
                  </w:r>
                  <w:r>
                    <w:rPr>
                      <w:rFonts w:ascii="仿宋" w:hAnsi="仿宋" w:cs="仿宋" w:eastAsia="仿宋"/>
                      <w:sz w:val="21"/>
                      <w:u w:val="single"/>
                    </w:rPr>
                    <w:t>6</w:t>
                  </w:r>
                  <w:r>
                    <w:rPr>
                      <w:rFonts w:ascii="仿宋" w:hAnsi="仿宋" w:cs="仿宋" w:eastAsia="仿宋"/>
                      <w:sz w:val="21"/>
                      <w:u w:val="single"/>
                    </w:rPr>
                    <w:t>0</w:t>
                  </w:r>
                  <w:r>
                    <w:rPr>
                      <w:rFonts w:ascii="仿宋" w:hAnsi="仿宋" w:cs="仿宋" w:eastAsia="仿宋"/>
                      <w:sz w:val="21"/>
                    </w:rPr>
                    <w:t>%,壹年期满后支付剩余的</w:t>
                  </w:r>
                  <w:r>
                    <w:rPr>
                      <w:rFonts w:ascii="仿宋" w:hAnsi="仿宋" w:cs="仿宋" w:eastAsia="仿宋"/>
                      <w:sz w:val="21"/>
                      <w:u w:val="single"/>
                    </w:rPr>
                    <w:t>10%</w:t>
                  </w:r>
                  <w:r>
                    <w:rPr>
                      <w:rFonts w:ascii="仿宋" w:hAnsi="仿宋" w:cs="仿宋" w:eastAsia="仿宋"/>
                      <w:sz w:val="21"/>
                    </w:rPr>
                    <w:t>，至此货款全部结清。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color w:val="000000"/>
                    </w:rPr>
                    <w:t>支付方式</w:t>
                  </w:r>
                </w:p>
                <w:p>
                  <w:pPr>
                    <w:pStyle w:val="null3"/>
                    <w:ind w:firstLine="420"/>
                    <w:jc w:val="both"/>
                  </w:pPr>
                  <w:r>
                    <w:rPr>
                      <w:rFonts w:ascii="仿宋" w:hAnsi="仿宋" w:cs="仿宋" w:eastAsia="仿宋"/>
                      <w:sz w:val="21"/>
                      <w:color w:val="000000"/>
                    </w:rPr>
                    <w:t>通过银行转帐方式将款项转入乙方银行帐户。乙方银行帐户信息如下</w:t>
                  </w:r>
                  <w:r>
                    <w:rPr>
                      <w:rFonts w:ascii="仿宋" w:hAnsi="仿宋" w:cs="仿宋" w:eastAsia="仿宋"/>
                      <w:sz w:val="21"/>
                      <w:color w:val="000000"/>
                    </w:rPr>
                    <w:t>:</w:t>
                  </w:r>
                </w:p>
                <w:p>
                  <w:pPr>
                    <w:pStyle w:val="null3"/>
                    <w:ind w:left="555"/>
                    <w:jc w:val="both"/>
                  </w:pPr>
                  <w:r>
                    <w:rPr>
                      <w:rFonts w:ascii="仿宋" w:hAnsi="仿宋" w:cs="仿宋" w:eastAsia="仿宋"/>
                      <w:sz w:val="21"/>
                      <w:color w:val="000000"/>
                    </w:rPr>
                    <w:t>帐户全称</w:t>
                  </w:r>
                  <w:r>
                    <w:rPr>
                      <w:rFonts w:ascii="仿宋" w:hAnsi="仿宋" w:cs="仿宋" w:eastAsia="仿宋"/>
                      <w:sz w:val="21"/>
                      <w:color w:val="000000"/>
                    </w:rPr>
                    <w:t>:</w:t>
                  </w:r>
                </w:p>
                <w:p>
                  <w:pPr>
                    <w:pStyle w:val="null3"/>
                    <w:ind w:left="555"/>
                    <w:jc w:val="both"/>
                  </w:pPr>
                  <w:r>
                    <w:rPr>
                      <w:rFonts w:ascii="仿宋" w:hAnsi="仿宋" w:cs="仿宋" w:eastAsia="仿宋"/>
                      <w:sz w:val="21"/>
                      <w:color w:val="000000"/>
                    </w:rPr>
                    <w:t>帐</w:t>
                  </w:r>
                  <w:r>
                    <w:rPr>
                      <w:rFonts w:ascii="仿宋" w:hAnsi="仿宋" w:cs="仿宋" w:eastAsia="仿宋"/>
                      <w:sz w:val="21"/>
                      <w:color w:val="000000"/>
                    </w:rPr>
                    <w:t xml:space="preserve">    </w:t>
                  </w:r>
                  <w:r>
                    <w:rPr>
                      <w:rFonts w:ascii="仿宋" w:hAnsi="仿宋" w:cs="仿宋" w:eastAsia="仿宋"/>
                      <w:sz w:val="21"/>
                      <w:color w:val="000000"/>
                    </w:rPr>
                    <w:t>号</w:t>
                  </w:r>
                  <w:r>
                    <w:rPr>
                      <w:rFonts w:ascii="仿宋" w:hAnsi="仿宋" w:cs="仿宋" w:eastAsia="仿宋"/>
                      <w:sz w:val="21"/>
                      <w:color w:val="000000"/>
                    </w:rPr>
                    <w:t>:</w:t>
                  </w:r>
                </w:p>
                <w:p>
                  <w:pPr>
                    <w:pStyle w:val="null3"/>
                    <w:ind w:left="555"/>
                    <w:jc w:val="both"/>
                  </w:pPr>
                  <w:r>
                    <w:rPr>
                      <w:rFonts w:ascii="仿宋" w:hAnsi="仿宋" w:cs="仿宋" w:eastAsia="仿宋"/>
                      <w:sz w:val="21"/>
                      <w:color w:val="000000"/>
                    </w:rPr>
                    <w:t>开</w:t>
                  </w:r>
                  <w:r>
                    <w:rPr>
                      <w:rFonts w:ascii="仿宋" w:hAnsi="仿宋" w:cs="仿宋" w:eastAsia="仿宋"/>
                      <w:sz w:val="21"/>
                      <w:color w:val="000000"/>
                    </w:rPr>
                    <w:t>户</w:t>
                  </w:r>
                  <w:r>
                    <w:rPr>
                      <w:rFonts w:ascii="仿宋" w:hAnsi="仿宋" w:cs="仿宋" w:eastAsia="仿宋"/>
                      <w:sz w:val="21"/>
                      <w:color w:val="000000"/>
                    </w:rPr>
                    <w:t>行</w:t>
                  </w:r>
                  <w:r>
                    <w:rPr>
                      <w:rFonts w:ascii="仿宋" w:hAnsi="仿宋" w:cs="仿宋" w:eastAsia="仿宋"/>
                      <w:sz w:val="21"/>
                      <w:color w:val="000000"/>
                    </w:rPr>
                    <w:t>:</w:t>
                  </w:r>
                </w:p>
                <w:p>
                  <w:pPr>
                    <w:pStyle w:val="null3"/>
                    <w:ind w:firstLine="420"/>
                    <w:jc w:val="both"/>
                  </w:pPr>
                  <w:r>
                    <w:rPr>
                      <w:rFonts w:ascii="仿宋" w:hAnsi="仿宋" w:cs="仿宋" w:eastAsia="仿宋"/>
                      <w:sz w:val="21"/>
                      <w:color w:val="000000"/>
                      <w:u w:val="single"/>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rPr>
                    <w:t>【</w:t>
                  </w:r>
                  <w:r>
                    <w:rPr>
                      <w:rFonts w:ascii="仿宋" w:hAnsi="仿宋" w:cs="仿宋" w:eastAsia="仿宋"/>
                      <w:sz w:val="21"/>
                      <w:b/>
                    </w:rPr>
                    <w:t>货物</w:t>
                  </w:r>
                  <w:r>
                    <w:rPr>
                      <w:rFonts w:ascii="仿宋" w:hAnsi="仿宋" w:cs="仿宋" w:eastAsia="仿宋"/>
                      <w:sz w:val="21"/>
                      <w:b/>
                    </w:rPr>
                    <w:t>-设备</w:t>
                  </w:r>
                  <w:r>
                    <w:rPr>
                      <w:rFonts w:ascii="仿宋" w:hAnsi="仿宋" w:cs="仿宋" w:eastAsia="仿宋"/>
                      <w:sz w:val="21"/>
                    </w:rPr>
                    <w:t>】</w:t>
                  </w:r>
                </w:p>
                <w:p>
                  <w:pPr>
                    <w:pStyle w:val="null3"/>
                    <w:ind w:firstLine="420"/>
                    <w:jc w:val="both"/>
                  </w:pPr>
                  <w:r>
                    <w:rPr>
                      <w:rFonts w:ascii="仿宋" w:hAnsi="仿宋" w:cs="仿宋" w:eastAsia="仿宋"/>
                      <w:sz w:val="21"/>
                      <w:color w:val="000000"/>
                    </w:rPr>
                    <w:t>结算要求：乙方应在设备验收合格后三日内，向甲方一次性开具符合要求的合同全</w:t>
                  </w:r>
                  <w:r>
                    <w:rPr>
                      <w:rFonts w:ascii="仿宋" w:hAnsi="仿宋" w:cs="仿宋" w:eastAsia="仿宋"/>
                      <w:sz w:val="21"/>
                      <w:color w:val="000000"/>
                    </w:rPr>
                    <w:t>款正式发票。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b/>
                    </w:rPr>
                    <w:t>其他</w:t>
                  </w:r>
                </w:p>
                <w:p>
                  <w:pPr>
                    <w:pStyle w:val="null3"/>
                    <w:ind w:firstLine="420"/>
                    <w:jc w:val="both"/>
                  </w:pPr>
                  <w:r>
                    <w:rPr>
                      <w:rFonts w:ascii="仿宋" w:hAnsi="仿宋" w:cs="仿宋" w:eastAsia="仿宋"/>
                      <w:sz w:val="21"/>
                    </w:rPr>
                    <w:t>无</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rPr>
                    <w:t>履约说明：中标人在质保期内，须完全履行、招标文件、投标文件及合同中的质保要求、承诺内容和售后服务，未完全履行的，则视为虚假应答，将中标人纳入失信名单，并将未完全履约情况上报财政厅，禁止</w:t>
                  </w:r>
                  <w:r>
                    <w:rPr>
                      <w:rFonts w:ascii="仿宋" w:hAnsi="仿宋" w:cs="仿宋" w:eastAsia="仿宋"/>
                      <w:sz w:val="21"/>
                    </w:rPr>
                    <w:t>1-3年内参加政府采购活动。</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合同签订之日起30个日历日内。安装完成时间：接甲方通知后 5个工作日内全部调试完成，并可正常使用。</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设备安装调试验收合格（以甲方出具的书面验收合格文件为准）后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半年期满后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壹年期满后</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（一）验收标准 1、包装：符合出厂规范及符合《商品包装政府采购需求标准（试行）》、《快递包装政府采购需求标准（试行）》,包装完整无破损，防雨、防潮等各种符号标识清楚，进口设备应具有原产国标识且标识清楚。 2、安装：符合本合同项下产品的全部相关国家安全技术标准及甲方要求。 3、产品： （1）必须为原装、全新、合格产品，渠道合法 （2）符合供方与需方签订的合同 （3）符合招、投标文件的技术要求 （4）符合产品原样本技术数据 （5）符合国家有关技术规范要求和安全、环保、节能等强制性标准, 验收的手续及费用由投标单位自行办理和承担，招标单位提供相关辅助。 （6）产品单证齐全（质量合格证、装箱清单、操作手册和维修手册等，如为进口产品，交货前须提供原产地证明、原厂生产检验合格证和海关手续等）。 （7）国产产品到货安装时生产日期应在6个月以内，进口产品到货安装时生产日期应在1年以内。 （二）验收方法 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 验收过程中发现设备存在瑕疵或质量问题的，乙方应无条件配合甲方进行维修、更换或退货工作，因此给甲方造成损失的，乙方就全部损失承担赔偿责任。 在履约验收环节，乙方须按照《商品包装政府采购需求标准（试行）》、《快递包装政府采购需求标准（试行）》的环保要求出具检测报告。</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厂家承诺整机自设备验收合格之日起2年保修，在验收前需由中标单位向采购人提供与生产厂家签订的原厂维保协议备案。终身维修,保修期满后免费维修，只收取材料成本费并保证零配件供应 10 年。保修期内维修必须由生产厂家而非经销商负责维修服务，且负责提供技术服务与技术支持，所有设备配套软件免费升级至最新版本。 主机2年保修指：由厂家工程师安装完成，经医院或第三方检测、验收合格之日起的2年之内为保修期。在保修期内，任何由于机器质量原因或正常使用引起的故障及损坏，除人为因素损坏外，由厂家提供原厂配件更换。保修期过后，按合同约定执行。 终身维修指：厂家对所售产品提供终身维修服务。如果因为该产品生产年限过长，零配件无法供应，维修方案将与用户协商解决。</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供应商为合法注册的法人、其他组织或自然人，具有独立承担民事责任的能力，提供具有统一社会信用代码证的营业执照（或事业单位法人证），供应商为自然人的提供身份证 2、2023年度经审计的财务报告或在开标日期前12个月内任意时段银行出具的资信证明； 3、提供具有履行本合同所必需专业技术能力的说明及承诺； 4、社会保障资金缴纳记录证明文件和依法缴纳税收记录证明文件（同时提供开标截止时间前12个月内缴存的任意时段的社保及税收缴纳证明；依法不需要缴纳的应提供相关证明文件)； 5、参加政府采购活动前3年内在经营活动中没有重大违法记录的书面声明。</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所投产品属于医疗器械的出具所投产品医疗器械注册证或医疗器械备案凭证</w:t>
            </w:r>
          </w:p>
        </w:tc>
        <w:tc>
          <w:tcPr>
            <w:tcW w:type="dxa" w:w="3322"/>
          </w:tcPr>
          <w:p>
            <w:pPr>
              <w:pStyle w:val="null3"/>
            </w:pPr>
            <w:r>
              <w:rPr/>
              <w:t>所投产品属于医疗器械的出具所投产品医疗器械注册证或医疗器械备案凭证，如国家规定免注册产品提供相关证明文件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交货期：合同签订之日起30个日历日内。安装完成时间：接甲方通知后 5个工作日内全部调试完成，并可正常使用。</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厂家承诺整机自设备验收合格之日起2年保修，在验收前需由中标单位向采购人提供与生产厂家签订的原厂维保协议备案。终身维修,保修期满后免费维修，只收取材料成本费并保证零配件供应 10 年。保修期内维修必须由生产厂家而非经销商负责维修服务，且负责提供技术服务与技术支持，所有设备配套软件免费升级至最新版本。 主机2年保修指：由厂家工程师安装完成，经医院或第三方检测、验收合格之日起的2年之内为保修期。在保修期内，任何由于机器质量原因或正常使用引起的故障及损坏，除人为因素损坏外，由厂家提供原厂配件更换。保修期过后，按合同约定执行。 终身维修指：厂家对所售产品提供终身维修服务。如果因为该产品生产年限过长，零配件无法供应，维修方案将与用户协商解决。</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设备安装调试验收合格（以甲方出具的书面验收合格文件为准）后 ，达到付款条件起 30 日内，支付合同总金额的 30.00%。 半年期满后 ，达到付款条件起 30 日内，支付合同总金额的 60.00%。 壹年期满后 ，达到付款条件起 30 日内，支付合同总金额的 10.00%。</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提供第三方的检测报告</w:t>
            </w:r>
          </w:p>
        </w:tc>
        <w:tc>
          <w:tcPr>
            <w:tcW w:type="dxa" w:w="3322"/>
          </w:tcPr>
          <w:p>
            <w:pPr>
              <w:pStyle w:val="null3"/>
            </w:pPr>
            <w:r>
              <w:rPr/>
              <w:t>多旋转关节串联式机械臂定位误差：≤0.5mm。（提供第三方的检测报告）</w:t>
            </w:r>
          </w:p>
        </w:tc>
        <w:tc>
          <w:tcPr>
            <w:tcW w:type="dxa" w:w="1661"/>
          </w:tcPr>
          <w:p>
            <w:pPr>
              <w:pStyle w:val="null3"/>
            </w:pPr>
            <w:r>
              <w:rPr/>
              <w:t>商务偏离表</w:t>
            </w:r>
          </w:p>
        </w:tc>
      </w:tr>
      <w:tr>
        <w:tc>
          <w:tcPr>
            <w:tcW w:type="dxa" w:w="831"/>
          </w:tcPr>
          <w:p>
            <w:pPr>
              <w:pStyle w:val="null3"/>
            </w:pPr>
            <w:r>
              <w:rPr/>
              <w:t>6</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投标文件封面</w:t>
            </w:r>
          </w:p>
        </w:tc>
      </w:tr>
      <w:tr>
        <w:tc>
          <w:tcPr>
            <w:tcW w:type="dxa" w:w="831"/>
          </w:tcPr>
          <w:p>
            <w:pPr>
              <w:pStyle w:val="null3"/>
            </w:pPr>
            <w:r>
              <w:rPr/>
              <w:t>7</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环保节能评审</w:t>
            </w:r>
          </w:p>
        </w:tc>
        <w:tc>
          <w:tcPr>
            <w:tcW w:type="dxa" w:w="2492"/>
          </w:tcPr>
          <w:p>
            <w:pPr>
              <w:pStyle w:val="null3"/>
            </w:pPr>
            <w:r>
              <w:rPr/>
              <w:t>所投产品每有一项为节能、环保、环境标志产品清单中的产品得1分，满分2分（以经国家确定的认证机构出具的、处于有效期内的节能产品、环境标志产品认证证书为准。）。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技术参数</w:t>
            </w:r>
          </w:p>
        </w:tc>
        <w:tc>
          <w:tcPr>
            <w:tcW w:type="dxa" w:w="2492"/>
          </w:tcPr>
          <w:p>
            <w:pPr>
              <w:pStyle w:val="null3"/>
            </w:pPr>
            <w:r>
              <w:rPr/>
              <w:t>完全符合、响应招标文件的每一项要求，没有负偏离计20分；参数每负偏离一项扣2分，扣完为止。 1、供应商需提供相关的技术、功能证明材料（不限于产品技术说明、检测报告、产品彩页等）予以佐证。 2、佐证材料与技术偏离表响应指标有不一致的，又未能出具厂家盖章的说明文件的，给予5分扣分； 3、完全复制招标文件技术指标要求的，给予10分扣分，扣完为止。文字描述、国标、定制尺寸的技术指标除外。</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实施方案及验收方案</w:t>
            </w:r>
          </w:p>
        </w:tc>
        <w:tc>
          <w:tcPr>
            <w:tcW w:type="dxa" w:w="2492"/>
          </w:tcPr>
          <w:p>
            <w:pPr>
              <w:pStyle w:val="null3"/>
            </w:pPr>
            <w:r>
              <w:rPr/>
              <w:t>供应商提供针对本项目的实施方案及验收方案，方案针对本项目实施提出（1）重点、难点分析并给出相应的解决方案；（2）进度安排、质量保证；（3）安全控制方案；（4）验收方案。 方案各项内容全面详细、阐述条理清晰详尽、符合本项目采购需求、能有效保障本项目实施的得8分，每有一个缺项扣2分，每有一处缺陷扣0.5分，扣完为止。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供货组织安排</w:t>
            </w:r>
          </w:p>
        </w:tc>
        <w:tc>
          <w:tcPr>
            <w:tcW w:type="dxa" w:w="2492"/>
          </w:tcPr>
          <w:p>
            <w:pPr>
              <w:pStyle w:val="null3"/>
            </w:pPr>
            <w:r>
              <w:rPr/>
              <w:t>供应商针对本项目有具体的供货组织安排，方案包含（1）详细的人员、财力调配；（2）运输、派送措施；（3）安装、检测、调试措施等。 方案各项内容全面详细、阐述条理清晰详尽、符合本项目采购需求、能有效保障本项目实施的得6分，每有一个缺项扣2分，每有一处缺陷扣0.5分，扣完为止。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供货配置及选配件、消耗品清单</w:t>
            </w:r>
          </w:p>
        </w:tc>
        <w:tc>
          <w:tcPr>
            <w:tcW w:type="dxa" w:w="2492"/>
          </w:tcPr>
          <w:p>
            <w:pPr>
              <w:pStyle w:val="null3"/>
            </w:pPr>
            <w:r>
              <w:rPr/>
              <w:t>供应商针对本项目提供（1）供货配置清单；（2）选配件、消耗品的详细清单及报价。 清单各项内容完整详细、报价合理、符合本项目采购需求、能有效保障本项目实施的得6分，每有一个缺项扣3分，每有一处缺陷扣0.5分，扣完为止。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设备选型</w:t>
            </w:r>
          </w:p>
        </w:tc>
        <w:tc>
          <w:tcPr>
            <w:tcW w:type="dxa" w:w="2492"/>
          </w:tcPr>
          <w:p>
            <w:pPr>
              <w:pStyle w:val="null3"/>
            </w:pPr>
            <w:r>
              <w:rPr/>
              <w:t>针对本项目的采购需求，对所投产品的选型进行详细分析说明，分析包含（1）明确设备与医院使用需求的匹配情况；（2）设备选型的具体特点；（3）设备的安全防护措施完善，可靠性高。 分析各项内容全面详细、阐述条理清晰详尽、符合本项目采购需求、能有效保障本项目实施的得9分，每有一个缺项扣3分，每有一处缺陷扣0.5分，扣完为止。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供货渠道证明</w:t>
            </w:r>
          </w:p>
        </w:tc>
        <w:tc>
          <w:tcPr>
            <w:tcW w:type="dxa" w:w="2492"/>
          </w:tcPr>
          <w:p>
            <w:pPr>
              <w:pStyle w:val="null3"/>
            </w:pPr>
            <w:r>
              <w:rPr/>
              <w:t>提供所投产品合法来源渠道证明文件（不限于代理协议、原厂授权等），证明材料完整，链条清晰，计2分,证明材料不完整或未提供的不计分。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提供供应商2021年1月1日至今同类设备合同，每提供1个得1分，最高得5分。（以合同签订日期为准)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w:t>
            </w:r>
          </w:p>
        </w:tc>
        <w:tc>
          <w:tcPr>
            <w:tcW w:type="dxa" w:w="2492"/>
          </w:tcPr>
          <w:p>
            <w:pPr>
              <w:pStyle w:val="null3"/>
            </w:pPr>
            <w:r>
              <w:rPr/>
              <w:t>针对本项目具有可行的技术培训方案，方案包含（1）培训采购人指定的操作和维修人员，3-5人；（2）制定培训课程计划表，列出每种培训的地点和时间；（3）培训内容应包括所提供产品的原理和技术性能、操作维护方法、安装调试、排除故障等。 方案及承诺各项内容全面详细、阐述条理清晰详尽、符合本项目采购需求、能有效保障本项目实施的得,6分，每有一个缺项扣2分，每有一处缺陷扣0.5分，扣完为止。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w:t>
            </w:r>
          </w:p>
        </w:tc>
        <w:tc>
          <w:tcPr>
            <w:tcW w:type="dxa" w:w="2492"/>
          </w:tcPr>
          <w:p>
            <w:pPr>
              <w:pStyle w:val="null3"/>
            </w:pPr>
            <w:r>
              <w:rPr/>
              <w:t>针对本项目提供详细的售后服务方案及售后服务承诺，具有明确的承诺且符合实际需求，包含（1）售后服务机构健全，能够提供高效服务的，具有相应的物力、人力保障；（2）在设备发生不同类型故障后的到达现场时间、解决故障时间；（3）应急补救措施或方案。 方案各项内容全面详细、阐述条理清晰详尽、符合本项目采购需求、能有效保障本项目实施的得6分，每有一个缺项扣2分，每有一处缺陷扣0.5分，扣完为止。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价格分统一采用低价优先法计算，即满足招标文件要求且报价最低的响应报价为评审基准价，其价格分为满分。其他供应商的价格分统一按照下列公式计算： 响应报价得分=(评审基准价／响应报价)×30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残疾人福利性单位声明函 中小企业声明函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详见附件：开标一览表</w:t>
      </w:r>
    </w:p>
    <w:p>
      <w:pPr>
        <w:pStyle w:val="null3"/>
        <w:ind w:firstLine="960"/>
      </w:pPr>
      <w:r>
        <w:rPr/>
        <w:t>详见附件：标的清单</w:t>
      </w:r>
    </w:p>
    <w:p>
      <w:pPr>
        <w:pStyle w:val="null3"/>
        <w:ind w:firstLine="960"/>
      </w:pPr>
      <w:r>
        <w:rPr/>
        <w:t>详见附件：技术方案，履约能力，售后及培训</w:t>
      </w:r>
    </w:p>
    <w:p>
      <w:pPr>
        <w:pStyle w:val="null3"/>
        <w:ind w:firstLine="960"/>
      </w:pPr>
      <w:r>
        <w:rPr/>
        <w:t>详见附件：规格、技术参数偏离表</w:t>
      </w:r>
    </w:p>
    <w:p>
      <w:pPr>
        <w:pStyle w:val="null3"/>
        <w:ind w:firstLine="960"/>
      </w:pPr>
      <w:r>
        <w:rPr/>
        <w:t>详见附件：业绩一览表</w:t>
      </w:r>
    </w:p>
    <w:p>
      <w:pPr>
        <w:pStyle w:val="null3"/>
        <w:ind w:firstLine="960"/>
      </w:pPr>
      <w:r>
        <w:rPr/>
        <w:t>详见附件：资格响应表</w:t>
      </w:r>
    </w:p>
    <w:p>
      <w:pPr>
        <w:pStyle w:val="null3"/>
        <w:ind w:firstLine="960"/>
      </w:pPr>
      <w:r>
        <w:rPr/>
        <w:t>详见附件：商务偏离表</w:t>
      </w:r>
    </w:p>
    <w:p>
      <w:pPr>
        <w:pStyle w:val="null3"/>
        <w:ind w:firstLine="960"/>
      </w:pPr>
      <w:r>
        <w:rPr/>
        <w:t>详见附件：报价表及分项报价表</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