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版本号：241227001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硬件服务器、数据库和机房维保项目</w:t>
      </w:r>
    </w:p>
    <w:p>
      <w:pPr>
        <w:pStyle w:val="null3"/>
        <w:jc w:val="center"/>
        <w:outlineLvl w:val="2"/>
      </w:pPr>
      <w:r>
        <w:rPr>
          <w:sz w:val="28"/>
          <w:b/>
        </w:rPr>
        <w:t>采购项目编号：</w:t>
      </w:r>
      <w:r>
        <w:rPr>
          <w:sz w:val="28"/>
          <w:b/>
        </w:rPr>
        <w:t>SZT2024-SN-SC-ZC-FW-1337</w:t>
      </w:r>
      <w:r>
        <w:br/>
      </w:r>
      <w:r>
        <w:br/>
      </w:r>
      <w:r>
        <w:br/>
      </w:r>
    </w:p>
    <w:p>
      <w:pPr>
        <w:pStyle w:val="null3"/>
        <w:jc w:val="center"/>
        <w:outlineLvl w:val="2"/>
      </w:pPr>
      <w:r>
        <w:rPr>
          <w:sz w:val="28"/>
          <w:b/>
        </w:rPr>
        <w:t>陕西省人民医院</w:t>
      </w:r>
    </w:p>
    <w:p>
      <w:pPr>
        <w:pStyle w:val="null3"/>
        <w:jc w:val="center"/>
        <w:outlineLvl w:val="2"/>
      </w:pPr>
      <w:r>
        <w:rPr>
          <w:sz w:val="28"/>
          <w:b/>
        </w:rPr>
        <w:t>陕西中技招标有限公司</w:t>
      </w:r>
      <w:r>
        <w:rPr>
          <w:sz w:val="28"/>
          <w:b/>
        </w:rPr>
        <w:t>共同编制</w:t>
      </w:r>
    </w:p>
    <w:p>
      <w:pPr>
        <w:pStyle w:val="null3"/>
        <w:jc w:val="center"/>
        <w:outlineLvl w:val="2"/>
      </w:pPr>
      <w:r>
        <w:rPr>
          <w:sz w:val="28"/>
          <w:b/>
        </w:rPr>
        <w:t>2024年12月27日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陕西中技招标有限公司</w:t>
      </w:r>
      <w:r>
        <w:rPr/>
        <w:t>（以下简称“代理机构”）受</w:t>
      </w:r>
      <w:r>
        <w:rPr/>
        <w:t>陕西省人民医院</w:t>
      </w:r>
      <w:r>
        <w:rPr/>
        <w:t>委托，拟对</w:t>
      </w:r>
      <w:r>
        <w:rPr/>
        <w:t>硬件服务器、数据库和机房维保项目</w:t>
      </w:r>
      <w:r>
        <w:rPr/>
        <w:t>进行国内公开招标，兹邀请符合本次招标要求的供应商参加投标。</w:t>
      </w:r>
    </w:p>
    <w:p>
      <w:pPr>
        <w:pStyle w:val="null3"/>
        <w:outlineLvl w:val="2"/>
      </w:pPr>
      <w:r>
        <w:rPr>
          <w:sz w:val="28"/>
          <w:b/>
        </w:rPr>
        <w:t>一、采购项目编号：</w:t>
      </w:r>
      <w:r>
        <w:rPr>
          <w:sz w:val="28"/>
          <w:b/>
        </w:rPr>
        <w:t>SZT2024-SN-SC-ZC-FW-1337</w:t>
      </w:r>
    </w:p>
    <w:p>
      <w:pPr>
        <w:pStyle w:val="null3"/>
        <w:outlineLvl w:val="2"/>
      </w:pPr>
      <w:r>
        <w:rPr>
          <w:sz w:val="28"/>
          <w:b/>
        </w:rPr>
        <w:t>二、采购项目名称：</w:t>
      </w:r>
      <w:r>
        <w:rPr>
          <w:sz w:val="28"/>
          <w:b/>
        </w:rPr>
        <w:t>硬件服务器、数据库和机房维保项目</w:t>
      </w:r>
    </w:p>
    <w:p>
      <w:pPr>
        <w:pStyle w:val="null3"/>
        <w:outlineLvl w:val="2"/>
      </w:pPr>
      <w:r>
        <w:rPr>
          <w:sz w:val="28"/>
          <w:b/>
        </w:rPr>
        <w:t>三、招标项目简介</w:t>
      </w:r>
    </w:p>
    <w:p>
      <w:pPr>
        <w:pStyle w:val="null3"/>
        <w:ind w:firstLine="480"/>
      </w:pPr>
      <w:r>
        <w:rPr/>
        <w:t>对医院两地三中心内部的存储服务、网络服务硬件和软件系统进行整体运维，包括但不限于所有的存储服务器、存储交换、虚拟化软件、备份软件、存储双活运维、存储优化、维护及切换管理等等，未列举到的涉及数据存储服务器及网络部署、网络安全的软硬件均包含在本次维保范围内。 按照数据存储及服务器软硬件维护；网络和安全服务及配套软硬件维护；数据机房附属设备设施维护共3个标段组织招标。</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法定代表人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t>2、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pPr>
      <w:r>
        <w:rPr/>
        <w:t>采购包2：</w:t>
      </w:r>
    </w:p>
    <w:p>
      <w:pPr>
        <w:pStyle w:val="null3"/>
      </w:pPr>
      <w:r>
        <w:rPr/>
        <w:t>1、法定代表人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t>2、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pPr>
      <w:r>
        <w:rPr/>
        <w:t>采购包3：</w:t>
      </w:r>
    </w:p>
    <w:p>
      <w:pPr>
        <w:pStyle w:val="null3"/>
      </w:pPr>
      <w:r>
        <w:rPr/>
        <w:t>1、法定代表人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t>2、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陕西省人民医院</w:t>
      </w:r>
    </w:p>
    <w:p>
      <w:pPr>
        <w:pStyle w:val="null3"/>
      </w:pPr>
      <w:r>
        <w:rPr/>
        <w:t xml:space="preserve"> 地址： </w:t>
      </w:r>
      <w:r>
        <w:rPr/>
        <w:t>西安市友谊西路256号</w:t>
      </w:r>
    </w:p>
    <w:p>
      <w:pPr>
        <w:pStyle w:val="null3"/>
      </w:pPr>
      <w:r>
        <w:rPr/>
        <w:t xml:space="preserve"> 邮编： </w:t>
      </w:r>
      <w:r>
        <w:rPr/>
        <w:t>710000</w:t>
      </w:r>
    </w:p>
    <w:p>
      <w:pPr>
        <w:pStyle w:val="null3"/>
      </w:pPr>
      <w:r>
        <w:rPr/>
        <w:t xml:space="preserve"> 联系人： </w:t>
      </w:r>
      <w:r>
        <w:rPr/>
        <w:t>种老师</w:t>
      </w:r>
    </w:p>
    <w:p>
      <w:pPr>
        <w:pStyle w:val="null3"/>
      </w:pPr>
      <w:r>
        <w:rPr/>
        <w:t xml:space="preserve"> 联系电话： </w:t>
      </w:r>
      <w:r>
        <w:rPr/>
        <w:t>029-85251331-3458</w:t>
      </w:r>
    </w:p>
    <w:p>
      <w:pPr>
        <w:pStyle w:val="null3"/>
        <w:outlineLvl w:val="2"/>
      </w:pPr>
      <w:r>
        <w:rPr>
          <w:sz w:val="28"/>
          <w:b/>
        </w:rPr>
        <w:t>代理机构：</w:t>
      </w:r>
      <w:r>
        <w:rPr>
          <w:sz w:val="28"/>
          <w:b/>
        </w:rPr>
        <w:t>陕西中技招标有限公司</w:t>
      </w:r>
    </w:p>
    <w:p>
      <w:pPr>
        <w:pStyle w:val="null3"/>
      </w:pPr>
      <w:r>
        <w:rPr/>
        <w:t xml:space="preserve"> 地址： </w:t>
      </w:r>
      <w:r>
        <w:rPr/>
        <w:t>西安市高新四路1号高科广场A座10楼1001室</w:t>
      </w:r>
    </w:p>
    <w:p>
      <w:pPr>
        <w:pStyle w:val="null3"/>
      </w:pPr>
      <w:r>
        <w:rPr/>
        <w:t xml:space="preserve"> 邮编： </w:t>
      </w:r>
      <w:r>
        <w:rPr/>
        <w:t>710000</w:t>
      </w:r>
    </w:p>
    <w:p>
      <w:pPr>
        <w:pStyle w:val="null3"/>
      </w:pPr>
      <w:r>
        <w:rPr/>
        <w:t xml:space="preserve"> 联系人： </w:t>
      </w:r>
      <w:r>
        <w:rPr/>
        <w:t>肖娇娇、李文俊</w:t>
      </w:r>
    </w:p>
    <w:p>
      <w:pPr>
        <w:pStyle w:val="null3"/>
      </w:pPr>
      <w:r>
        <w:rPr/>
        <w:t xml:space="preserve"> 联系电话： </w:t>
      </w:r>
      <w:r>
        <w:rPr/>
        <w:t>029-88364979-848</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采购包1：3,307,900.00元</w:t>
            </w:r>
          </w:p>
          <w:p>
            <w:pPr>
              <w:pStyle w:val="null3"/>
            </w:pPr>
            <w:r>
              <w:rPr/>
              <w:t>采购包2：1,049,300.00元</w:t>
            </w:r>
          </w:p>
          <w:p>
            <w:pPr>
              <w:pStyle w:val="null3"/>
            </w:pPr>
            <w:r>
              <w:rPr/>
              <w:t>采购包3：442,800.00元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p>
          <w:p>
            <w:pPr>
              <w:pStyle w:val="null3"/>
            </w:pPr>
            <w:r>
              <w:rPr/>
              <w:t>采购包2：综合评分法</w:t>
            </w:r>
          </w:p>
          <w:p>
            <w:pPr>
              <w:pStyle w:val="null3"/>
            </w:pPr>
            <w:r>
              <w:rPr/>
              <w:t>采购包3：综合评分法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p>
          <w:p>
            <w:pPr>
              <w:pStyle w:val="null3"/>
            </w:pPr>
            <w:r>
              <w:rPr/>
              <w:t>采购包3：不接受</w:t>
            </w:r>
            <w:r>
              <w:rPr/>
              <w:t xml:space="preserve"> 如以联合体响应的，联合体各方均应当具备本招标文件要求的资格条件和能力。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w:t>
            </w:r>
            <w:r>
              <w:rPr/>
              <w:t>如有</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w:t>
            </w:r>
            <w:r>
              <w:rPr/>
              <w:t>如有</w:t>
            </w:r>
            <w:r>
              <w:rPr/>
              <w:t>产品属于节能产品政府采购品目清单中应优先采购的产品范围，本项目采购</w:t>
            </w:r>
            <w:r>
              <w:rPr/>
              <w:t>如有</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采购包1保证金金额：30,000.00元</w:t>
            </w:r>
          </w:p>
          <w:p>
            <w:pPr>
              <w:pStyle w:val="null3"/>
            </w:pPr>
            <w:r>
              <w:rPr/>
              <w:t>采购包2保证金金额：18,000.00元</w:t>
            </w:r>
          </w:p>
          <w:p>
            <w:pPr>
              <w:pStyle w:val="null3"/>
            </w:pPr>
            <w:r>
              <w:rPr/>
              <w:t>采购包3保证金金额：7,000.00元</w:t>
            </w:r>
          </w:p>
          <w:p>
            <w:pPr>
              <w:pStyle w:val="null3"/>
            </w:pPr>
            <w:r>
              <w:rPr/>
              <w:t>缴交渠道：转账、支票、汇票等（需通过实体账户、户名及开户行信息）</w:t>
            </w:r>
          </w:p>
          <w:p>
            <w:pPr>
              <w:pStyle w:val="null3"/>
            </w:pPr>
            <w:r>
              <w:rPr/>
              <w:t>开户名称：陕西中技招标有限公司（转账备注项目编号后四位数字）</w:t>
            </w:r>
          </w:p>
          <w:p>
            <w:pPr>
              <w:pStyle w:val="null3"/>
            </w:pPr>
            <w:r>
              <w:rPr/>
              <w:t>开户银行：招商银行西安分行营业部</w:t>
            </w:r>
          </w:p>
          <w:p>
            <w:pPr>
              <w:pStyle w:val="null3"/>
            </w:pPr>
            <w:r>
              <w:rPr/>
              <w:t>银行账号：129916812810001</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p>
            <w:pPr>
              <w:pStyle w:val="null3"/>
            </w:pPr>
            <w:r>
              <w:rPr/>
              <w:t>采购包2：不缴纳</w:t>
            </w:r>
          </w:p>
          <w:p>
            <w:pPr>
              <w:pStyle w:val="null3"/>
            </w:pPr>
            <w:r>
              <w:rPr/>
              <w:t>采购包3：不缴纳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招标代理服务费收取按照国家计委颁布的《招标代理服务收费管理暂行办法》（计价格[2002]1980号）和（发改办价格[2003]857号）服务类收费标准。每采购包按照中标金额差额定率累进法计算（中标金额100万以下按规定收取，100万-500万按下浮20%收取，500万-1000万按下浮25%收取，1000 万以上按下浮30%收取），本项目按照中标金额计算服务费*维保年限收取。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是否组织潜在投标人现场考察</w:t>
            </w:r>
          </w:p>
        </w:tc>
        <w:tc>
          <w:tcPr>
            <w:tcW w:type="dxa" w:w="5004"/>
          </w:tcPr>
          <w:p>
            <w:pPr>
              <w:pStyle w:val="null3"/>
            </w:pPr>
            <w:r>
              <w:rPr/>
              <w:t>采购包1：组织现场踏勘：否</w:t>
            </w:r>
          </w:p>
          <w:p>
            <w:pPr>
              <w:pStyle w:val="null3"/>
            </w:pPr>
            <w:r>
              <w:rPr/>
              <w:t>采购包2：组织现场踏勘：否</w:t>
            </w:r>
          </w:p>
          <w:p>
            <w:pPr>
              <w:pStyle w:val="null3"/>
            </w:pPr>
            <w:r>
              <w:rPr/>
              <w:t>采购包3：组织现场踏勘：否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陕西省人民医院</w:t>
      </w:r>
      <w:r>
        <w:rPr/>
        <w:t>和</w:t>
      </w:r>
      <w:r>
        <w:rPr/>
        <w:t>陕西中技招标有限公司</w:t>
      </w:r>
      <w:r>
        <w:rPr/>
        <w:t>享有。对招标文件中供应商参加本次政府采购活动应当具备的条件，招标项目技术、服务、商务及其他要求，评标细则及标准由</w:t>
      </w:r>
      <w:r>
        <w:rPr/>
        <w:t>陕西省人民医院</w:t>
      </w:r>
      <w:r>
        <w:rPr/>
        <w:t>负责解释。除上述招标文件内容，其他内容由</w:t>
      </w:r>
      <w:r>
        <w:rPr/>
        <w:t>陕西中技招标有限公司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陕西省人民医院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陕西中技招标有限公司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sz w:val="24"/>
          <w:b/>
        </w:rPr>
        <w:t>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t xml:space="preserve"> 投标文件提交截止时间前30分钟，投标人登录项目电子化交易系统-“开标/开启大厅”参与开标。</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60</w:t>
      </w:r>
      <w:r>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pPr>
      <w:r>
        <w:rPr/>
        <w:t>采购包3：不允许合同分包。</w:t>
      </w:r>
    </w:p>
    <w:p>
      <w:pPr>
        <w:pStyle w:val="null3"/>
        <w:outlineLvl w:val="3"/>
      </w:pPr>
      <w:r>
        <w:rPr>
          <w:sz w:val="24"/>
          <w:b/>
        </w:rPr>
        <w:t>2.6.2.2合同转包</w:t>
      </w:r>
    </w:p>
    <w:p>
      <w:pPr>
        <w:pStyle w:val="null3"/>
        <w:ind w:firstLine="480"/>
      </w:pPr>
      <w:r>
        <w:rPr/>
        <w:t xml:space="preserve"> 一、严禁中标供应商将本项目转包。本项目所称转包，是指将本项目转给他人或者将本项目全部肢解以后以分包的名义分别转给他人的行为。</w:t>
      </w:r>
    </w:p>
    <w:p>
      <w:pPr>
        <w:pStyle w:val="null3"/>
        <w:ind w:firstLine="480"/>
      </w:pPr>
      <w:r>
        <w:rPr/>
        <w:t>二、中标供应商转包的，视同拒绝履行政府采购合同，将依法追究法律责任。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二、在合同履行过程中，如发生合同纠纷，合同双方应按照《中华人民共和国民法典》规定及合同条款约定进行处理。</w:t>
      </w:r>
    </w:p>
    <w:p>
      <w:pPr>
        <w:pStyle w:val="null3"/>
        <w:outlineLvl w:val="3"/>
      </w:pPr>
      <w:r>
        <w:rPr>
          <w:sz w:val="24"/>
          <w:b/>
        </w:rPr>
        <w:t>2.6.5履约验收方案</w:t>
      </w:r>
    </w:p>
    <w:p>
      <w:pPr>
        <w:pStyle w:val="null3"/>
      </w:pPr>
      <w:r>
        <w:rPr/>
        <w:t>采购包1：</w:t>
      </w:r>
    </w:p>
    <w:p>
      <w:pPr>
        <w:pStyle w:val="null3"/>
      </w:pPr>
      <w:r>
        <w:rPr/>
        <w:t>1、招标文件、投标文件、澄清表（函）； 2、合同及附件文本； 3、国家相应的标准、规范。</w:t>
      </w:r>
    </w:p>
    <w:p>
      <w:pPr>
        <w:pStyle w:val="null3"/>
      </w:pPr>
      <w:r>
        <w:rPr/>
        <w:t>采购包2：</w:t>
      </w:r>
    </w:p>
    <w:p>
      <w:pPr>
        <w:pStyle w:val="null3"/>
      </w:pPr>
      <w:r>
        <w:rPr/>
        <w:t>1、招标文件、投标文件、澄清表（函）； 2、合同及附件文本； 3、国家相应的标准、规范。</w:t>
      </w:r>
    </w:p>
    <w:p>
      <w:pPr>
        <w:pStyle w:val="null3"/>
      </w:pPr>
      <w:r>
        <w:rPr/>
        <w:t>采购包3：</w:t>
      </w:r>
    </w:p>
    <w:p>
      <w:pPr>
        <w:pStyle w:val="null3"/>
      </w:pPr>
      <w:r>
        <w:rPr/>
        <w:t>1、招标文件、投标文件、澄清表（函）； 2、合同及附件文本； 3、国家相应的标准、规范。</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t>对各投标人的商业秘密，评标委员会成员应予以保密，不得泄露给其他投标人。</w:t>
      </w:r>
    </w:p>
    <w:p>
      <w:pPr>
        <w:pStyle w:val="null3"/>
        <w:outlineLvl w:val="3"/>
      </w:pPr>
      <w:r>
        <w:rPr>
          <w:sz w:val="24"/>
          <w:b/>
        </w:rPr>
        <w:t>2.7.2投标人不得具有的情形（实质性要求）</w:t>
      </w:r>
    </w:p>
    <w:p>
      <w:pPr>
        <w:pStyle w:val="null3"/>
        <w:ind w:firstLine="480"/>
      </w:pPr>
      <w:r>
        <w:rPr/>
        <w:t>投标人参加投标不得有下列情形：</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八、未按照招标文件确定的事项签订政府采购合同；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投标人有上述情形的，按照规定追究法律责任，具有前述一至十三条情形之一的，其投标文件无效，或取消被确认为中标供应商的资格或认定中标无效。</w:t>
      </w:r>
    </w:p>
    <w:p>
      <w:pPr>
        <w:pStyle w:val="null3"/>
        <w:outlineLvl w:val="3"/>
      </w:pPr>
      <w:r>
        <w:rPr>
          <w:sz w:val="24"/>
          <w:b/>
        </w:rPr>
        <w:t>2.7.3采购人员及相关人员回避要求</w:t>
      </w:r>
    </w:p>
    <w:p>
      <w:pPr>
        <w:pStyle w:val="null3"/>
        <w:ind w:firstLine="480"/>
      </w:pPr>
      <w:r>
        <w:rPr/>
        <w:t>政府采购活动中，采购人员及相关人员与投标人有下列利害关系之一的，应当回避：</w:t>
      </w:r>
    </w:p>
    <w:p>
      <w:pPr>
        <w:pStyle w:val="null3"/>
        <w:ind w:firstLine="480"/>
      </w:pPr>
      <w:r>
        <w:rPr/>
        <w:t>（1）参加采购活动前3年内与投标人存在劳动关系；</w:t>
      </w:r>
    </w:p>
    <w:p>
      <w:pPr>
        <w:pStyle w:val="null3"/>
        <w:ind w:firstLine="480"/>
      </w:pPr>
      <w:r>
        <w:rPr/>
        <w:t>（2）参加采购活动前3年内担任投标人的董事、监事；</w:t>
      </w:r>
    </w:p>
    <w:p>
      <w:pPr>
        <w:pStyle w:val="null3"/>
        <w:ind w:firstLine="480"/>
      </w:pPr>
      <w:r>
        <w:rPr/>
        <w:t>（3）参加采购活动前3年内是投标人的控股股东或者实际控制人；</w:t>
      </w:r>
    </w:p>
    <w:p>
      <w:pPr>
        <w:pStyle w:val="null3"/>
        <w:ind w:firstLine="480"/>
      </w:pPr>
      <w:r>
        <w:rPr/>
        <w:t>（4）与投标人的法定代表人或者负责人有夫妻、直系血亲、三代以内旁系血亲或者近姻亲关系；</w:t>
      </w:r>
    </w:p>
    <w:p>
      <w:pPr>
        <w:pStyle w:val="null3"/>
        <w:ind w:firstLine="480"/>
      </w:pPr>
      <w:r>
        <w:rPr/>
        <w:t>（5）与投标人有其他可能影响政府采购活动公平、公正进行的关系。</w:t>
      </w:r>
    </w:p>
    <w:p>
      <w:pPr>
        <w:pStyle w:val="null3"/>
        <w:ind w:firstLine="480"/>
      </w:pPr>
      <w:r>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陕西中技招标有限公司</w:t>
      </w:r>
      <w:r>
        <w:rPr/>
        <w:t xml:space="preserve"> 负责答复；供应商对除采购需求外的采购文件的询问、质疑由</w:t>
      </w:r>
      <w:r>
        <w:rPr/>
        <w:t>陕西中技招标有限公司</w:t>
      </w:r>
      <w:r>
        <w:rPr/>
        <w:t xml:space="preserve"> 负责答复；供应商对采购过程、采购结果的询问、质疑由 </w:t>
      </w:r>
      <w:r>
        <w:rPr/>
        <w:t>陕西中技招标有限公司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（五）针对质疑事项必要的证明材料（针对招标文件提出的质疑，需提交从项目电子化交易系统获取的招标文件回执单）。</w:t>
      </w:r>
    </w:p>
    <w:p>
      <w:pPr>
        <w:pStyle w:val="null3"/>
      </w:pPr>
      <w:r>
        <w:rPr/>
        <w:t>答复主体：代理机构</w:t>
      </w:r>
    </w:p>
    <w:p>
      <w:pPr>
        <w:pStyle w:val="null3"/>
      </w:pPr>
      <w:r>
        <w:rPr/>
        <w:t>联系人：戴经理</w:t>
      </w:r>
    </w:p>
    <w:p>
      <w:pPr>
        <w:pStyle w:val="null3"/>
      </w:pPr>
      <w:r>
        <w:rPr/>
        <w:t>联系电话：029-88364979-856</w:t>
      </w:r>
    </w:p>
    <w:p>
      <w:pPr>
        <w:pStyle w:val="null3"/>
      </w:pPr>
      <w:r>
        <w:rPr/>
        <w:t>地址：西安市高新四路1号高科广场A1001室</w:t>
      </w:r>
    </w:p>
    <w:p>
      <w:pPr>
        <w:pStyle w:val="null3"/>
      </w:pPr>
      <w:r>
        <w:rPr/>
        <w:t>邮编：710000</w:t>
      </w:r>
    </w:p>
    <w:p>
      <w:pPr>
        <w:pStyle w:val="null3"/>
        <w:ind w:firstLine="480"/>
      </w:pPr>
      <w:r>
        <w:rPr/>
        <w:t>注：根据《中华人民共和国政府采购法》的规定，供应商质疑不得超出招标文件、采购过程、采购结果的范围。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对医院两地三中心内部的存储服务、网络服务硬件和软件系统进行整体运维，包括但不限于所有的存储服务器、存储交换、虚拟化软件、备份软件、存储双活运维、存储优化、维护及切换管理等等，未列举到的涉及数据存储服务器及网络部署、网络安全的软硬件均包含在本次维保范围内。 按照数据存储及服务器软硬件维护；网络和安全服务及配套软硬件维护；数据机房附属设备设施维护共3个标段组织招标。</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3,307,900.00</w:t>
      </w:r>
    </w:p>
    <w:p>
      <w:pPr>
        <w:pStyle w:val="null3"/>
      </w:pPr>
      <w:r>
        <w:rPr/>
        <w:t>采购包最高限价（元）: 3,307,900.00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数据存储及服务器软硬件维护</w:t>
            </w:r>
          </w:p>
        </w:tc>
        <w:tc>
          <w:tcPr>
            <w:tcW w:type="dxa" w:w="831"/>
          </w:tcPr>
          <w:p>
            <w:pPr>
              <w:pStyle w:val="null3"/>
              <w:jc w:val="right"/>
            </w:pPr>
            <w:r>
              <w:rPr/>
              <w:t>1.00</w:t>
            </w:r>
          </w:p>
        </w:tc>
        <w:tc>
          <w:tcPr>
            <w:tcW w:type="dxa" w:w="831"/>
          </w:tcPr>
          <w:p>
            <w:pPr>
              <w:pStyle w:val="null3"/>
              <w:jc w:val="right"/>
            </w:pPr>
            <w:r>
              <w:rPr/>
              <w:t>3,307,900.00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1,049,300.00</w:t>
      </w:r>
    </w:p>
    <w:p>
      <w:pPr>
        <w:pStyle w:val="null3"/>
      </w:pPr>
      <w:r>
        <w:rPr/>
        <w:t>采购包最高限价（元）: 1,049,300.00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网络和安全服务及配套软硬件维护</w:t>
            </w:r>
          </w:p>
        </w:tc>
        <w:tc>
          <w:tcPr>
            <w:tcW w:type="dxa" w:w="831"/>
          </w:tcPr>
          <w:p>
            <w:pPr>
              <w:pStyle w:val="null3"/>
              <w:jc w:val="right"/>
            </w:pPr>
            <w:r>
              <w:rPr/>
              <w:t>1.00</w:t>
            </w:r>
          </w:p>
        </w:tc>
        <w:tc>
          <w:tcPr>
            <w:tcW w:type="dxa" w:w="831"/>
          </w:tcPr>
          <w:p>
            <w:pPr>
              <w:pStyle w:val="null3"/>
              <w:jc w:val="right"/>
            </w:pPr>
            <w:r>
              <w:rPr/>
              <w:t>1,049,300.00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采购包3：</w:t>
      </w:r>
    </w:p>
    <w:p>
      <w:pPr>
        <w:pStyle w:val="null3"/>
      </w:pPr>
      <w:r>
        <w:rPr/>
        <w:t>采购包预算金额（元）: 442,800.00</w:t>
      </w:r>
    </w:p>
    <w:p>
      <w:pPr>
        <w:pStyle w:val="null3"/>
      </w:pPr>
      <w:r>
        <w:rPr/>
        <w:t>采购包最高限价（元）: 442,800.00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数据机房附属设备设施维护</w:t>
            </w:r>
          </w:p>
        </w:tc>
        <w:tc>
          <w:tcPr>
            <w:tcW w:type="dxa" w:w="831"/>
          </w:tcPr>
          <w:p>
            <w:pPr>
              <w:pStyle w:val="null3"/>
              <w:jc w:val="right"/>
            </w:pPr>
            <w:r>
              <w:rPr/>
              <w:t>1.00</w:t>
            </w:r>
          </w:p>
        </w:tc>
        <w:tc>
          <w:tcPr>
            <w:tcW w:type="dxa" w:w="831"/>
          </w:tcPr>
          <w:p>
            <w:pPr>
              <w:pStyle w:val="null3"/>
              <w:jc w:val="right"/>
            </w:pPr>
            <w:r>
              <w:rPr/>
              <w:t>442,800.00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3"/>
      </w:pPr>
      <w:r>
        <w:rPr>
          <w:sz w:val="24"/>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标的名称：数据存储及服务器软硬件维护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center"/>
            </w:pPr>
            <w:r>
              <w:rPr>
                <w:rFonts w:ascii="方正小标宋简体" w:hAnsi="方正小标宋简体" w:cs="方正小标宋简体" w:eastAsia="方正小标宋简体"/>
                <w:sz w:val="32"/>
              </w:rPr>
              <w:t>项目招标内容汇总表</w:t>
            </w:r>
            <w:r>
              <w:rPr>
                <w:rFonts w:ascii="方正小标宋简体" w:hAnsi="方正小标宋简体" w:cs="方正小标宋简体" w:eastAsia="方正小标宋简体"/>
                <w:sz w:val="32"/>
              </w:rPr>
              <w:t>（</w:t>
            </w:r>
            <w:r>
              <w:rPr>
                <w:rFonts w:ascii="方正小标宋简体" w:hAnsi="方正小标宋简体" w:cs="方正小标宋简体" w:eastAsia="方正小标宋简体"/>
                <w:sz w:val="32"/>
              </w:rPr>
              <w:t>第一包</w:t>
            </w:r>
            <w:r>
              <w:rPr>
                <w:rFonts w:ascii="方正小标宋简体" w:hAnsi="方正小标宋简体" w:cs="方正小标宋简体" w:eastAsia="方正小标宋简体"/>
                <w:sz w:val="32"/>
              </w:rPr>
              <w:t>）</w:t>
            </w:r>
          </w:p>
          <w:tbl>
            <w:tblPr>
              <w:tblInd w:type="dxa" w:w="135"/>
              <w:tblBorders>
                <w:top w:val="none" w:color="000000" w:sz="4"/>
                <w:left w:val="none" w:color="000000" w:sz="4"/>
                <w:bottom w:val="none" w:color="000000" w:sz="4"/>
                <w:right w:val="none" w:color="000000" w:sz="4"/>
                <w:insideH w:val="none"/>
                <w:insideV w:val="none"/>
              </w:tblBorders>
            </w:tblPr>
            <w:tblGrid>
              <w:gridCol w:w="165"/>
              <w:gridCol w:w="162"/>
              <w:gridCol w:w="1881"/>
              <w:gridCol w:w="335"/>
            </w:tblGrid>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序号</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项目招标名称</w:t>
                  </w:r>
                </w:p>
              </w:tc>
              <w:tc>
                <w:tcPr>
                  <w:tcW w:type="dxa" w:w="1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项目招标内容</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预算</w:t>
                  </w:r>
                </w:p>
                <w:p>
                  <w:pPr>
                    <w:pStyle w:val="null3"/>
                    <w:jc w:val="center"/>
                  </w:pPr>
                  <w:r>
                    <w:rPr>
                      <w:rFonts w:ascii="宋体" w:hAnsi="宋体" w:cs="宋体" w:eastAsia="宋体"/>
                      <w:sz w:val="21"/>
                      <w:b/>
                      <w:color w:val="000000"/>
                    </w:rPr>
                    <w:t>（万元）</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数据存储及服务器软硬件维护</w:t>
                  </w:r>
                </w:p>
              </w:tc>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对医院两地三中心内部的存储服务的硬件和软件系统进行整体运维，包括但不限于所有的存储服务器、存储交换、虚拟化软件、备份软件、存储虚拟化、存储双活运维、存储优化、维护及切换管理等。未列举到的涉及数据存储服务器的软硬件均包含在本次维保范围之内。</w:t>
                  </w:r>
                </w:p>
                <w:p>
                  <w:pPr>
                    <w:pStyle w:val="null3"/>
                    <w:ind w:firstLine="422"/>
                    <w:jc w:val="left"/>
                  </w:pPr>
                  <w:r>
                    <w:rPr>
                      <w:rFonts w:ascii="宋体" w:hAnsi="宋体" w:cs="宋体" w:eastAsia="宋体"/>
                      <w:sz w:val="21"/>
                      <w:b/>
                      <w:color w:val="000000"/>
                    </w:rPr>
                    <w:t>一、维保产品</w:t>
                  </w:r>
                </w:p>
                <w:p>
                  <w:pPr>
                    <w:pStyle w:val="null3"/>
                    <w:ind w:firstLine="422"/>
                    <w:jc w:val="left"/>
                  </w:pPr>
                  <w:r>
                    <w:rPr>
                      <w:rFonts w:ascii="宋体" w:hAnsi="宋体" w:cs="宋体" w:eastAsia="宋体"/>
                      <w:sz w:val="21"/>
                      <w:b/>
                      <w:color w:val="000000"/>
                    </w:rPr>
                    <w:t>1.DELL产品</w:t>
                  </w:r>
                </w:p>
                <w:p>
                  <w:pPr>
                    <w:pStyle w:val="null3"/>
                    <w:ind w:firstLine="420"/>
                    <w:jc w:val="left"/>
                  </w:pPr>
                  <w:r>
                    <w:rPr>
                      <w:rFonts w:ascii="宋体" w:hAnsi="宋体" w:cs="宋体" w:eastAsia="宋体"/>
                      <w:sz w:val="21"/>
                      <w:color w:val="000000"/>
                    </w:rPr>
                    <w:t>DELL PowerStore1000T分布式存储服务器3台，包含但不限于存储服务器的软硬件及相关服务；Dell EMC双活核心存储服务器2套，包含但不限于含24块磁盘、存储列阵模拟软件和</w:t>
                  </w:r>
                  <w:r>
                    <w:rPr>
                      <w:rFonts w:ascii="宋体" w:hAnsi="宋体" w:cs="宋体" w:eastAsia="宋体"/>
                      <w:sz w:val="21"/>
                      <w:color w:val="000000"/>
                    </w:rPr>
                    <w:t>相应</w:t>
                  </w:r>
                  <w:r>
                    <w:rPr>
                      <w:rFonts w:ascii="宋体" w:hAnsi="宋体" w:cs="宋体" w:eastAsia="宋体"/>
                      <w:sz w:val="21"/>
                      <w:color w:val="000000"/>
                    </w:rPr>
                    <w:t>授权；</w:t>
                  </w:r>
                  <w:r>
                    <w:rPr>
                      <w:rFonts w:ascii="宋体" w:hAnsi="宋体" w:cs="宋体" w:eastAsia="宋体"/>
                      <w:sz w:val="21"/>
                      <w:color w:val="000000"/>
                    </w:rPr>
                    <w:t>EMC VPLEX Metro存储虚拟化引擎4台；EMC VMAX 10K磁盘列阵2台；EMC RecoverPoint,包含10CPU license（包含但不限于存储服务器的软硬件及相关服务）；DELL UNITY680存储1台，DELL UNITY480F存储2台；DELL UNITY400存储2台，DELL UNITY450F存储1台；VxRail P570超融合服务器22台（包含但不限于存储服务器的软硬件及相关服务）；EMC 6510B存储交换机8台；EMC 6520B存储交换机2台（包含但不限于配置Extend Fabric和Trunking许可）</w:t>
                  </w:r>
                </w:p>
                <w:p>
                  <w:pPr>
                    <w:pStyle w:val="null3"/>
                    <w:ind w:firstLine="422"/>
                    <w:jc w:val="left"/>
                  </w:pPr>
                  <w:r>
                    <w:rPr>
                      <w:rFonts w:ascii="宋体" w:hAnsi="宋体" w:cs="宋体" w:eastAsia="宋体"/>
                      <w:sz w:val="21"/>
                      <w:b/>
                      <w:color w:val="000000"/>
                    </w:rPr>
                    <w:t>2.HP产品</w:t>
                  </w:r>
                </w:p>
                <w:p>
                  <w:pPr>
                    <w:pStyle w:val="null3"/>
                    <w:ind w:firstLine="420"/>
                    <w:jc w:val="left"/>
                  </w:pPr>
                  <w:r>
                    <w:rPr>
                      <w:rFonts w:ascii="宋体" w:hAnsi="宋体" w:cs="宋体" w:eastAsia="宋体"/>
                      <w:sz w:val="21"/>
                      <w:color w:val="000000"/>
                    </w:rPr>
                    <w:t>HP 3PAR F400磁盘列阵2台（包含但不限于磁盘维护及</w:t>
                  </w:r>
                  <w:r>
                    <w:rPr>
                      <w:rFonts w:ascii="宋体" w:hAnsi="宋体" w:cs="宋体" w:eastAsia="宋体"/>
                      <w:sz w:val="21"/>
                      <w:color w:val="000000"/>
                    </w:rPr>
                    <w:t>官方</w:t>
                  </w:r>
                  <w:r>
                    <w:rPr>
                      <w:rFonts w:ascii="宋体" w:hAnsi="宋体" w:cs="宋体" w:eastAsia="宋体"/>
                      <w:sz w:val="21"/>
                      <w:color w:val="000000"/>
                    </w:rPr>
                    <w:t>授权服务）；</w:t>
                  </w:r>
                  <w:r>
                    <w:rPr>
                      <w:rFonts w:ascii="宋体" w:hAnsi="宋体" w:cs="宋体" w:eastAsia="宋体"/>
                      <w:sz w:val="21"/>
                      <w:color w:val="000000"/>
                    </w:rPr>
                    <w:t>HP DL980G7 PC服务器2台；HP DL580G9 物理服务器10台；时钟服务器1台</w:t>
                  </w:r>
                </w:p>
                <w:p>
                  <w:pPr>
                    <w:pStyle w:val="null3"/>
                    <w:ind w:firstLine="422"/>
                    <w:jc w:val="left"/>
                  </w:pPr>
                  <w:r>
                    <w:rPr>
                      <w:rFonts w:ascii="宋体" w:hAnsi="宋体" w:cs="宋体" w:eastAsia="宋体"/>
                      <w:sz w:val="21"/>
                      <w:b/>
                      <w:color w:val="000000"/>
                    </w:rPr>
                    <w:t>3.昆腾产品</w:t>
                  </w:r>
                </w:p>
                <w:p>
                  <w:pPr>
                    <w:pStyle w:val="null3"/>
                    <w:ind w:firstLine="420"/>
                    <w:jc w:val="left"/>
                  </w:pPr>
                  <w:r>
                    <w:rPr>
                      <w:rFonts w:ascii="宋体" w:hAnsi="宋体" w:cs="宋体" w:eastAsia="宋体"/>
                      <w:sz w:val="21"/>
                      <w:color w:val="000000"/>
                    </w:rPr>
                    <w:t>昆腾</w:t>
                  </w:r>
                  <w:r>
                    <w:rPr>
                      <w:rFonts w:ascii="宋体" w:hAnsi="宋体" w:cs="宋体" w:eastAsia="宋体"/>
                      <w:sz w:val="21"/>
                      <w:color w:val="000000"/>
                    </w:rPr>
                    <w:t>DXi6701虚拟带库1台（包含但不限于软硬件及相关服务）</w:t>
                  </w:r>
                </w:p>
                <w:p>
                  <w:pPr>
                    <w:pStyle w:val="null3"/>
                    <w:ind w:firstLine="422"/>
                    <w:jc w:val="left"/>
                  </w:pPr>
                  <w:r>
                    <w:rPr>
                      <w:rFonts w:ascii="宋体" w:hAnsi="宋体" w:cs="宋体" w:eastAsia="宋体"/>
                      <w:sz w:val="21"/>
                      <w:b/>
                      <w:color w:val="000000"/>
                    </w:rPr>
                    <w:t>4.H3C产品</w:t>
                  </w:r>
                </w:p>
                <w:p>
                  <w:pPr>
                    <w:pStyle w:val="null3"/>
                    <w:jc w:val="left"/>
                  </w:pPr>
                  <w:r>
                    <w:rPr>
                      <w:rFonts w:ascii="宋体" w:hAnsi="宋体" w:cs="宋体" w:eastAsia="宋体"/>
                      <w:sz w:val="21"/>
                      <w:color w:val="000000"/>
                    </w:rPr>
                    <w:t xml:space="preserve">    </w:t>
                  </w:r>
                  <w:r>
                    <w:rPr>
                      <w:rFonts w:ascii="宋体" w:hAnsi="宋体" w:cs="宋体" w:eastAsia="宋体"/>
                      <w:sz w:val="21"/>
                      <w:color w:val="000000"/>
                    </w:rPr>
                    <w:t>H3C CAS云计算管理平台1套（包含但不限于设备管理及用户认证授权）</w:t>
                  </w:r>
                </w:p>
                <w:p>
                  <w:pPr>
                    <w:pStyle w:val="null3"/>
                    <w:ind w:firstLine="422"/>
                    <w:jc w:val="left"/>
                  </w:pPr>
                  <w:r>
                    <w:rPr>
                      <w:rFonts w:ascii="宋体" w:hAnsi="宋体" w:cs="宋体" w:eastAsia="宋体"/>
                      <w:sz w:val="21"/>
                      <w:b/>
                      <w:color w:val="000000"/>
                    </w:rPr>
                    <w:t>5.网利友联</w:t>
                  </w:r>
                </w:p>
                <w:p>
                  <w:pPr>
                    <w:pStyle w:val="null3"/>
                    <w:ind w:firstLine="420"/>
                    <w:jc w:val="left"/>
                  </w:pPr>
                  <w:r>
                    <w:rPr>
                      <w:rFonts w:ascii="宋体" w:hAnsi="宋体" w:cs="宋体" w:eastAsia="宋体"/>
                      <w:sz w:val="21"/>
                      <w:color w:val="000000"/>
                    </w:rPr>
                    <w:t>网利友联</w:t>
                  </w:r>
                  <w:r>
                    <w:rPr>
                      <w:rFonts w:ascii="宋体" w:hAnsi="宋体" w:cs="宋体" w:eastAsia="宋体"/>
                      <w:sz w:val="21"/>
                      <w:color w:val="000000"/>
                    </w:rPr>
                    <w:t>PIGOSS BSM运维管理系统1套，</w:t>
                  </w:r>
                </w:p>
                <w:p>
                  <w:pPr>
                    <w:pStyle w:val="null3"/>
                    <w:ind w:firstLine="422"/>
                    <w:jc w:val="left"/>
                  </w:pPr>
                  <w:r>
                    <w:rPr>
                      <w:rFonts w:ascii="宋体" w:hAnsi="宋体" w:cs="宋体" w:eastAsia="宋体"/>
                      <w:sz w:val="21"/>
                      <w:b/>
                      <w:color w:val="000000"/>
                    </w:rPr>
                    <w:t>6.VMWARE产品</w:t>
                  </w:r>
                </w:p>
                <w:p>
                  <w:pPr>
                    <w:pStyle w:val="null3"/>
                    <w:ind w:firstLine="420"/>
                    <w:jc w:val="left"/>
                  </w:pPr>
                  <w:r>
                    <w:rPr>
                      <w:rFonts w:ascii="宋体" w:hAnsi="宋体" w:cs="宋体" w:eastAsia="宋体"/>
                      <w:sz w:val="21"/>
                      <w:color w:val="000000"/>
                    </w:rPr>
                    <w:t>VMWARE虚拟化平台4套</w:t>
                  </w:r>
                </w:p>
                <w:p>
                  <w:pPr>
                    <w:pStyle w:val="null3"/>
                    <w:ind w:firstLine="422"/>
                    <w:jc w:val="left"/>
                  </w:pPr>
                  <w:r>
                    <w:rPr>
                      <w:rFonts w:ascii="宋体" w:hAnsi="宋体" w:cs="宋体" w:eastAsia="宋体"/>
                      <w:sz w:val="21"/>
                      <w:b/>
                      <w:color w:val="000000"/>
                    </w:rPr>
                    <w:t>7.鼎甲产品</w:t>
                  </w:r>
                </w:p>
                <w:p>
                  <w:pPr>
                    <w:pStyle w:val="null3"/>
                    <w:ind w:firstLine="420"/>
                    <w:jc w:val="left"/>
                  </w:pPr>
                  <w:r>
                    <w:rPr>
                      <w:rFonts w:ascii="宋体" w:hAnsi="宋体" w:cs="宋体" w:eastAsia="宋体"/>
                      <w:sz w:val="21"/>
                      <w:color w:val="000000"/>
                    </w:rPr>
                    <w:t>DK3110鼎甲备份容灾一体机2台</w:t>
                  </w:r>
                </w:p>
                <w:p>
                  <w:pPr>
                    <w:pStyle w:val="null3"/>
                    <w:ind w:firstLine="422"/>
                    <w:jc w:val="left"/>
                  </w:pPr>
                  <w:r>
                    <w:rPr>
                      <w:rFonts w:ascii="宋体" w:hAnsi="宋体" w:cs="宋体" w:eastAsia="宋体"/>
                      <w:sz w:val="21"/>
                      <w:b/>
                      <w:color w:val="000000"/>
                    </w:rPr>
                    <w:t>8.博科产品</w:t>
                  </w:r>
                </w:p>
                <w:p>
                  <w:pPr>
                    <w:pStyle w:val="null3"/>
                    <w:ind w:firstLine="420"/>
                    <w:jc w:val="left"/>
                  </w:pPr>
                  <w:r>
                    <w:rPr>
                      <w:rFonts w:ascii="宋体" w:hAnsi="宋体" w:cs="宋体" w:eastAsia="宋体"/>
                      <w:sz w:val="21"/>
                      <w:color w:val="000000"/>
                    </w:rPr>
                    <w:t>博科</w:t>
                  </w:r>
                  <w:r>
                    <w:rPr>
                      <w:rFonts w:ascii="宋体" w:hAnsi="宋体" w:cs="宋体" w:eastAsia="宋体"/>
                      <w:sz w:val="21"/>
                      <w:color w:val="000000"/>
                    </w:rPr>
                    <w:t>300存储交换机2台</w:t>
                  </w:r>
                </w:p>
                <w:p>
                  <w:pPr>
                    <w:pStyle w:val="null3"/>
                    <w:ind w:firstLine="422"/>
                    <w:jc w:val="left"/>
                  </w:pPr>
                  <w:r>
                    <w:rPr>
                      <w:rFonts w:ascii="宋体" w:hAnsi="宋体" w:cs="宋体" w:eastAsia="宋体"/>
                      <w:sz w:val="21"/>
                      <w:b/>
                      <w:color w:val="000000"/>
                    </w:rPr>
                    <w:t>9.核心业务系统硬件平台。</w:t>
                  </w:r>
                </w:p>
                <w:p>
                  <w:pPr>
                    <w:pStyle w:val="null3"/>
                    <w:ind w:firstLine="420"/>
                    <w:jc w:val="left"/>
                  </w:pPr>
                  <w:r>
                    <w:rPr>
                      <w:rFonts w:ascii="宋体" w:hAnsi="宋体" w:cs="宋体" w:eastAsia="宋体"/>
                      <w:sz w:val="21"/>
                      <w:color w:val="000000"/>
                    </w:rPr>
                    <w:t>包括但不限于现有</w:t>
                  </w:r>
                  <w:r>
                    <w:rPr>
                      <w:rFonts w:ascii="宋体" w:hAnsi="宋体" w:cs="宋体" w:eastAsia="宋体"/>
                      <w:sz w:val="21"/>
                      <w:color w:val="000000"/>
                    </w:rPr>
                    <w:t>HIS、PACS、LIS、RIS、EMR等核心业务系统相关的硬件平台的运维、维护及管理。在医院的要求和管理下完成所有相关工作。</w:t>
                  </w:r>
                </w:p>
                <w:p>
                  <w:pPr>
                    <w:pStyle w:val="null3"/>
                    <w:ind w:firstLine="422"/>
                    <w:jc w:val="left"/>
                  </w:pPr>
                  <w:r>
                    <w:rPr>
                      <w:rFonts w:ascii="宋体" w:hAnsi="宋体" w:cs="宋体" w:eastAsia="宋体"/>
                      <w:sz w:val="21"/>
                      <w:b/>
                      <w:color w:val="000000"/>
                    </w:rPr>
                    <w:t>10.</w:t>
                  </w:r>
                  <w:r>
                    <w:rPr>
                      <w:rFonts w:ascii="宋体" w:hAnsi="宋体" w:cs="宋体" w:eastAsia="宋体"/>
                      <w:sz w:val="21"/>
                      <w:color w:val="000000"/>
                    </w:rPr>
                    <w:t>以上未尽数据存储和应用服务器数量和型号，以附件</w:t>
                  </w:r>
                  <w:r>
                    <w:rPr>
                      <w:rFonts w:ascii="宋体" w:hAnsi="宋体" w:cs="宋体" w:eastAsia="宋体"/>
                      <w:sz w:val="21"/>
                      <w:color w:val="000000"/>
                    </w:rPr>
                    <w:t>1为准。</w:t>
                  </w:r>
                </w:p>
                <w:p>
                  <w:pPr>
                    <w:pStyle w:val="null3"/>
                    <w:ind w:firstLine="422"/>
                    <w:jc w:val="left"/>
                  </w:pPr>
                  <w:r>
                    <w:rPr>
                      <w:rFonts w:ascii="宋体" w:hAnsi="宋体" w:cs="宋体" w:eastAsia="宋体"/>
                      <w:sz w:val="21"/>
                      <w:b/>
                      <w:color w:val="000000"/>
                    </w:rPr>
                    <w:t>二、</w:t>
                  </w:r>
                  <w:r>
                    <w:rPr>
                      <w:rFonts w:ascii="宋体" w:hAnsi="宋体" w:cs="宋体" w:eastAsia="宋体"/>
                      <w:sz w:val="21"/>
                      <w:b/>
                      <w:color w:val="000000"/>
                    </w:rPr>
                    <w:t>新采购</w:t>
                  </w:r>
                  <w:r>
                    <w:rPr>
                      <w:rFonts w:ascii="宋体" w:hAnsi="宋体" w:cs="宋体" w:eastAsia="宋体"/>
                      <w:sz w:val="21"/>
                      <w:b/>
                      <w:color w:val="000000"/>
                    </w:rPr>
                    <w:t>产品</w:t>
                  </w:r>
                </w:p>
                <w:p>
                  <w:pPr>
                    <w:pStyle w:val="null3"/>
                    <w:ind w:firstLine="420"/>
                    <w:jc w:val="left"/>
                  </w:pPr>
                  <w:r>
                    <w:rPr>
                      <w:rFonts w:ascii="宋体" w:hAnsi="宋体" w:cs="宋体" w:eastAsia="宋体"/>
                      <w:sz w:val="21"/>
                    </w:rPr>
                    <w:t>11.</w:t>
                  </w:r>
                  <w:r>
                    <w:rPr>
                      <w:rFonts w:ascii="宋体" w:hAnsi="宋体" w:cs="宋体" w:eastAsia="宋体"/>
                      <w:sz w:val="21"/>
                    </w:rPr>
                    <w:t>针对</w:t>
                  </w:r>
                  <w:r>
                    <w:rPr>
                      <w:rFonts w:ascii="宋体" w:hAnsi="宋体" w:cs="宋体" w:eastAsia="宋体"/>
                      <w:sz w:val="21"/>
                    </w:rPr>
                    <w:t>现有</w:t>
                  </w:r>
                  <w:r>
                    <w:rPr>
                      <w:rFonts w:ascii="宋体" w:hAnsi="宋体" w:cs="宋体" w:eastAsia="宋体"/>
                      <w:sz w:val="21"/>
                    </w:rPr>
                    <w:t>VSAN架构22个超融合VxRail（P570），</w:t>
                  </w:r>
                  <w:r>
                    <w:rPr>
                      <w:rFonts w:ascii="宋体" w:hAnsi="宋体" w:cs="宋体" w:eastAsia="宋体"/>
                      <w:sz w:val="21"/>
                    </w:rPr>
                    <w:t>投标方需</w:t>
                  </w:r>
                  <w:r>
                    <w:rPr>
                      <w:rFonts w:ascii="宋体" w:hAnsi="宋体" w:cs="宋体" w:eastAsia="宋体"/>
                      <w:sz w:val="21"/>
                    </w:rPr>
                    <w:t>组织原厂工程师不停机实施扩容服务，</w:t>
                  </w:r>
                  <w:r>
                    <w:rPr>
                      <w:rFonts w:ascii="宋体" w:hAnsi="宋体" w:cs="宋体" w:eastAsia="宋体"/>
                      <w:sz w:val="21"/>
                    </w:rPr>
                    <w:t>并提供</w:t>
                  </w:r>
                  <w:r>
                    <w:rPr>
                      <w:rFonts w:ascii="宋体" w:hAnsi="宋体" w:cs="宋体" w:eastAsia="宋体"/>
                      <w:sz w:val="21"/>
                    </w:rPr>
                    <w:t>原厂硬件产品</w:t>
                  </w:r>
                  <w:r>
                    <w:rPr>
                      <w:rFonts w:ascii="宋体" w:hAnsi="宋体" w:cs="宋体" w:eastAsia="宋体"/>
                      <w:sz w:val="21"/>
                    </w:rPr>
                    <w:t>800GB固态硬盘22块、2.4TB机械硬盘110块、64GB DDR4内存条44条。每个节点新增800GB固态硬盘1块、2.4TB机械硬盘5块、64GB DDR4内存条2条。</w:t>
                  </w:r>
                  <w:r>
                    <w:rPr>
                      <w:rFonts w:ascii="宋体" w:hAnsi="宋体" w:cs="宋体" w:eastAsia="宋体"/>
                      <w:sz w:val="21"/>
                    </w:rPr>
                    <w:t>产品费用包含在项目总费用内。</w:t>
                  </w:r>
                </w:p>
                <w:p>
                  <w:pPr>
                    <w:pStyle w:val="null3"/>
                    <w:ind w:firstLine="420"/>
                    <w:jc w:val="left"/>
                  </w:pPr>
                  <w:r>
                    <w:rPr>
                      <w:rFonts w:ascii="宋体" w:hAnsi="宋体" w:cs="宋体" w:eastAsia="宋体"/>
                      <w:sz w:val="21"/>
                    </w:rPr>
                    <w:t>12.</w:t>
                  </w:r>
                  <w:r>
                    <w:rPr>
                      <w:rFonts w:ascii="宋体" w:hAnsi="宋体" w:cs="宋体" w:eastAsia="宋体"/>
                      <w:sz w:val="21"/>
                    </w:rPr>
                    <w:t>新购产品</w:t>
                  </w:r>
                  <w:r>
                    <w:rPr>
                      <w:rFonts w:ascii="宋体" w:hAnsi="宋体" w:cs="宋体" w:eastAsia="宋体"/>
                      <w:sz w:val="21"/>
                    </w:rPr>
                    <w:t>需提供三年质保服务</w:t>
                  </w:r>
                  <w:r>
                    <w:rPr>
                      <w:rFonts w:ascii="宋体" w:hAnsi="宋体" w:cs="宋体" w:eastAsia="宋体"/>
                      <w:sz w:val="21"/>
                    </w:rPr>
                    <w:t>。</w:t>
                  </w:r>
                  <w:r>
                    <w:rPr>
                      <w:rFonts w:ascii="宋体" w:hAnsi="宋体" w:cs="宋体" w:eastAsia="宋体"/>
                      <w:sz w:val="21"/>
                    </w:rPr>
                    <w:t>此外，</w:t>
                  </w:r>
                  <w:r>
                    <w:rPr>
                      <w:rFonts w:ascii="宋体" w:hAnsi="宋体" w:cs="宋体" w:eastAsia="宋体"/>
                      <w:sz w:val="21"/>
                    </w:rPr>
                    <w:t>其他各</w:t>
                  </w:r>
                  <w:r>
                    <w:rPr>
                      <w:rFonts w:ascii="宋体" w:hAnsi="宋体" w:cs="宋体" w:eastAsia="宋体"/>
                      <w:sz w:val="21"/>
                    </w:rPr>
                    <w:t>维保</w:t>
                  </w:r>
                  <w:r>
                    <w:rPr>
                      <w:rFonts w:ascii="宋体" w:hAnsi="宋体" w:cs="宋体" w:eastAsia="宋体"/>
                      <w:sz w:val="21"/>
                    </w:rPr>
                    <w:t>硬件设备配件如有损坏，</w:t>
                  </w:r>
                  <w:r>
                    <w:rPr>
                      <w:rFonts w:ascii="宋体" w:hAnsi="宋体" w:cs="宋体" w:eastAsia="宋体"/>
                      <w:sz w:val="21"/>
                    </w:rPr>
                    <w:t>投标方</w:t>
                  </w:r>
                  <w:r>
                    <w:rPr>
                      <w:rFonts w:ascii="宋体" w:hAnsi="宋体" w:cs="宋体" w:eastAsia="宋体"/>
                      <w:sz w:val="21"/>
                    </w:rPr>
                    <w:t>须免费更换</w:t>
                  </w:r>
                  <w:r>
                    <w:rPr>
                      <w:rFonts w:ascii="宋体" w:hAnsi="宋体" w:cs="宋体" w:eastAsia="宋体"/>
                      <w:sz w:val="21"/>
                    </w:rPr>
                    <w:t>原厂</w:t>
                  </w:r>
                  <w:r>
                    <w:rPr>
                      <w:rFonts w:ascii="宋体" w:hAnsi="宋体" w:cs="宋体" w:eastAsia="宋体"/>
                      <w:sz w:val="21"/>
                    </w:rPr>
                    <w:t>配件。</w:t>
                  </w:r>
                </w:p>
                <w:p>
                  <w:pPr>
                    <w:pStyle w:val="null3"/>
                    <w:ind w:firstLine="422"/>
                    <w:jc w:val="left"/>
                  </w:pPr>
                  <w:r>
                    <w:rPr>
                      <w:rFonts w:ascii="宋体" w:hAnsi="宋体" w:cs="宋体" w:eastAsia="宋体"/>
                      <w:sz w:val="21"/>
                      <w:b/>
                      <w:color w:val="000000"/>
                    </w:rPr>
                    <w:t>三、数据库维保</w:t>
                  </w:r>
                </w:p>
                <w:p>
                  <w:pPr>
                    <w:pStyle w:val="null3"/>
                    <w:ind w:firstLine="420"/>
                    <w:jc w:val="both"/>
                  </w:pPr>
                  <w:r>
                    <w:rPr>
                      <w:rFonts w:ascii="宋体" w:hAnsi="宋体" w:cs="宋体" w:eastAsia="宋体"/>
                      <w:sz w:val="21"/>
                      <w:color w:val="000000"/>
                    </w:rPr>
                    <w:t>13.oracle数据库基本服务。检查数据库备份、性能、安全、报错以及潜在的隐患。发现问题能够立即解决的就立即解决，不能立即解决的提出解决方案或建议。发生系统故障时，包括系统宕机、系统挂起、数据库相关业务不能使用等情况时，工作时间则由现场工程师进行处理；非工作时间则先由工程师立即远程进行处理，如果远程无法完成处理，则以最快的速度到达现场进行处理。做到一般故障的响应时间不超过1小时，严重故障的响应时间不超过30分钟。如果发现有导致问题的BUG需要修复，根据需要进行补丁安装。为用户设计数据库管理方案，使数据库管理工作合理化。协助用户设计高可用、高性能的系统结构，编写重要的自动管理脚本，使存储空间检查、数据备份等重要工作实现自动化的管理。提供不限时间和时段的电话远程故障诊断、技术咨询。在重大项目中涉及数据库的配合时，提供远程协助配合，根据需要可提供现场支持。</w:t>
                  </w:r>
                </w:p>
                <w:p>
                  <w:pPr>
                    <w:pStyle w:val="null3"/>
                    <w:ind w:firstLine="420"/>
                    <w:jc w:val="both"/>
                  </w:pPr>
                  <w:r>
                    <w:rPr>
                      <w:rFonts w:ascii="宋体" w:hAnsi="宋体" w:cs="宋体" w:eastAsia="宋体"/>
                      <w:sz w:val="21"/>
                      <w:color w:val="000000"/>
                    </w:rPr>
                    <w:t>14.oracle数据库高级服务。对系统影响较大的性能问题进行诊断，提出优化建议方案，包括系统配置优化、SQL代码优化、数据资源优化等。以减少系统资源、降低系统运行成本、提升系统的处理效率。每半年进行一次数据库安全补丁安装，以增强数据库安全性。同时对数据库中存在的其他安全问题提出安全加固建议。针对员工实际技能水平和发展规划定制的专业的培训内容，并提供关于数据库架构、安全管理等内容的专业培训。根据用户实际环境，制定有效的备份方案和策略，并协助用户和备份厂商实施。在数据库需要恢复时，为用户和备份厂商提供技术支持。</w:t>
                  </w:r>
                </w:p>
                <w:p>
                  <w:pPr>
                    <w:pStyle w:val="null3"/>
                    <w:ind w:firstLine="420"/>
                    <w:jc w:val="both"/>
                  </w:pPr>
                  <w:r>
                    <w:rPr>
                      <w:rFonts w:ascii="宋体" w:hAnsi="宋体" w:cs="宋体" w:eastAsia="宋体"/>
                      <w:sz w:val="21"/>
                      <w:color w:val="000000"/>
                    </w:rPr>
                    <w:t>15.根据采购方需求提供包含但不限于DB2、SQLserver等数据的技术支持和优化建议意见。</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w:t>
                  </w:r>
                  <w:r>
                    <w:rPr>
                      <w:rFonts w:ascii="宋体" w:hAnsi="宋体" w:cs="宋体" w:eastAsia="宋体"/>
                      <w:sz w:val="21"/>
                      <w:color w:val="000000"/>
                    </w:rPr>
                    <w:t>30</w:t>
                  </w:r>
                  <w:r>
                    <w:rPr>
                      <w:rFonts w:ascii="宋体" w:hAnsi="宋体" w:cs="宋体" w:eastAsia="宋体"/>
                      <w:sz w:val="21"/>
                      <w:color w:val="000000"/>
                    </w:rPr>
                    <w:t>.79</w:t>
                  </w:r>
                </w:p>
              </w:tc>
            </w:tr>
          </w:tbl>
          <w:p/>
        </w:tc>
      </w:tr>
      <w:tr>
        <w:tc>
          <w:tcPr>
            <w:tcW w:type="dxa" w:w="2769"/>
          </w:tcPr>
          <w:p/>
        </w:tc>
        <w:tc>
          <w:tcPr>
            <w:tcW w:type="dxa" w:w="2769"/>
          </w:tcPr>
          <w:p>
            <w:pPr>
              <w:pStyle w:val="null3"/>
            </w:pPr>
            <w:r>
              <w:rPr/>
              <w:t>2</w:t>
            </w:r>
          </w:p>
        </w:tc>
        <w:tc>
          <w:tcPr>
            <w:tcW w:type="dxa" w:w="2769"/>
          </w:tcPr>
          <w:p>
            <w:pPr>
              <w:pStyle w:val="null3"/>
              <w:jc w:val="center"/>
            </w:pPr>
            <w:r>
              <w:rPr>
                <w:rFonts w:ascii="方正小标宋简体" w:hAnsi="方正小标宋简体" w:cs="方正小标宋简体" w:eastAsia="方正小标宋简体"/>
                <w:sz w:val="32"/>
              </w:rPr>
              <w:t>项目招标需求汇总表</w:t>
            </w:r>
            <w:r>
              <w:rPr>
                <w:rFonts w:ascii="方正小标宋简体" w:hAnsi="方正小标宋简体" w:cs="方正小标宋简体" w:eastAsia="方正小标宋简体"/>
                <w:sz w:val="32"/>
              </w:rPr>
              <w:t>（</w:t>
            </w:r>
            <w:r>
              <w:rPr>
                <w:rFonts w:ascii="方正小标宋简体" w:hAnsi="方正小标宋简体" w:cs="方正小标宋简体" w:eastAsia="方正小标宋简体"/>
                <w:sz w:val="32"/>
              </w:rPr>
              <w:t>第一包</w:t>
            </w:r>
            <w:r>
              <w:rPr>
                <w:rFonts w:ascii="方正小标宋简体" w:hAnsi="方正小标宋简体" w:cs="方正小标宋简体" w:eastAsia="方正小标宋简体"/>
                <w:sz w:val="32"/>
              </w:rPr>
              <w:t>）</w:t>
            </w:r>
          </w:p>
          <w:p>
            <w:pPr>
              <w:pStyle w:val="null3"/>
              <w:ind w:firstLine="420"/>
              <w:jc w:val="both"/>
            </w:pPr>
            <w:r>
              <w:rPr>
                <w:rFonts w:ascii="黑体" w:hAnsi="黑体" w:cs="黑体" w:eastAsia="黑体"/>
                <w:sz w:val="21"/>
              </w:rPr>
              <w:t>一、数据存储及服务器软硬件维护</w:t>
            </w:r>
          </w:p>
          <w:tbl>
            <w:tblPr>
              <w:tblBorders>
                <w:top w:val="none" w:color="000000" w:sz="4"/>
                <w:left w:val="none" w:color="000000" w:sz="4"/>
                <w:bottom w:val="none" w:color="000000" w:sz="4"/>
                <w:right w:val="none" w:color="000000" w:sz="4"/>
                <w:insideH w:val="none"/>
                <w:insideV w:val="none"/>
              </w:tblBorders>
            </w:tblPr>
            <w:tblGrid>
              <w:gridCol w:w="126"/>
              <w:gridCol w:w="447"/>
              <w:gridCol w:w="1948"/>
            </w:tblGrid>
            <w:tr>
              <w:tc>
                <w:tcPr>
                  <w:tcW w:type="dxa" w:w="126"/>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47"/>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指标项</w:t>
                  </w:r>
                </w:p>
              </w:tc>
              <w:tc>
                <w:tcPr>
                  <w:tcW w:type="dxa" w:w="1948"/>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指标要求</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设备维保</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为所有设备提供</w:t>
                  </w:r>
                  <w:r>
                    <w:rPr>
                      <w:rFonts w:ascii="仿宋_gb2312" w:hAnsi="仿宋_gb2312" w:cs="仿宋_gb2312" w:eastAsia="仿宋_gb2312"/>
                      <w:sz w:val="21"/>
                    </w:rPr>
                    <w:t>7×24小时硬件保修及系统维护服务。</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包括该维保项目所涉及设备及系统的维护，确保系统稳定运行。具体措施包括</w:t>
                  </w:r>
                  <w:r>
                    <w:rPr>
                      <w:rFonts w:ascii="仿宋_gb2312" w:hAnsi="仿宋_gb2312" w:cs="仿宋_gb2312" w:eastAsia="仿宋_gb2312"/>
                      <w:sz w:val="21"/>
                    </w:rPr>
                    <w:t>但不限于</w:t>
                  </w:r>
                  <w:r>
                    <w:rPr>
                      <w:rFonts w:ascii="仿宋_gb2312" w:hAnsi="仿宋_gb2312" w:cs="仿宋_gb2312" w:eastAsia="仿宋_gb2312"/>
                      <w:sz w:val="21"/>
                    </w:rPr>
                    <w:t>实时设</w:t>
                  </w:r>
                  <w:r>
                    <w:rPr>
                      <w:rFonts w:ascii="仿宋_gb2312" w:hAnsi="仿宋_gb2312" w:cs="仿宋_gb2312" w:eastAsia="仿宋_gb2312"/>
                      <w:sz w:val="21"/>
                    </w:rPr>
                    <w:t>计更新等内容维护、报表维护、数据管理与维护</w:t>
                  </w:r>
                  <w:r>
                    <w:rPr>
                      <w:rFonts w:ascii="仿宋_gb2312" w:hAnsi="仿宋_gb2312" w:cs="仿宋_gb2312" w:eastAsia="仿宋_gb2312"/>
                      <w:sz w:val="21"/>
                    </w:rPr>
                    <w:t>等</w:t>
                  </w:r>
                  <w:r>
                    <w:rPr>
                      <w:rFonts w:ascii="仿宋_gb2312" w:hAnsi="仿宋_gb2312" w:cs="仿宋_gb2312" w:eastAsia="仿宋_gb2312"/>
                      <w:sz w:val="21"/>
                    </w:rPr>
                    <w:t>。</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故障分析和问题报告</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每次重大故障后，提供系统故障记录分析（包括软件和硬件）和问题报告。</w:t>
                  </w:r>
                  <w:r>
                    <w:rPr>
                      <w:rFonts w:ascii="仿宋_gb2312" w:hAnsi="仿宋_gb2312" w:cs="仿宋_gb2312" w:eastAsia="仿宋_gb2312"/>
                      <w:sz w:val="21"/>
                    </w:rPr>
                    <w:t>报告需有双方签字确认</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培训</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为医院相关工作人员提供</w:t>
                  </w:r>
                  <w:r>
                    <w:rPr>
                      <w:rFonts w:ascii="仿宋_gb2312" w:hAnsi="仿宋_gb2312" w:cs="仿宋_gb2312" w:eastAsia="仿宋_gb2312"/>
                      <w:sz w:val="21"/>
                    </w:rPr>
                    <w:t>≥20小时/年服务器及系统运行维护培训。</w:t>
                  </w:r>
                  <w:r>
                    <w:rPr>
                      <w:rFonts w:ascii="仿宋_gb2312" w:hAnsi="仿宋_gb2312" w:cs="仿宋_gb2312" w:eastAsia="仿宋_gb2312"/>
                      <w:sz w:val="21"/>
                    </w:rPr>
                    <w:t>Oracle</w:t>
                  </w:r>
                  <w:r>
                    <w:rPr>
                      <w:rFonts w:ascii="仿宋_gb2312" w:hAnsi="仿宋_gb2312" w:cs="仿宋_gb2312" w:eastAsia="仿宋_gb2312"/>
                      <w:sz w:val="21"/>
                    </w:rPr>
                    <w:t>和</w:t>
                  </w:r>
                  <w:r>
                    <w:rPr>
                      <w:rFonts w:ascii="仿宋_gb2312" w:hAnsi="仿宋_gb2312" w:cs="仿宋_gb2312" w:eastAsia="仿宋_gb2312"/>
                      <w:sz w:val="21"/>
                    </w:rPr>
                    <w:t>DB2数据库管理应用培训至少1次，内容包括但不限于数据库管理、SQL语言学习、数据库性能优化、安全管理、数据仓库、分布式数据库、Oracle高级编程等内容。</w:t>
                  </w:r>
                  <w:r>
                    <w:rPr>
                      <w:rFonts w:ascii="仿宋_gb2312" w:hAnsi="仿宋_gb2312" w:cs="仿宋_gb2312" w:eastAsia="仿宋_gb2312"/>
                      <w:sz w:val="21"/>
                    </w:rPr>
                    <w:t>此外，投标方需承担采购方人员参加如下课程的培训学习经费，包括</w:t>
                  </w:r>
                  <w:r>
                    <w:rPr>
                      <w:rFonts w:ascii="仿宋_gb2312" w:hAnsi="仿宋_gb2312" w:cs="仿宋_gb2312" w:eastAsia="仿宋_gb2312"/>
                      <w:sz w:val="21"/>
                    </w:rPr>
                    <w:t>OCP课程专业培训及认证1名</w:t>
                  </w:r>
                  <w:r>
                    <w:rPr>
                      <w:rFonts w:ascii="仿宋_gb2312" w:hAnsi="仿宋_gb2312" w:cs="仿宋_gb2312" w:eastAsia="仿宋_gb2312"/>
                      <w:sz w:val="21"/>
                    </w:rPr>
                    <w:t>、</w:t>
                  </w:r>
                  <w:r>
                    <w:rPr>
                      <w:rFonts w:ascii="仿宋_gb2312" w:hAnsi="仿宋_gb2312" w:cs="仿宋_gb2312" w:eastAsia="仿宋_gb2312"/>
                      <w:sz w:val="21"/>
                    </w:rPr>
                    <w:t>RHCE培训及认证考试1名</w:t>
                  </w:r>
                  <w:r>
                    <w:rPr>
                      <w:rFonts w:ascii="仿宋_gb2312" w:hAnsi="仿宋_gb2312" w:cs="仿宋_gb2312" w:eastAsia="仿宋_gb2312"/>
                      <w:sz w:val="21"/>
                    </w:rPr>
                    <w:t>、</w:t>
                  </w:r>
                  <w:r>
                    <w:rPr>
                      <w:rFonts w:ascii="仿宋_gb2312" w:hAnsi="仿宋_gb2312" w:cs="仿宋_gb2312" w:eastAsia="仿宋_gb2312"/>
                      <w:sz w:val="21"/>
                    </w:rPr>
                    <w:t>KYCA/KYCP（运维方向）培训及认证考试1名</w:t>
                  </w:r>
                  <w:r>
                    <w:rPr>
                      <w:rFonts w:ascii="仿宋_gb2312" w:hAnsi="仿宋_gb2312" w:cs="仿宋_gb2312" w:eastAsia="仿宋_gb2312"/>
                      <w:sz w:val="21"/>
                    </w:rPr>
                    <w:t>，</w:t>
                  </w:r>
                  <w:r>
                    <w:rPr>
                      <w:rFonts w:ascii="仿宋_gb2312" w:hAnsi="仿宋_gb2312" w:cs="仿宋_gb2312" w:eastAsia="仿宋_gb2312"/>
                      <w:sz w:val="21"/>
                    </w:rPr>
                    <w:t>并协助甲方人员参加认证考试或取得对应证书的相关事宜。</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硬件巡检</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提供每周</w:t>
                  </w:r>
                  <w:r>
                    <w:rPr>
                      <w:rFonts w:ascii="仿宋_gb2312" w:hAnsi="仿宋_gb2312" w:cs="仿宋_gb2312" w:eastAsia="仿宋_gb2312"/>
                      <w:sz w:val="21"/>
                    </w:rPr>
                    <w:t>≥1次的硬件设备运行情况检查</w:t>
                  </w:r>
                  <w:r>
                    <w:rPr>
                      <w:rFonts w:ascii="仿宋_gb2312" w:hAnsi="仿宋_gb2312" w:cs="仿宋_gb2312" w:eastAsia="仿宋_gb2312"/>
                      <w:sz w:val="21"/>
                    </w:rPr>
                    <w:t>，</w:t>
                  </w:r>
                  <w:r>
                    <w:rPr>
                      <w:rFonts w:ascii="仿宋_gb2312" w:hAnsi="仿宋_gb2312" w:cs="仿宋_gb2312" w:eastAsia="仿宋_gb2312"/>
                      <w:sz w:val="21"/>
                    </w:rPr>
                    <w:t>形成巡检记录。巡检记录包括但不限于有双方签字的纸质版记录、巡检照片等，具体形式与内容需满足甲方内部管理制度要求。</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系统巡检</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提供每周</w:t>
                  </w:r>
                  <w:r>
                    <w:rPr>
                      <w:rFonts w:ascii="仿宋_gb2312" w:hAnsi="仿宋_gb2312" w:cs="仿宋_gb2312" w:eastAsia="仿宋_gb2312"/>
                      <w:sz w:val="21"/>
                    </w:rPr>
                    <w:t>≥1次的操作系统健康检查</w:t>
                  </w:r>
                  <w:r>
                    <w:rPr>
                      <w:rFonts w:ascii="仿宋_gb2312" w:hAnsi="仿宋_gb2312" w:cs="仿宋_gb2312" w:eastAsia="仿宋_gb2312"/>
                      <w:sz w:val="21"/>
                    </w:rPr>
                    <w:t>，</w:t>
                  </w:r>
                  <w:r>
                    <w:rPr>
                      <w:rFonts w:ascii="仿宋_gb2312" w:hAnsi="仿宋_gb2312" w:cs="仿宋_gb2312" w:eastAsia="仿宋_gb2312"/>
                      <w:sz w:val="21"/>
                    </w:rPr>
                    <w:t>形成巡检记录。巡检记录包括但不限于有双方签字的纸质版记录、巡检照片等，具体形式与内容需满足甲方内部管理制度要求。</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系统补丁</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提供系统补丁的合法升级服务，建立系统补丁的管理数据库，制订升级方案，</w:t>
                  </w:r>
                  <w:r>
                    <w:rPr>
                      <w:rFonts w:ascii="仿宋_gb2312" w:hAnsi="仿宋_gb2312" w:cs="仿宋_gb2312" w:eastAsia="仿宋_gb2312"/>
                      <w:sz w:val="21"/>
                    </w:rPr>
                    <w:t>升级方案须有双方签字确认。</w:t>
                  </w:r>
                  <w:r>
                    <w:rPr>
                      <w:rFonts w:ascii="仿宋_gb2312" w:hAnsi="仿宋_gb2312" w:cs="仿宋_gb2312" w:eastAsia="仿宋_gb2312"/>
                      <w:sz w:val="21"/>
                    </w:rPr>
                    <w:t>协助采购人实施升级工作。当发现有导致问题的</w:t>
                  </w:r>
                  <w:r>
                    <w:rPr>
                      <w:rFonts w:ascii="仿宋_gb2312" w:hAnsi="仿宋_gb2312" w:cs="仿宋_gb2312" w:eastAsia="仿宋_gb2312"/>
                      <w:sz w:val="21"/>
                    </w:rPr>
                    <w:t>BUG需要修复，根据需要进行补丁安装</w:t>
                  </w:r>
                  <w:r>
                    <w:rPr>
                      <w:rFonts w:ascii="仿宋_gb2312" w:hAnsi="仿宋_gb2312" w:cs="仿宋_gb2312" w:eastAsia="仿宋_gb2312"/>
                      <w:sz w:val="21"/>
                    </w:rPr>
                    <w:t>，</w:t>
                  </w:r>
                  <w:r>
                    <w:rPr>
                      <w:rFonts w:ascii="仿宋_gb2312" w:hAnsi="仿宋_gb2312" w:cs="仿宋_gb2312" w:eastAsia="仿宋_gb2312"/>
                      <w:sz w:val="21"/>
                    </w:rPr>
                    <w:t>安装完成后形成过程资料，资料包括但不限于有双方签字的纸质版记录、相关照片等，具体形式与内容需满足甲方内部管理制度要求。</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rFonts w:ascii="仿宋_gb2312" w:hAnsi="仿宋_gb2312" w:cs="仿宋_gb2312" w:eastAsia="仿宋_gb2312"/>
                      <w:sz w:val="21"/>
                    </w:rPr>
                    <w:t>7</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微码升级</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提供硬件微码的合法升级服务，建立硬件微码档案，制订升级方案，</w:t>
                  </w:r>
                  <w:r>
                    <w:rPr>
                      <w:rFonts w:ascii="仿宋_gb2312" w:hAnsi="仿宋_gb2312" w:cs="仿宋_gb2312" w:eastAsia="仿宋_gb2312"/>
                      <w:sz w:val="21"/>
                    </w:rPr>
                    <w:t>升级方案须有双方签字确认。</w:t>
                  </w:r>
                  <w:r>
                    <w:rPr>
                      <w:rFonts w:ascii="仿宋_gb2312" w:hAnsi="仿宋_gb2312" w:cs="仿宋_gb2312" w:eastAsia="仿宋_gb2312"/>
                      <w:sz w:val="21"/>
                    </w:rPr>
                    <w:t>协助采购人实施升级工作</w:t>
                  </w:r>
                  <w:r>
                    <w:rPr>
                      <w:rFonts w:ascii="仿宋_gb2312" w:hAnsi="仿宋_gb2312" w:cs="仿宋_gb2312" w:eastAsia="仿宋_gb2312"/>
                      <w:sz w:val="21"/>
                    </w:rPr>
                    <w:t>，</w:t>
                  </w:r>
                  <w:r>
                    <w:rPr>
                      <w:rFonts w:ascii="仿宋_gb2312" w:hAnsi="仿宋_gb2312" w:cs="仿宋_gb2312" w:eastAsia="仿宋_gb2312"/>
                      <w:sz w:val="21"/>
                    </w:rPr>
                    <w:t>实施完成后形成过程资料，资料包括但不限于有双方签字的纸质版记录、相关照片等，具体形式与内容需满足甲方内部管理制度要求。</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rFonts w:ascii="仿宋_gb2312" w:hAnsi="仿宋_gb2312" w:cs="仿宋_gb2312" w:eastAsia="仿宋_gb2312"/>
                      <w:sz w:val="21"/>
                    </w:rPr>
                    <w:t>8</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备份及恢复</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协助采购人完善系统备份及恢复方案。</w:t>
                  </w:r>
                  <w:r>
                    <w:rPr>
                      <w:rFonts w:ascii="仿宋_gb2312" w:hAnsi="仿宋_gb2312" w:cs="仿宋_gb2312" w:eastAsia="仿宋_gb2312"/>
                      <w:sz w:val="21"/>
                    </w:rPr>
                    <w:t>形成过程资料，资料包括但不限于有双方签字的纸质版记录、相关照片等，具体形式与内容需满足甲方内部管理制度要求。</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运行分析</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每月提供相关设备运行分析、性能评估和配置调整服务，提高系统的可靠性、可用性和整体性能。</w:t>
                  </w:r>
                  <w:r>
                    <w:rPr>
                      <w:rFonts w:ascii="仿宋_gb2312" w:hAnsi="仿宋_gb2312" w:cs="仿宋_gb2312" w:eastAsia="仿宋_gb2312"/>
                      <w:sz w:val="21"/>
                    </w:rPr>
                    <w:t>运行分析需形成分析报告并由双方签字确认，具体形式与内容需满足甲方内部管理制度要求。</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容量分析</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每月提供相关设备容量分析和趋势预测服务，以提高系统容量评估的水平。</w:t>
                  </w:r>
                  <w:r>
                    <w:rPr>
                      <w:rFonts w:ascii="仿宋_gb2312" w:hAnsi="仿宋_gb2312" w:cs="仿宋_gb2312" w:eastAsia="仿宋_gb2312"/>
                      <w:sz w:val="21"/>
                    </w:rPr>
                    <w:t>容量分析需形成分析报告并由双方签字确认，具体形式与内容需满足甲方内部管理制度要求。</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1</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安全分析</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每月提交详细的安全性分析报告，提交预防性维护策略报告。</w:t>
                  </w:r>
                  <w:r>
                    <w:rPr>
                      <w:rFonts w:ascii="仿宋_gb2312" w:hAnsi="仿宋_gb2312" w:cs="仿宋_gb2312" w:eastAsia="仿宋_gb2312"/>
                      <w:sz w:val="21"/>
                    </w:rPr>
                    <w:t>报告需要有双方签字确认。</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2</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安全服务</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每半年为医院提供一次渗透测试服务，并输出服务报告</w:t>
                  </w:r>
                  <w:r>
                    <w:rPr>
                      <w:rFonts w:ascii="仿宋_gb2312" w:hAnsi="仿宋_gb2312" w:cs="仿宋_gb2312" w:eastAsia="仿宋_gb2312"/>
                      <w:sz w:val="21"/>
                    </w:rPr>
                    <w:t>，</w:t>
                  </w:r>
                  <w:r>
                    <w:rPr>
                      <w:rFonts w:ascii="仿宋_gb2312" w:hAnsi="仿宋_gb2312" w:cs="仿宋_gb2312" w:eastAsia="仿宋_gb2312"/>
                      <w:sz w:val="21"/>
                    </w:rPr>
                    <w:t>服务报告需要双方签字确认</w:t>
                  </w:r>
                  <w:r>
                    <w:rPr>
                      <w:rFonts w:ascii="仿宋_gb2312" w:hAnsi="仿宋_gb2312" w:cs="仿宋_gb2312" w:eastAsia="仿宋_gb2312"/>
                      <w:sz w:val="21"/>
                    </w:rPr>
                    <w:t>；维保期内免费提供安全护网服务</w:t>
                  </w:r>
                  <w:r>
                    <w:rPr>
                      <w:rFonts w:ascii="仿宋_gb2312" w:hAnsi="仿宋_gb2312" w:cs="仿宋_gb2312" w:eastAsia="仿宋_gb2312"/>
                      <w:sz w:val="21"/>
                    </w:rPr>
                    <w:t>并形成过程资料</w:t>
                  </w:r>
                  <w:r>
                    <w:rPr>
                      <w:rFonts w:ascii="仿宋_gb2312" w:hAnsi="仿宋_gb2312" w:cs="仿宋_gb2312" w:eastAsia="仿宋_gb2312"/>
                      <w:sz w:val="21"/>
                    </w:rPr>
                    <w:t>；投标时，提供渗透测试服务方案。</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3</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重大变更和重点时段保障支持</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在重大系统变更和重点时段保障期间，服务提供方应提前</w:t>
                  </w:r>
                  <w:r>
                    <w:rPr>
                      <w:rFonts w:ascii="仿宋_gb2312" w:hAnsi="仿宋_gb2312" w:cs="仿宋_gb2312" w:eastAsia="仿宋_gb2312"/>
                      <w:sz w:val="21"/>
                    </w:rPr>
                    <w:t>10个日历日开展系统健康检查，协助采购</w:t>
                  </w:r>
                  <w:r>
                    <w:rPr>
                      <w:rFonts w:ascii="仿宋_gb2312" w:hAnsi="仿宋_gb2312" w:cs="仿宋_gb2312" w:eastAsia="仿宋_gb2312"/>
                      <w:sz w:val="21"/>
                    </w:rPr>
                    <w:t>人实施参数调整和性能优化。</w:t>
                  </w:r>
                  <w:r>
                    <w:rPr>
                      <w:rFonts w:ascii="仿宋_gb2312" w:hAnsi="仿宋_gb2312" w:cs="仿宋_gb2312" w:eastAsia="仿宋_gb2312"/>
                      <w:sz w:val="21"/>
                    </w:rPr>
                    <w:t>并根据采购人</w:t>
                  </w:r>
                  <w:r>
                    <w:rPr>
                      <w:rFonts w:ascii="仿宋_gb2312" w:hAnsi="仿宋_gb2312" w:cs="仿宋_gb2312" w:eastAsia="仿宋_gb2312"/>
                      <w:sz w:val="21"/>
                    </w:rPr>
                    <w:t>需要提供现场支持。（数据库和服务器）</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4</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计算虚拟化软件系统升级</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投标人须在合同签订后一个月内根据医院的要求免费提供设备原厂商在线升级到最新版本服务，系统升级不得对业务产生中断。</w:t>
                  </w:r>
                  <w:r>
                    <w:rPr>
                      <w:rFonts w:ascii="仿宋_gb2312" w:hAnsi="仿宋_gb2312" w:cs="仿宋_gb2312" w:eastAsia="仿宋_gb2312"/>
                      <w:sz w:val="21"/>
                    </w:rPr>
                    <w:t>升级完成后形成过程资料，资料包括但不限于有双方签字的纸质版记录、相关照片等，具体形式与内容需满足甲方内部管理制度要求。</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5</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新增扩容及常备维修设备</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1.现有VSAN架构</w:t>
                  </w:r>
                  <w:r>
                    <w:rPr>
                      <w:rFonts w:ascii="仿宋_gb2312" w:hAnsi="仿宋_gb2312" w:cs="仿宋_gb2312" w:eastAsia="仿宋_gb2312"/>
                      <w:sz w:val="21"/>
                    </w:rPr>
                    <w:t>22</w:t>
                  </w:r>
                  <w:r>
                    <w:rPr>
                      <w:rFonts w:ascii="仿宋_gb2312" w:hAnsi="仿宋_gb2312" w:cs="仿宋_gb2312" w:eastAsia="仿宋_gb2312"/>
                      <w:sz w:val="21"/>
                    </w:rPr>
                    <w:t>个超融合</w:t>
                  </w:r>
                  <w:r>
                    <w:rPr>
                      <w:rFonts w:ascii="仿宋_gb2312" w:hAnsi="仿宋_gb2312" w:cs="仿宋_gb2312" w:eastAsia="仿宋_gb2312"/>
                      <w:sz w:val="21"/>
                    </w:rPr>
                    <w:t>VxRail（P570），组织原厂工程师不停机实施扩容服务，</w:t>
                  </w:r>
                  <w:r>
                    <w:rPr>
                      <w:rFonts w:ascii="仿宋_gb2312" w:hAnsi="仿宋_gb2312" w:cs="仿宋_gb2312" w:eastAsia="仿宋_gb2312"/>
                      <w:sz w:val="21"/>
                    </w:rPr>
                    <w:t>提供</w:t>
                  </w:r>
                  <w:r>
                    <w:rPr>
                      <w:rFonts w:ascii="仿宋_gb2312" w:hAnsi="仿宋_gb2312" w:cs="仿宋_gb2312" w:eastAsia="仿宋_gb2312"/>
                      <w:sz w:val="21"/>
                    </w:rPr>
                    <w:t>原厂硬件产品</w:t>
                  </w:r>
                  <w:r>
                    <w:rPr>
                      <w:rFonts w:ascii="仿宋_gb2312" w:hAnsi="仿宋_gb2312" w:cs="仿宋_gb2312" w:eastAsia="仿宋_gb2312"/>
                      <w:sz w:val="21"/>
                    </w:rPr>
                    <w:t>800GB固态硬盘</w:t>
                  </w:r>
                  <w:r>
                    <w:rPr>
                      <w:rFonts w:ascii="仿宋_gb2312" w:hAnsi="仿宋_gb2312" w:cs="仿宋_gb2312" w:eastAsia="仿宋_gb2312"/>
                      <w:sz w:val="21"/>
                    </w:rPr>
                    <w:t>22</w:t>
                  </w:r>
                  <w:r>
                    <w:rPr>
                      <w:rFonts w:ascii="仿宋_gb2312" w:hAnsi="仿宋_gb2312" w:cs="仿宋_gb2312" w:eastAsia="仿宋_gb2312"/>
                      <w:sz w:val="21"/>
                    </w:rPr>
                    <w:t>块、</w:t>
                  </w:r>
                  <w:r>
                    <w:rPr>
                      <w:rFonts w:ascii="仿宋_gb2312" w:hAnsi="仿宋_gb2312" w:cs="仿宋_gb2312" w:eastAsia="仿宋_gb2312"/>
                      <w:sz w:val="21"/>
                    </w:rPr>
                    <w:t>2.4TB机械硬盘</w:t>
                  </w:r>
                  <w:r>
                    <w:rPr>
                      <w:rFonts w:ascii="仿宋_gb2312" w:hAnsi="仿宋_gb2312" w:cs="仿宋_gb2312" w:eastAsia="仿宋_gb2312"/>
                      <w:sz w:val="21"/>
                    </w:rPr>
                    <w:t>110</w:t>
                  </w:r>
                  <w:r>
                    <w:rPr>
                      <w:rFonts w:ascii="仿宋_gb2312" w:hAnsi="仿宋_gb2312" w:cs="仿宋_gb2312" w:eastAsia="仿宋_gb2312"/>
                      <w:sz w:val="21"/>
                    </w:rPr>
                    <w:t>块、</w:t>
                  </w:r>
                  <w:r>
                    <w:rPr>
                      <w:rFonts w:ascii="仿宋_gb2312" w:hAnsi="仿宋_gb2312" w:cs="仿宋_gb2312" w:eastAsia="仿宋_gb2312"/>
                      <w:sz w:val="21"/>
                    </w:rPr>
                    <w:t>64GB DDR4内存条</w:t>
                  </w:r>
                  <w:r>
                    <w:rPr>
                      <w:rFonts w:ascii="仿宋_gb2312" w:hAnsi="仿宋_gb2312" w:cs="仿宋_gb2312" w:eastAsia="仿宋_gb2312"/>
                      <w:sz w:val="21"/>
                    </w:rPr>
                    <w:t>44</w:t>
                  </w:r>
                  <w:r>
                    <w:rPr>
                      <w:rFonts w:ascii="仿宋_gb2312" w:hAnsi="仿宋_gb2312" w:cs="仿宋_gb2312" w:eastAsia="仿宋_gb2312"/>
                      <w:sz w:val="21"/>
                    </w:rPr>
                    <w:t>条</w:t>
                  </w:r>
                  <w:r>
                    <w:rPr>
                      <w:rFonts w:ascii="仿宋_gb2312" w:hAnsi="仿宋_gb2312" w:cs="仿宋_gb2312" w:eastAsia="仿宋_gb2312"/>
                      <w:sz w:val="21"/>
                    </w:rPr>
                    <w:t>，</w:t>
                  </w:r>
                  <w:r>
                    <w:rPr>
                      <w:rFonts w:ascii="仿宋_gb2312" w:hAnsi="仿宋_gb2312" w:cs="仿宋_gb2312" w:eastAsia="仿宋_gb2312"/>
                      <w:sz w:val="21"/>
                    </w:rPr>
                    <w:t>产品费用包含在项目总费用内</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2、长期配备设备及易损配件</w:t>
                  </w:r>
                  <w:r>
                    <w:rPr>
                      <w:rFonts w:ascii="仿宋_gb2312" w:hAnsi="仿宋_gb2312" w:cs="仿宋_gb2312" w:eastAsia="仿宋_gb2312"/>
                      <w:sz w:val="21"/>
                    </w:rPr>
                    <w:t>，</w:t>
                  </w:r>
                  <w:r>
                    <w:rPr>
                      <w:rFonts w:ascii="仿宋_gb2312" w:hAnsi="仿宋_gb2312" w:cs="仿宋_gb2312" w:eastAsia="仿宋_gb2312"/>
                      <w:sz w:val="21"/>
                    </w:rPr>
                    <w:t>保证重要信息系统的设备在发生故障时能尽快修复，服务提供方应将部分备机、备件存放在采购人机房。（以下</w:t>
                  </w:r>
                  <w:r>
                    <w:rPr>
                      <w:rFonts w:ascii="仿宋_gb2312" w:hAnsi="仿宋_gb2312" w:cs="仿宋_gb2312" w:eastAsia="仿宋_gb2312"/>
                      <w:sz w:val="21"/>
                    </w:rPr>
                    <w:t>表格中列出的</w:t>
                  </w:r>
                  <w:r>
                    <w:rPr>
                      <w:rFonts w:ascii="仿宋_gb2312" w:hAnsi="仿宋_gb2312" w:cs="仿宋_gb2312" w:eastAsia="仿宋_gb2312"/>
                      <w:sz w:val="21"/>
                    </w:rPr>
                    <w:t>服务器</w:t>
                  </w:r>
                  <w:r>
                    <w:rPr>
                      <w:rFonts w:ascii="仿宋_gb2312" w:hAnsi="仿宋_gb2312" w:cs="仿宋_gb2312" w:eastAsia="仿宋_gb2312"/>
                      <w:sz w:val="21"/>
                    </w:rPr>
                    <w:t>参数</w:t>
                  </w:r>
                  <w:r>
                    <w:rPr>
                      <w:rFonts w:ascii="仿宋_gb2312" w:hAnsi="仿宋_gb2312" w:cs="仿宋_gb2312" w:eastAsia="仿宋_gb2312"/>
                      <w:sz w:val="21"/>
                    </w:rPr>
                    <w:t>为医院现用机型，乙方可根据实际情况提供能够对接甲方现有系统的服务器备机，但配置不能低于以下配置）</w:t>
                  </w:r>
                </w:p>
                <w:tbl>
                  <w:tblPr>
                    <w:tblBorders>
                      <w:top w:val="none" w:color="000000" w:sz="4"/>
                      <w:left w:val="none" w:color="000000" w:sz="4"/>
                      <w:bottom w:val="none" w:color="000000" w:sz="4"/>
                      <w:right w:val="none" w:color="000000" w:sz="4"/>
                      <w:insideH w:val="none"/>
                      <w:insideV w:val="none"/>
                    </w:tblBorders>
                  </w:tblPr>
                  <w:tblGrid>
                    <w:gridCol w:w="287"/>
                    <w:gridCol w:w="1445"/>
                  </w:tblGrid>
                  <w:tr>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EMC VXRail P570</w:t>
                        </w:r>
                      </w:p>
                    </w:tc>
                    <w:tc>
                      <w:tcPr>
                        <w:tcW w:type="dxa" w:w="1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超融合云平台服务器</w:t>
                        </w:r>
                        <w:r>
                          <w:rPr>
                            <w:rFonts w:ascii="仿宋_gb2312" w:hAnsi="仿宋_gb2312" w:cs="仿宋_gb2312" w:eastAsia="仿宋_gb2312"/>
                            <w:sz w:val="21"/>
                          </w:rPr>
                          <w:t>EMC VXRail P570，配置包含：两颗Intel Xeon4216 16核心2.1GHz中央处理器、768GB缓存、4个万兆光口、2块800GB企业级SSD硬盘，配置10块2.4TB 10k转SAS硬盘、2块240G固态硬盘，预配置与医院现网一致系统版本。</w:t>
                        </w:r>
                      </w:p>
                    </w:tc>
                  </w:tr>
                </w:tbl>
                <w:p>
                  <w:pPr>
                    <w:pStyle w:val="null3"/>
                    <w:jc w:val="left"/>
                  </w:pPr>
                  <w:r>
                    <w:rPr>
                      <w:rFonts w:ascii="仿宋_gb2312" w:hAnsi="仿宋_gb2312" w:cs="仿宋_gb2312" w:eastAsia="仿宋_gb2312"/>
                      <w:sz w:val="21"/>
                    </w:rPr>
                    <w:t>（新设备和配件须提供</w:t>
                  </w:r>
                  <w:r>
                    <w:rPr>
                      <w:rFonts w:ascii="仿宋_gb2312" w:hAnsi="仿宋_gb2312" w:cs="仿宋_gb2312" w:eastAsia="仿宋_gb2312"/>
                      <w:sz w:val="21"/>
                    </w:rPr>
                    <w:t>3年免费保修、现场技术支持、根据需要提供免费升级服务）</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6</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健康检查</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每季度全面的健康检查，重点检查数据库备份、性能、安全、报错以及潜在的隐患。发现问题能够立即解决的就立即解决，不能立即解决的提出解决方案或建议。健康检查</w:t>
                  </w:r>
                  <w:r>
                    <w:rPr>
                      <w:rFonts w:ascii="仿宋_gb2312" w:hAnsi="仿宋_gb2312" w:cs="仿宋_gb2312" w:eastAsia="仿宋_gb2312"/>
                      <w:sz w:val="21"/>
                    </w:rPr>
                    <w:t>结束后形成过程资料，资料包括但不限于有双方签字的纸质版记录、相关照片等，具体形式与内容需满足甲方内部管理制度要求。</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7</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故障处理</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当发生系统故障时，包括系统宕机、系统挂起、数据库相关业务不能使用等情况时，工作时间则由现场工程师进行处理；非工作时间则先由工程师立即远程进行处理，如果远程无法完成处理，则以最快的速度到达现场进行处理。做到一般故障的响应时间不超过</w:t>
                  </w:r>
                  <w:r>
                    <w:rPr>
                      <w:rFonts w:ascii="仿宋_gb2312" w:hAnsi="仿宋_gb2312" w:cs="仿宋_gb2312" w:eastAsia="仿宋_gb2312"/>
                      <w:sz w:val="21"/>
                    </w:rPr>
                    <w:t>1小时，严重故障的响应时间不超过30分钟。</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8</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数据库管理服务</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每半年为用户设计数据库管理方案，使数据库管理工作合理化</w:t>
                  </w:r>
                  <w:r>
                    <w:rPr>
                      <w:rFonts w:ascii="仿宋_gb2312" w:hAnsi="仿宋_gb2312" w:cs="仿宋_gb2312" w:eastAsia="仿宋_gb2312"/>
                      <w:sz w:val="21"/>
                    </w:rPr>
                    <w:t>，</w:t>
                  </w:r>
                  <w:r>
                    <w:rPr>
                      <w:rFonts w:ascii="仿宋_gb2312" w:hAnsi="仿宋_gb2312" w:cs="仿宋_gb2312" w:eastAsia="仿宋_gb2312"/>
                      <w:sz w:val="21"/>
                    </w:rPr>
                    <w:t>管理方案需形成纸质版并有双方人员签字</w:t>
                  </w:r>
                  <w:r>
                    <w:rPr>
                      <w:rFonts w:ascii="仿宋_gb2312" w:hAnsi="仿宋_gb2312" w:cs="仿宋_gb2312" w:eastAsia="仿宋_gb2312"/>
                      <w:sz w:val="21"/>
                    </w:rPr>
                    <w:t>。并时时协助用户设计高可用、高性能的系统结构，</w:t>
                  </w:r>
                  <w:r>
                    <w:rPr>
                      <w:rFonts w:ascii="仿宋_gb2312" w:hAnsi="仿宋_gb2312" w:cs="仿宋_gb2312" w:eastAsia="仿宋_gb2312"/>
                      <w:sz w:val="21"/>
                    </w:rPr>
                    <w:t>根据采购方需要</w:t>
                  </w:r>
                  <w:r>
                    <w:rPr>
                      <w:rFonts w:ascii="仿宋_gb2312" w:hAnsi="仿宋_gb2312" w:cs="仿宋_gb2312" w:eastAsia="仿宋_gb2312"/>
                      <w:sz w:val="21"/>
                    </w:rPr>
                    <w:t>编写重要的自动管理脚本，使存储空间检查、数据备份等重要工作实现自动化的管理。</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9</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数据库技术支持</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提供不限时间和时段的电话远程故障诊断、技术咨询。</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数据库优化</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每季度对系统影响较大的性能问题进行诊断，提出优化建议方案，包括系统配置优化、</w:t>
                  </w:r>
                  <w:r>
                    <w:rPr>
                      <w:rFonts w:ascii="仿宋_gb2312" w:hAnsi="仿宋_gb2312" w:cs="仿宋_gb2312" w:eastAsia="仿宋_gb2312"/>
                      <w:sz w:val="21"/>
                    </w:rPr>
                    <w:t>SQL代码优化、数据资源优化等。以减少系统资源、降低系统运行成本、提升系统的处理效率。</w:t>
                  </w:r>
                  <w:r>
                    <w:rPr>
                      <w:rFonts w:ascii="仿宋_gb2312" w:hAnsi="仿宋_gb2312" w:cs="仿宋_gb2312" w:eastAsia="仿宋_gb2312"/>
                      <w:sz w:val="21"/>
                    </w:rPr>
                    <w:t>方案需形成纸质版并有双方人员签字确认</w:t>
                  </w:r>
                  <w:r>
                    <w:rPr>
                      <w:rFonts w:ascii="仿宋_gb2312" w:hAnsi="仿宋_gb2312" w:cs="仿宋_gb2312" w:eastAsia="仿宋_gb2312"/>
                      <w:sz w:val="21"/>
                    </w:rPr>
                    <w:t>。</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1</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数据库安全</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每年进行一次数据库安全补丁安装，以增强数据库安全性。同时对数据库中存在的其他安全问题提出安全加固建议。</w:t>
                  </w:r>
                  <w:r>
                    <w:rPr>
                      <w:rFonts w:ascii="仿宋_gb2312" w:hAnsi="仿宋_gb2312" w:cs="仿宋_gb2312" w:eastAsia="仿宋_gb2312"/>
                      <w:sz w:val="21"/>
                    </w:rPr>
                    <w:t>补丁安装完成后需形成过程资料，资料包括但不限于有双方签字的纸质版记录、相关照片等，具体形式与内容需满足甲方内部管理制度要求。</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2</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数据库备份与恢复</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根据用户实际环境，制定有效的备份方案和策略，并协助用户和备份厂商实施。</w:t>
                  </w:r>
                  <w:r>
                    <w:rPr>
                      <w:rFonts w:ascii="仿宋_gb2312" w:hAnsi="仿宋_gb2312" w:cs="仿宋_gb2312" w:eastAsia="仿宋_gb2312"/>
                      <w:sz w:val="21"/>
                    </w:rPr>
                    <w:t>实施完成后需形成过程资料，资料包括但不限于有双方签字的纸质版记录、相关照片等，具体形式与内容需满足甲方内部管理制度要求。</w:t>
                  </w:r>
                  <w:r>
                    <w:rPr>
                      <w:rFonts w:ascii="仿宋_gb2312" w:hAnsi="仿宋_gb2312" w:cs="仿宋_gb2312" w:eastAsia="仿宋_gb2312"/>
                      <w:sz w:val="21"/>
                    </w:rPr>
                    <w:t>在数据库需要恢复时，为用户和备份厂商提供技术支持。</w:t>
                  </w:r>
                </w:p>
              </w:tc>
            </w:tr>
          </w:tbl>
          <w:p/>
        </w:tc>
      </w:tr>
      <w:tr>
        <w:tc>
          <w:tcPr>
            <w:tcW w:type="dxa" w:w="2769"/>
          </w:tcPr>
          <w:p/>
        </w:tc>
        <w:tc>
          <w:tcPr>
            <w:tcW w:type="dxa" w:w="2769"/>
          </w:tcPr>
          <w:p>
            <w:pPr>
              <w:pStyle w:val="null3"/>
            </w:pPr>
            <w:r>
              <w:rPr/>
              <w:t>3</w:t>
            </w:r>
          </w:p>
        </w:tc>
        <w:tc>
          <w:tcPr>
            <w:tcW w:type="dxa" w:w="2769"/>
          </w:tcPr>
          <w:p>
            <w:pPr>
              <w:pStyle w:val="null3"/>
              <w:ind w:firstLine="640"/>
              <w:jc w:val="both"/>
            </w:pPr>
            <w:r>
              <w:rPr>
                <w:rFonts w:ascii="黑体" w:hAnsi="黑体" w:cs="黑体" w:eastAsia="黑体"/>
                <w:sz w:val="32"/>
              </w:rPr>
              <w:t>附件</w:t>
            </w:r>
            <w:r>
              <w:rPr>
                <w:rFonts w:ascii="黑体" w:hAnsi="黑体" w:cs="黑体" w:eastAsia="黑体"/>
                <w:sz w:val="32"/>
              </w:rPr>
              <w:t>1</w:t>
            </w:r>
          </w:p>
          <w:p>
            <w:pPr>
              <w:pStyle w:val="null3"/>
              <w:ind w:firstLine="640"/>
              <w:jc w:val="center"/>
            </w:pPr>
            <w:r>
              <w:rPr>
                <w:rFonts w:ascii="黑体" w:hAnsi="黑体" w:cs="黑体" w:eastAsia="黑体"/>
                <w:sz w:val="32"/>
              </w:rPr>
              <w:t>应用和存储服务器统计表</w:t>
            </w:r>
          </w:p>
          <w:tbl>
            <w:tblPr>
              <w:tblInd w:type="dxa" w:w="90"/>
              <w:tblBorders>
                <w:top w:val="none" w:color="000000" w:sz="4"/>
                <w:left w:val="none" w:color="000000" w:sz="4"/>
                <w:bottom w:val="none" w:color="000000" w:sz="4"/>
                <w:right w:val="none" w:color="000000" w:sz="4"/>
                <w:insideH w:val="none"/>
                <w:insideV w:val="none"/>
              </w:tblBorders>
            </w:tblPr>
            <w:tblGrid>
              <w:gridCol w:w="235"/>
              <w:gridCol w:w="804"/>
              <w:gridCol w:w="213"/>
              <w:gridCol w:w="224"/>
              <w:gridCol w:w="801"/>
              <w:gridCol w:w="258"/>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楷体_gb2312" w:hAnsi="楷体_gb2312" w:cs="楷体_gb2312" w:eastAsia="楷体_gb2312"/>
                      <w:sz w:val="22"/>
                      <w:b/>
                      <w:color w:val="000000"/>
                    </w:rPr>
                    <w:t>序号</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楷体_gb2312" w:hAnsi="楷体_gb2312" w:cs="楷体_gb2312" w:eastAsia="楷体_gb2312"/>
                      <w:sz w:val="22"/>
                      <w:b/>
                      <w:color w:val="000000"/>
                    </w:rPr>
                    <w:t>设备型号</w:t>
                  </w:r>
                </w:p>
              </w:tc>
              <w:tc>
                <w:tcPr>
                  <w:tcW w:type="dxa" w:w="21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楷体_gb2312" w:hAnsi="楷体_gb2312" w:cs="楷体_gb2312" w:eastAsia="楷体_gb2312"/>
                      <w:sz w:val="22"/>
                      <w:b/>
                      <w:color w:val="000000"/>
                    </w:rPr>
                    <w:t>数量</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楷体_gb2312" w:hAnsi="楷体_gb2312" w:cs="楷体_gb2312" w:eastAsia="楷体_gb2312"/>
                      <w:sz w:val="22"/>
                      <w:b/>
                      <w:color w:val="000000"/>
                    </w:rPr>
                    <w:t>序号</w:t>
                  </w:r>
                </w:p>
              </w:tc>
              <w:tc>
                <w:tcPr>
                  <w:tcW w:type="dxa" w:w="8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楷体_gb2312" w:hAnsi="楷体_gb2312" w:cs="楷体_gb2312" w:eastAsia="楷体_gb2312"/>
                      <w:sz w:val="22"/>
                      <w:b/>
                      <w:color w:val="000000"/>
                    </w:rPr>
                    <w:t>设备型号</w:t>
                  </w:r>
                </w:p>
              </w:tc>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楷体_gb2312" w:hAnsi="楷体_gb2312" w:cs="楷体_gb2312" w:eastAsia="楷体_gb2312"/>
                      <w:sz w:val="22"/>
                      <w:b/>
                      <w:color w:val="000000"/>
                    </w:rPr>
                    <w:t>数量</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2288H V5</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43</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VMAX10K-1</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BJCA协同签名系统</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44</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vplex</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DELL EMC R740</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45</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VXRail P570</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22</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DELL R230</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46</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VXRail P670 F</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5</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DELL R530</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47</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Wonder Smart</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6</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DK3110</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48</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鼎甲备份一体机</w:t>
                  </w:r>
                  <w:r>
                    <w:rPr>
                      <w:rFonts w:ascii="宋体" w:hAnsi="宋体" w:cs="宋体" w:eastAsia="宋体"/>
                      <w:sz w:val="22"/>
                      <w:color w:val="000000"/>
                    </w:rPr>
                    <w:t>DK3110</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7</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DL320E G8</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49</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吉大正元数字签名服务器</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8</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DL388 G7</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50</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介入数字化存储列阵</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9</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Dl388 Gen10</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51</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浪潮</w:t>
                  </w:r>
                  <w:r>
                    <w:rPr>
                      <w:rFonts w:ascii="宋体" w:hAnsi="宋体" w:cs="宋体" w:eastAsia="宋体"/>
                      <w:sz w:val="22"/>
                      <w:color w:val="000000"/>
                    </w:rPr>
                    <w:t>NF5270M3</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10</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DL580 Gen10</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52</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浪潮</w:t>
                  </w:r>
                  <w:r>
                    <w:rPr>
                      <w:rFonts w:ascii="宋体" w:hAnsi="宋体" w:cs="宋体" w:eastAsia="宋体"/>
                      <w:sz w:val="22"/>
                      <w:color w:val="000000"/>
                    </w:rPr>
                    <w:t>NF5280M5</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11</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DL580 G7</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53</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联想</w:t>
                  </w:r>
                  <w:r>
                    <w:rPr>
                      <w:rFonts w:ascii="宋体" w:hAnsi="宋体" w:cs="宋体" w:eastAsia="宋体"/>
                      <w:sz w:val="22"/>
                      <w:color w:val="000000"/>
                    </w:rPr>
                    <w:t>Rd350</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12</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DL980 G7</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54</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联想</w:t>
                  </w:r>
                  <w:r>
                    <w:rPr>
                      <w:rFonts w:ascii="宋体" w:hAnsi="宋体" w:cs="宋体" w:eastAsia="宋体"/>
                      <w:sz w:val="22"/>
                      <w:color w:val="000000"/>
                    </w:rPr>
                    <w:t>RD430</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13</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DS 6505B</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55</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联想</w:t>
                  </w:r>
                  <w:r>
                    <w:rPr>
                      <w:rFonts w:ascii="宋体" w:hAnsi="宋体" w:cs="宋体" w:eastAsia="宋体"/>
                      <w:sz w:val="22"/>
                      <w:color w:val="000000"/>
                    </w:rPr>
                    <w:t>RS260</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14</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DS 6510B</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7</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56</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联想</w:t>
                  </w:r>
                  <w:r>
                    <w:rPr>
                      <w:rFonts w:ascii="宋体" w:hAnsi="宋体" w:cs="宋体" w:eastAsia="宋体"/>
                      <w:sz w:val="22"/>
                      <w:color w:val="000000"/>
                    </w:rPr>
                    <w:t>RS360</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15</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DS 6520B</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57</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联想</w:t>
                  </w:r>
                  <w:r>
                    <w:rPr>
                      <w:rFonts w:ascii="宋体" w:hAnsi="宋体" w:cs="宋体" w:eastAsia="宋体"/>
                      <w:sz w:val="22"/>
                      <w:color w:val="000000"/>
                    </w:rPr>
                    <w:t>SR588</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16</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EVA 6400</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58</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联想</w:t>
                  </w:r>
                  <w:r>
                    <w:rPr>
                      <w:rFonts w:ascii="宋体" w:hAnsi="宋体" w:cs="宋体" w:eastAsia="宋体"/>
                      <w:sz w:val="22"/>
                      <w:color w:val="000000"/>
                    </w:rPr>
                    <w:t>SR590</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17</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H3C RX390</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59</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堡垒机</w:t>
                  </w:r>
                  <w:r>
                    <w:rPr>
                      <w:rFonts w:ascii="宋体" w:hAnsi="宋体" w:cs="宋体" w:eastAsia="宋体"/>
                      <w:sz w:val="22"/>
                      <w:color w:val="000000"/>
                    </w:rPr>
                    <w:t>-启明星辰</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18</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HealSci</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60</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数据库审计</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19</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HP DL 160 G5</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HP DL 388 G10</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7</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21</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HP DL 388 G7</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22</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HP DL 388 G9</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23</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HP DL 580 G10</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8</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24</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HP DL 580 G7</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25</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HP DL 580 G9</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9</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26</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HP DL 380 G10</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27</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HP DL 388 G10</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28</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HP DL 388 G9</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29</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HP DL 980 G7</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30</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HP storageworks P2000</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31</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IsilonH 500</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32</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MSA 2000</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33</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NETGAR</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34</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NTP</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35</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POWERSTORE 1000T</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36</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R6 240 H0</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37</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RPA</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38</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SR590</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39</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UNITY400F</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40</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UNITY480F</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41</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UNITY680</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42</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vastcube G1220</w:t>
                  </w:r>
                </w:p>
              </w:tc>
              <w:tc>
                <w:tcPr>
                  <w:tcW w:type="dxa" w:w="213"/>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标的名称：网络和安全服务及配套软硬件维护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center"/>
            </w:pPr>
            <w:r>
              <w:rPr>
                <w:rFonts w:ascii="方正小标宋简体" w:hAnsi="方正小标宋简体" w:cs="方正小标宋简体" w:eastAsia="方正小标宋简体"/>
                <w:sz w:val="32"/>
                <w:color w:val="000000"/>
              </w:rPr>
              <w:t>项目招标内容汇总表</w:t>
            </w:r>
            <w:r>
              <w:rPr>
                <w:rFonts w:ascii="方正小标宋简体" w:hAnsi="方正小标宋简体" w:cs="方正小标宋简体" w:eastAsia="方正小标宋简体"/>
                <w:sz w:val="32"/>
                <w:color w:val="000000"/>
              </w:rPr>
              <w:t>（</w:t>
            </w:r>
            <w:r>
              <w:rPr>
                <w:rFonts w:ascii="方正小标宋简体" w:hAnsi="方正小标宋简体" w:cs="方正小标宋简体" w:eastAsia="方正小标宋简体"/>
                <w:sz w:val="32"/>
                <w:color w:val="000000"/>
              </w:rPr>
              <w:t>第二包</w:t>
            </w:r>
            <w:r>
              <w:rPr>
                <w:rFonts w:ascii="方正小标宋简体" w:hAnsi="方正小标宋简体" w:cs="方正小标宋简体" w:eastAsia="方正小标宋简体"/>
                <w:sz w:val="32"/>
                <w:color w:val="000000"/>
              </w:rPr>
              <w:t>）</w:t>
            </w:r>
          </w:p>
          <w:tbl>
            <w:tblPr>
              <w:tblInd w:type="dxa" w:w="105"/>
              <w:tblBorders>
                <w:top w:val="none" w:color="000000" w:sz="4"/>
                <w:left w:val="none" w:color="000000" w:sz="4"/>
                <w:bottom w:val="none" w:color="000000" w:sz="4"/>
                <w:right w:val="none" w:color="000000" w:sz="4"/>
                <w:insideH w:val="none"/>
                <w:insideV w:val="none"/>
              </w:tblBorders>
            </w:tblPr>
            <w:tblGrid>
              <w:gridCol w:w="151"/>
              <w:gridCol w:w="189"/>
              <w:gridCol w:w="1926"/>
              <w:gridCol w:w="287"/>
            </w:tblGrid>
            <w:tr>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序号</w:t>
                  </w:r>
                </w:p>
              </w:tc>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项目招标名称</w:t>
                  </w:r>
                </w:p>
              </w:tc>
              <w:tc>
                <w:tcPr>
                  <w:tcW w:type="dxa" w:w="19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项目招标内容</w:t>
                  </w:r>
                </w:p>
              </w:tc>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预算</w:t>
                  </w:r>
                </w:p>
                <w:p>
                  <w:pPr>
                    <w:pStyle w:val="null3"/>
                    <w:jc w:val="center"/>
                  </w:pPr>
                  <w:r>
                    <w:rPr>
                      <w:rFonts w:ascii="宋体" w:hAnsi="宋体" w:cs="宋体" w:eastAsia="宋体"/>
                      <w:sz w:val="21"/>
                      <w:b/>
                      <w:color w:val="000000"/>
                    </w:rPr>
                    <w:t>（万元）</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网络和安全服务及配套软硬件维护</w:t>
                  </w: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对医院两地三中心内部的网络及网络安全硬件和软件进行整体运维，包括但不限于所有的网络及网络安全设备的备份、运维、优化、维护及切换管理等。未列举到的涉及网络及网络安全的软硬件均包含在本次维保范围之内。</w:t>
                  </w:r>
                </w:p>
                <w:p>
                  <w:pPr>
                    <w:pStyle w:val="null3"/>
                    <w:jc w:val="both"/>
                  </w:pPr>
                  <w:r>
                    <w:rPr>
                      <w:rFonts w:ascii="宋体" w:hAnsi="宋体" w:cs="宋体" w:eastAsia="宋体"/>
                      <w:sz w:val="21"/>
                      <w:color w:val="000000"/>
                    </w:rPr>
                    <w:t>1.2台网神/网神SecFox日志收集与分析系统LAS-R53M，1台网神/网神SecDDoS 3600 抗拒绝服务系统F1500。</w:t>
                  </w:r>
                </w:p>
                <w:p>
                  <w:pPr>
                    <w:pStyle w:val="null3"/>
                    <w:jc w:val="both"/>
                  </w:pPr>
                  <w:r>
                    <w:rPr>
                      <w:rFonts w:ascii="宋体" w:hAnsi="宋体" w:cs="宋体" w:eastAsia="宋体"/>
                      <w:sz w:val="21"/>
                      <w:color w:val="000000"/>
                    </w:rPr>
                    <w:t>2.3台新华三/Secpath F1000 AK115，1台网神/JOWTO-YUNSUO，1台网神/网神SecWAF 3600 Web应用防火墙系统W5000</w:t>
                  </w:r>
                </w:p>
                <w:p>
                  <w:pPr>
                    <w:pStyle w:val="null3"/>
                    <w:jc w:val="both"/>
                  </w:pPr>
                  <w:r>
                    <w:rPr>
                      <w:rFonts w:ascii="宋体" w:hAnsi="宋体" w:cs="宋体" w:eastAsia="宋体"/>
                      <w:sz w:val="21"/>
                      <w:color w:val="000000"/>
                    </w:rPr>
                    <w:t>3.1台网神/ 网神SecIPS 3600入侵防御系统P5000，2台天眼TSS10000-GM威胁感知系统，2台网神SecADS 3600应用交付系统E1500</w:t>
                  </w:r>
                </w:p>
                <w:p>
                  <w:pPr>
                    <w:pStyle w:val="null3"/>
                    <w:jc w:val="both"/>
                  </w:pPr>
                  <w:r>
                    <w:rPr>
                      <w:rFonts w:ascii="宋体" w:hAnsi="宋体" w:cs="宋体" w:eastAsia="宋体"/>
                      <w:sz w:val="21"/>
                      <w:color w:val="000000"/>
                    </w:rPr>
                    <w:t>4.2台H3C S6520X-54QC-EI三层交换机，2台H3C SECPATH F1000-AK115，1台华为 USG6530防火墙，1台天清网络接入控制系统V3.0 NAC6000-3500（含4000个授权许可），1套卡巴斯基云安全系统（含10颗CPU授权许可）</w:t>
                  </w:r>
                  <w:r>
                    <w:rPr>
                      <w:rFonts w:ascii="宋体" w:hAnsi="宋体" w:cs="宋体" w:eastAsia="宋体"/>
                      <w:sz w:val="21"/>
                      <w:color w:val="000000"/>
                    </w:rPr>
                    <w:t>、</w:t>
                  </w:r>
                  <w:r>
                    <w:rPr>
                      <w:rFonts w:ascii="宋体" w:hAnsi="宋体" w:cs="宋体" w:eastAsia="宋体"/>
                      <w:sz w:val="21"/>
                      <w:color w:val="000000"/>
                    </w:rPr>
                    <w:t>HP 8/24 SAN Switch光纤交换机2台（包含但不限于光纤模块及激活授权）</w:t>
                  </w:r>
                </w:p>
                <w:p>
                  <w:pPr>
                    <w:pStyle w:val="null3"/>
                    <w:jc w:val="both"/>
                  </w:pPr>
                  <w:r>
                    <w:rPr>
                      <w:rFonts w:ascii="宋体" w:hAnsi="宋体" w:cs="宋体" w:eastAsia="宋体"/>
                      <w:sz w:val="21"/>
                      <w:color w:val="000000"/>
                    </w:rPr>
                    <w:t>5.H3C S12508核心交换机4台，H3C S7506E-V汇聚交换机2台，H3C S5120-52C-PWR-EI接入交换机100台、院内所有的无线接入点（RG-AP720-L等）、无线控制器（H3C WX5560H等）、AP（AP H3C WT1024-X-HI-24、H3C  WTU630、H3C WTU632H-IOT等）以及相关的授权管理，2台光纤交换机BR-310-B-0008，天玥网关1台，1台F1000-AK145（包含IPS,AV ,license授权），6台F1000-AK115（包含IPS,AV ,license授权），4台S5130S-10P-EI，6台S5130S-28P-EI，1台S5130S-52P-EI，1台S5130S-28P-HPWR-EI，1台S5130S-52S-PWR-EI，1台BR-310-B-0008，1台RG-AP520（W2）。（内网无线：在线AP 1968个 ，最大可再部署终结者ap 432个。外网无线：在线AP 572个，最大可再部署ap 68个）</w:t>
                  </w:r>
                </w:p>
                <w:p>
                  <w:pPr>
                    <w:pStyle w:val="null3"/>
                    <w:jc w:val="both"/>
                  </w:pPr>
                  <w:r>
                    <w:rPr>
                      <w:rFonts w:ascii="宋体" w:hAnsi="宋体" w:cs="宋体" w:eastAsia="宋体"/>
                      <w:sz w:val="21"/>
                      <w:color w:val="000000"/>
                    </w:rPr>
                    <w:t>6.1台华为USG6530，1台华为USG6510。</w:t>
                  </w:r>
                </w:p>
                <w:p>
                  <w:pPr>
                    <w:pStyle w:val="null3"/>
                    <w:jc w:val="both"/>
                  </w:pPr>
                  <w:r>
                    <w:rPr>
                      <w:rFonts w:ascii="宋体" w:hAnsi="宋体" w:cs="宋体" w:eastAsia="宋体"/>
                      <w:sz w:val="21"/>
                      <w:color w:val="000000"/>
                    </w:rPr>
                    <w:t>8.结合甲方现有需求，更换现有的天玥网关（堡垒机）1台</w:t>
                  </w:r>
                  <w:r>
                    <w:rPr>
                      <w:rFonts w:ascii="宋体" w:hAnsi="宋体" w:cs="宋体" w:eastAsia="宋体"/>
                      <w:sz w:val="21"/>
                      <w:color w:val="000000"/>
                    </w:rPr>
                    <w:t>，</w:t>
                  </w:r>
                  <w:r>
                    <w:rPr>
                      <w:rFonts w:ascii="宋体" w:hAnsi="宋体" w:cs="宋体" w:eastAsia="宋体"/>
                      <w:sz w:val="21"/>
                      <w:color w:val="000000"/>
                    </w:rPr>
                    <w:t>更换堡垒机配置不得低于医院现有配置，堡垒机产品费用及更换费用</w:t>
                  </w:r>
                  <w:r>
                    <w:rPr>
                      <w:rFonts w:ascii="宋体" w:hAnsi="宋体" w:cs="宋体" w:eastAsia="宋体"/>
                      <w:sz w:val="21"/>
                    </w:rPr>
                    <w:t>包含在项目总费用内</w:t>
                  </w:r>
                  <w:r>
                    <w:rPr>
                      <w:rFonts w:ascii="宋体" w:hAnsi="宋体" w:cs="宋体" w:eastAsia="宋体"/>
                      <w:sz w:val="21"/>
                      <w:color w:val="000000"/>
                    </w:rPr>
                    <w:t>。</w:t>
                  </w:r>
                </w:p>
                <w:p>
                  <w:pPr>
                    <w:pStyle w:val="null3"/>
                    <w:jc w:val="both"/>
                  </w:pPr>
                  <w:r>
                    <w:rPr>
                      <w:rFonts w:ascii="宋体" w:hAnsi="宋体" w:cs="宋体" w:eastAsia="宋体"/>
                      <w:sz w:val="21"/>
                      <w:color w:val="000000"/>
                    </w:rPr>
                    <w:t>9.新增网神/网神SecFox日志收集与分析系统LAS-R53M的授权各25个，同时评估现有硬件是否支持</w:t>
                  </w:r>
                  <w:r>
                    <w:rPr>
                      <w:rFonts w:ascii="宋体" w:hAnsi="宋体" w:cs="宋体" w:eastAsia="宋体"/>
                      <w:sz w:val="21"/>
                      <w:color w:val="000000"/>
                    </w:rPr>
                    <w:t>，</w:t>
                  </w:r>
                  <w:r>
                    <w:rPr>
                      <w:rFonts w:ascii="宋体" w:hAnsi="宋体" w:cs="宋体" w:eastAsia="宋体"/>
                      <w:sz w:val="21"/>
                      <w:color w:val="000000"/>
                    </w:rPr>
                    <w:t>费用</w:t>
                  </w:r>
                  <w:r>
                    <w:rPr>
                      <w:rFonts w:ascii="宋体" w:hAnsi="宋体" w:cs="宋体" w:eastAsia="宋体"/>
                      <w:sz w:val="21"/>
                    </w:rPr>
                    <w:t>包含在项目总费用内</w:t>
                  </w:r>
                  <w:r>
                    <w:rPr>
                      <w:rFonts w:ascii="宋体" w:hAnsi="宋体" w:cs="宋体" w:eastAsia="宋体"/>
                      <w:sz w:val="21"/>
                      <w:color w:val="000000"/>
                    </w:rPr>
                    <w:t>。</w:t>
                  </w:r>
                </w:p>
                <w:p>
                  <w:pPr>
                    <w:pStyle w:val="null3"/>
                    <w:jc w:val="both"/>
                  </w:pPr>
                  <w:r>
                    <w:rPr>
                      <w:rFonts w:ascii="宋体" w:hAnsi="宋体" w:cs="宋体" w:eastAsia="宋体"/>
                      <w:sz w:val="21"/>
                      <w:color w:val="000000"/>
                    </w:rPr>
                    <w:t>10.</w:t>
                  </w:r>
                  <w:r>
                    <w:rPr>
                      <w:rFonts w:ascii="宋体" w:hAnsi="宋体" w:cs="宋体" w:eastAsia="宋体"/>
                      <w:sz w:val="21"/>
                      <w:color w:val="000000"/>
                    </w:rPr>
                    <w:t>新增</w:t>
                  </w:r>
                  <w:r>
                    <w:rPr>
                      <w:rFonts w:ascii="宋体" w:hAnsi="宋体" w:cs="宋体" w:eastAsia="宋体"/>
                      <w:sz w:val="21"/>
                      <w:color w:val="000000"/>
                    </w:rPr>
                    <w:t>如下设备</w:t>
                  </w:r>
                  <w:r>
                    <w:rPr>
                      <w:rFonts w:ascii="宋体" w:hAnsi="宋体" w:cs="宋体" w:eastAsia="宋体"/>
                      <w:sz w:val="21"/>
                      <w:color w:val="000000"/>
                    </w:rPr>
                    <w:t>及</w:t>
                  </w:r>
                  <w:r>
                    <w:rPr>
                      <w:rFonts w:ascii="宋体" w:hAnsi="宋体" w:cs="宋体" w:eastAsia="宋体"/>
                      <w:sz w:val="21"/>
                      <w:color w:val="000000"/>
                    </w:rPr>
                    <w:t>配件</w:t>
                  </w:r>
                  <w:r>
                    <w:rPr>
                      <w:rFonts w:ascii="宋体" w:hAnsi="宋体" w:cs="宋体" w:eastAsia="宋体"/>
                      <w:sz w:val="21"/>
                      <w:color w:val="000000"/>
                    </w:rPr>
                    <w:t>：</w:t>
                  </w:r>
                </w:p>
                <w:p>
                  <w:pPr>
                    <w:pStyle w:val="null3"/>
                    <w:ind w:firstLine="420"/>
                    <w:jc w:val="both"/>
                  </w:pPr>
                  <w:r>
                    <w:rPr>
                      <w:rFonts w:ascii="宋体" w:hAnsi="宋体" w:cs="宋体" w:eastAsia="宋体"/>
                      <w:sz w:val="21"/>
                      <w:color w:val="000000"/>
                    </w:rPr>
                    <w:t>1台</w:t>
                  </w:r>
                  <w:r>
                    <w:rPr>
                      <w:rFonts w:ascii="宋体" w:hAnsi="宋体" w:cs="宋体" w:eastAsia="宋体"/>
                      <w:sz w:val="21"/>
                      <w:color w:val="000000"/>
                    </w:rPr>
                    <w:t>企业级防火墙，配置不低于</w:t>
                  </w:r>
                  <w:r>
                    <w:rPr>
                      <w:rFonts w:ascii="宋体" w:hAnsi="宋体" w:cs="宋体" w:eastAsia="宋体"/>
                      <w:sz w:val="21"/>
                      <w:color w:val="000000"/>
                    </w:rPr>
                    <w:t>新华三</w:t>
                  </w:r>
                  <w:r>
                    <w:rPr>
                      <w:rFonts w:ascii="宋体" w:hAnsi="宋体" w:cs="宋体" w:eastAsia="宋体"/>
                      <w:sz w:val="21"/>
                      <w:color w:val="000000"/>
                    </w:rPr>
                    <w:t>/Secpath F1000 AK115；核心汇聚交换机的电源模块、万兆板卡、千兆板卡等各5块；10台接入交换机；2台AP接入交换机（</w:t>
                  </w:r>
                  <w:r>
                    <w:rPr>
                      <w:rFonts w:ascii="宋体" w:hAnsi="宋体" w:cs="宋体" w:eastAsia="宋体"/>
                      <w:sz w:val="21"/>
                      <w:color w:val="000000"/>
                    </w:rPr>
                    <w:t>配置不低于</w:t>
                  </w:r>
                  <w:r>
                    <w:rPr>
                      <w:rFonts w:ascii="宋体" w:hAnsi="宋体" w:cs="宋体" w:eastAsia="宋体"/>
                      <w:sz w:val="21"/>
                      <w:color w:val="000000"/>
                    </w:rPr>
                    <w:t>华三</w:t>
                  </w:r>
                  <w:r>
                    <w:rPr>
                      <w:rFonts w:ascii="宋体" w:hAnsi="宋体" w:cs="宋体" w:eastAsia="宋体"/>
                      <w:sz w:val="21"/>
                      <w:color w:val="000000"/>
                    </w:rPr>
                    <w:t>H3C WT1024-X-HI-24）；10台AP</w:t>
                  </w:r>
                  <w:r>
                    <w:rPr>
                      <w:rFonts w:ascii="calibri" w:hAnsi="calibri" w:cs="calibri" w:eastAsia="calibri"/>
                      <w:sz w:val="21"/>
                    </w:rPr>
                    <w:t xml:space="preserve"> </w:t>
                  </w:r>
                  <w:r>
                    <w:rPr>
                      <w:rFonts w:ascii="宋体" w:hAnsi="宋体" w:cs="宋体" w:eastAsia="宋体"/>
                      <w:sz w:val="21"/>
                      <w:color w:val="000000"/>
                    </w:rPr>
                    <w:t>WTU630和H3C WTU632H-IOT</w:t>
                  </w:r>
                  <w:r>
                    <w:rPr>
                      <w:rFonts w:ascii="宋体" w:hAnsi="宋体" w:cs="宋体" w:eastAsia="宋体"/>
                      <w:sz w:val="21"/>
                      <w:color w:val="000000"/>
                    </w:rPr>
                    <w:t>。</w:t>
                  </w:r>
                  <w:r>
                    <w:rPr>
                      <w:rFonts w:ascii="宋体" w:hAnsi="宋体" w:cs="宋体" w:eastAsia="宋体"/>
                      <w:sz w:val="21"/>
                      <w:color w:val="000000"/>
                    </w:rPr>
                    <w:t>以上设备及配件需适配采购方网络和安全体系，费用</w:t>
                  </w:r>
                  <w:r>
                    <w:rPr>
                      <w:rFonts w:ascii="宋体" w:hAnsi="宋体" w:cs="宋体" w:eastAsia="宋体"/>
                      <w:sz w:val="21"/>
                    </w:rPr>
                    <w:t>包含在项目总费用内</w:t>
                  </w:r>
                  <w:r>
                    <w:rPr>
                      <w:rFonts w:ascii="宋体" w:hAnsi="宋体" w:cs="宋体" w:eastAsia="宋体"/>
                      <w:sz w:val="21"/>
                      <w:color w:val="000000"/>
                    </w:rPr>
                    <w:t>。</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104.93</w:t>
                  </w:r>
                </w:p>
              </w:tc>
            </w:tr>
          </w:tbl>
          <w:p>
            <w:pPr>
              <w:pStyle w:val="null3"/>
            </w:pPr>
            <w:r>
              <w:rPr/>
              <w:t xml:space="preserve"> </w:t>
            </w:r>
          </w:p>
          <w:p>
            <w:pPr>
              <w:pStyle w:val="null3"/>
            </w:pPr>
            <w:r>
              <w:rPr/>
              <w:t xml:space="preserve"> </w:t>
            </w:r>
          </w:p>
          <w:p>
            <w:pPr>
              <w:pStyle w:val="null3"/>
            </w:pPr>
            <w:r>
              <w:rPr/>
              <w:t xml:space="preserve"> </w:t>
            </w:r>
          </w:p>
        </w:tc>
      </w:tr>
      <w:tr>
        <w:tc>
          <w:tcPr>
            <w:tcW w:type="dxa" w:w="2769"/>
          </w:tcPr>
          <w:p/>
        </w:tc>
        <w:tc>
          <w:tcPr>
            <w:tcW w:type="dxa" w:w="2769"/>
          </w:tcPr>
          <w:p>
            <w:pPr>
              <w:pStyle w:val="null3"/>
            </w:pPr>
            <w:r>
              <w:rPr/>
              <w:t>2</w:t>
            </w:r>
          </w:p>
        </w:tc>
        <w:tc>
          <w:tcPr>
            <w:tcW w:type="dxa" w:w="2769"/>
          </w:tcPr>
          <w:p>
            <w:pPr>
              <w:pStyle w:val="null3"/>
              <w:jc w:val="center"/>
            </w:pPr>
            <w:r>
              <w:rPr>
                <w:rFonts w:ascii="方正小标宋简体" w:hAnsi="方正小标宋简体" w:cs="方正小标宋简体" w:eastAsia="方正小标宋简体"/>
                <w:sz w:val="32"/>
              </w:rPr>
              <w:t>项目招标需求汇总表</w:t>
            </w:r>
            <w:r>
              <w:rPr>
                <w:rFonts w:ascii="方正小标宋简体" w:hAnsi="方正小标宋简体" w:cs="方正小标宋简体" w:eastAsia="方正小标宋简体"/>
                <w:sz w:val="32"/>
              </w:rPr>
              <w:t>（</w:t>
            </w:r>
            <w:r>
              <w:rPr>
                <w:rFonts w:ascii="方正小标宋简体" w:hAnsi="方正小标宋简体" w:cs="方正小标宋简体" w:eastAsia="方正小标宋简体"/>
                <w:sz w:val="32"/>
              </w:rPr>
              <w:t>第二包</w:t>
            </w:r>
            <w:r>
              <w:rPr>
                <w:rFonts w:ascii="方正小标宋简体" w:hAnsi="方正小标宋简体" w:cs="方正小标宋简体" w:eastAsia="方正小标宋简体"/>
                <w:sz w:val="32"/>
              </w:rPr>
              <w:t>）</w:t>
            </w:r>
          </w:p>
          <w:tbl>
            <w:tblPr>
              <w:tblBorders>
                <w:top w:val="none" w:color="000000" w:sz="4"/>
                <w:left w:val="none" w:color="000000" w:sz="4"/>
                <w:bottom w:val="none" w:color="000000" w:sz="4"/>
                <w:right w:val="none" w:color="000000" w:sz="4"/>
                <w:insideH w:val="none"/>
                <w:insideV w:val="none"/>
              </w:tblBorders>
            </w:tblPr>
            <w:tblGrid>
              <w:gridCol w:w="99"/>
              <w:gridCol w:w="460"/>
              <w:gridCol w:w="1994"/>
            </w:tblGrid>
            <w:tr>
              <w:tc>
                <w:tcPr>
                  <w:tcW w:type="dxa" w:w="99"/>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宋体" w:hAnsi="宋体" w:cs="宋体" w:eastAsia="宋体"/>
                      <w:sz w:val="21"/>
                      <w:b/>
                      <w:color w:val="000000"/>
                    </w:rPr>
                    <w:t>序号</w:t>
                  </w:r>
                </w:p>
              </w:tc>
              <w:tc>
                <w:tcPr>
                  <w:tcW w:type="dxa" w:w="460"/>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宋体" w:hAnsi="宋体" w:cs="宋体" w:eastAsia="宋体"/>
                      <w:sz w:val="21"/>
                      <w:b/>
                      <w:color w:val="000000"/>
                    </w:rPr>
                    <w:t>指标项</w:t>
                  </w:r>
                </w:p>
              </w:tc>
              <w:tc>
                <w:tcPr>
                  <w:tcW w:type="dxa" w:w="1994"/>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宋体" w:hAnsi="宋体" w:cs="宋体" w:eastAsia="宋体"/>
                      <w:sz w:val="21"/>
                      <w:b/>
                      <w:color w:val="000000"/>
                    </w:rPr>
                    <w:t>指标要求</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设备维保</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r>
                    <w:rPr>
                      <w:rFonts w:ascii="宋体" w:hAnsi="宋体" w:cs="宋体" w:eastAsia="宋体"/>
                      <w:sz w:val="21"/>
                    </w:rPr>
                    <w:t>.</w:t>
                  </w:r>
                  <w:r>
                    <w:rPr>
                      <w:rFonts w:ascii="宋体" w:hAnsi="宋体" w:cs="宋体" w:eastAsia="宋体"/>
                      <w:sz w:val="21"/>
                    </w:rPr>
                    <w:t>为所有设备提供</w:t>
                  </w:r>
                  <w:r>
                    <w:rPr>
                      <w:rFonts w:ascii="宋体" w:hAnsi="宋体" w:cs="宋体" w:eastAsia="宋体"/>
                      <w:sz w:val="21"/>
                    </w:rPr>
                    <w:t>7×24小时硬件保修及系统维护服务。</w:t>
                  </w:r>
                </w:p>
                <w:p>
                  <w:pPr>
                    <w:pStyle w:val="null3"/>
                    <w:jc w:val="both"/>
                  </w:pPr>
                  <w:r>
                    <w:rPr>
                      <w:rFonts w:ascii="宋体" w:hAnsi="宋体" w:cs="宋体" w:eastAsia="宋体"/>
                      <w:sz w:val="21"/>
                    </w:rPr>
                    <w:t>2.</w:t>
                  </w:r>
                  <w:r>
                    <w:rPr>
                      <w:rFonts w:ascii="宋体" w:hAnsi="宋体" w:cs="宋体" w:eastAsia="宋体"/>
                      <w:sz w:val="21"/>
                    </w:rPr>
                    <w:t>包括该维保项目所涉及设备及系统的维护，确保系统稳定运行。具体措施包括实时设计更新等内容维护、报表维护、数据管理与维护。</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故障分析和问题报告</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每次重大故障后，提供系统故障记录分析（包括软件和硬件）和问题报告。</w:t>
                  </w:r>
                  <w:r>
                    <w:rPr>
                      <w:rFonts w:ascii="宋体" w:hAnsi="宋体" w:cs="宋体" w:eastAsia="宋体"/>
                      <w:sz w:val="21"/>
                    </w:rPr>
                    <w:t>报告需有双方签字确认</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硬件巡检</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提供每周</w:t>
                  </w:r>
                  <w:r>
                    <w:rPr>
                      <w:rFonts w:ascii="宋体" w:hAnsi="宋体" w:cs="宋体" w:eastAsia="宋体"/>
                      <w:sz w:val="21"/>
                    </w:rPr>
                    <w:t>≥1次的硬件设备运行情况检查</w:t>
                  </w:r>
                  <w:r>
                    <w:rPr>
                      <w:rFonts w:ascii="宋体" w:hAnsi="宋体" w:cs="宋体" w:eastAsia="宋体"/>
                      <w:sz w:val="21"/>
                    </w:rPr>
                    <w:t>，</w:t>
                  </w:r>
                  <w:r>
                    <w:rPr>
                      <w:rFonts w:ascii="宋体" w:hAnsi="宋体" w:cs="宋体" w:eastAsia="宋体"/>
                      <w:sz w:val="21"/>
                    </w:rPr>
                    <w:t>形成巡检记录。巡检记录包括但不限于有双方签字的纸质版记录、巡检照片等，具体形式与内容需满足甲方内部管理制度要求。</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4</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系统巡检</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提供每周</w:t>
                  </w:r>
                  <w:r>
                    <w:rPr>
                      <w:rFonts w:ascii="宋体" w:hAnsi="宋体" w:cs="宋体" w:eastAsia="宋体"/>
                      <w:sz w:val="21"/>
                    </w:rPr>
                    <w:t>≥1次的操作系统健康检查</w:t>
                  </w:r>
                  <w:r>
                    <w:rPr>
                      <w:rFonts w:ascii="宋体" w:hAnsi="宋体" w:cs="宋体" w:eastAsia="宋体"/>
                      <w:sz w:val="21"/>
                    </w:rPr>
                    <w:t>，</w:t>
                  </w:r>
                  <w:r>
                    <w:rPr>
                      <w:rFonts w:ascii="宋体" w:hAnsi="宋体" w:cs="宋体" w:eastAsia="宋体"/>
                      <w:sz w:val="21"/>
                    </w:rPr>
                    <w:t>形成巡检记录。巡检记录包括但不限于有双方签字的纸质版记录、巡检照片等，具体形式与内容需满足甲方内部管理制度要求。</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5</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系统补丁</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提供系统补丁的合法升级服务，建立系统补丁的管理数据库，制订升级方案，</w:t>
                  </w:r>
                  <w:r>
                    <w:rPr>
                      <w:rFonts w:ascii="宋体" w:hAnsi="宋体" w:cs="宋体" w:eastAsia="宋体"/>
                      <w:sz w:val="21"/>
                    </w:rPr>
                    <w:t>升级方案须有双方签字确认。</w:t>
                  </w:r>
                  <w:r>
                    <w:rPr>
                      <w:rFonts w:ascii="宋体" w:hAnsi="宋体" w:cs="宋体" w:eastAsia="宋体"/>
                      <w:sz w:val="21"/>
                    </w:rPr>
                    <w:t>协助采购人实施升级工作。当发现有导致问题的</w:t>
                  </w:r>
                  <w:r>
                    <w:rPr>
                      <w:rFonts w:ascii="宋体" w:hAnsi="宋体" w:cs="宋体" w:eastAsia="宋体"/>
                      <w:sz w:val="21"/>
                    </w:rPr>
                    <w:t>BUG需要修复，根据需要进行补丁安装</w:t>
                  </w:r>
                  <w:r>
                    <w:rPr>
                      <w:rFonts w:ascii="宋体" w:hAnsi="宋体" w:cs="宋体" w:eastAsia="宋体"/>
                      <w:sz w:val="21"/>
                    </w:rPr>
                    <w:t>，</w:t>
                  </w:r>
                  <w:r>
                    <w:rPr>
                      <w:rFonts w:ascii="宋体" w:hAnsi="宋体" w:cs="宋体" w:eastAsia="宋体"/>
                      <w:sz w:val="21"/>
                    </w:rPr>
                    <w:t>安装完成后形成过程资料，资料包括但不限于有双方签字的纸质版记录、相关照片等，具体形式与内容需满足甲方内部管理制度要求。</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6</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微码升级</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提供硬件微码的合法升级服务，建立硬件微码档案，制订升级方案，</w:t>
                  </w:r>
                  <w:r>
                    <w:rPr>
                      <w:rFonts w:ascii="宋体" w:hAnsi="宋体" w:cs="宋体" w:eastAsia="宋体"/>
                      <w:sz w:val="21"/>
                    </w:rPr>
                    <w:t>升级方案须有双方签字确认。</w:t>
                  </w:r>
                  <w:r>
                    <w:rPr>
                      <w:rFonts w:ascii="宋体" w:hAnsi="宋体" w:cs="宋体" w:eastAsia="宋体"/>
                      <w:sz w:val="21"/>
                    </w:rPr>
                    <w:t>协助采购人实施升级工作</w:t>
                  </w:r>
                  <w:r>
                    <w:rPr>
                      <w:rFonts w:ascii="宋体" w:hAnsi="宋体" w:cs="宋体" w:eastAsia="宋体"/>
                      <w:sz w:val="21"/>
                    </w:rPr>
                    <w:t>，</w:t>
                  </w:r>
                  <w:r>
                    <w:rPr>
                      <w:rFonts w:ascii="宋体" w:hAnsi="宋体" w:cs="宋体" w:eastAsia="宋体"/>
                      <w:sz w:val="21"/>
                    </w:rPr>
                    <w:t>实施完成后形成过程资料，资料包括但不限于有双方签字的纸质版记录、相关照片等，具体形式与内容需满足甲方内部管理制度要求。</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7</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运行分析</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每月提供相关设备运行分析、性能评估和配置调整服务，提高系统的可靠性、可用性和整体性能。</w:t>
                  </w:r>
                  <w:r>
                    <w:rPr>
                      <w:rFonts w:ascii="宋体" w:hAnsi="宋体" w:cs="宋体" w:eastAsia="宋体"/>
                      <w:sz w:val="21"/>
                    </w:rPr>
                    <w:t>运行分析需形成分析报告并由双方签字确认，具体形式与内容需满足甲方内部管理制度要求。</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8</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容量分析</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每月提供相关设备容量分析和趋势预测服务，以提高系统容量评估的水平。</w:t>
                  </w:r>
                  <w:r>
                    <w:rPr>
                      <w:rFonts w:ascii="宋体" w:hAnsi="宋体" w:cs="宋体" w:eastAsia="宋体"/>
                      <w:sz w:val="21"/>
                    </w:rPr>
                    <w:t>容量分析需形成分析报告并由双方签字确认，具体形式与内容需满足甲方内部管理制度要求。</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9</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安全分析</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每月提交详细的安全性分析报告，提交预防性维护策略报告。</w:t>
                  </w:r>
                  <w:r>
                    <w:rPr>
                      <w:rFonts w:ascii="宋体" w:hAnsi="宋体" w:cs="宋体" w:eastAsia="宋体"/>
                      <w:sz w:val="21"/>
                    </w:rPr>
                    <w:t>报告需要有双方签字确认。</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10</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重大变更和重点时段保障支持</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1"/>
                      <w:color w:val="000000"/>
                    </w:rPr>
                    <w:t>在重大系统变更和重点时段保障期间，服务提供方应提前</w:t>
                  </w:r>
                  <w:r>
                    <w:rPr>
                      <w:rFonts w:ascii="宋体" w:hAnsi="宋体" w:cs="宋体" w:eastAsia="宋体"/>
                      <w:sz w:val="21"/>
                      <w:color w:val="000000"/>
                    </w:rPr>
                    <w:t>30个日历日开展系统健康检查，协助采购人实施参数调</w:t>
                  </w:r>
                  <w:r>
                    <w:rPr>
                      <w:rFonts w:ascii="宋体" w:hAnsi="宋体" w:cs="宋体" w:eastAsia="宋体"/>
                      <w:sz w:val="21"/>
                      <w:color w:val="000000"/>
                    </w:rPr>
                    <w:t>整和性能优化。</w:t>
                  </w:r>
                </w:p>
                <w:p>
                  <w:pPr>
                    <w:pStyle w:val="null3"/>
                    <w:numPr>
                      <w:ilvl w:val="0"/>
                      <w:numId w:val="1"/>
                    </w:numPr>
                    <w:jc w:val="both"/>
                  </w:pPr>
                  <w:r>
                    <w:rPr>
                      <w:rFonts w:ascii="宋体" w:hAnsi="宋体" w:cs="宋体" w:eastAsia="宋体"/>
                      <w:sz w:val="21"/>
                      <w:color w:val="000000"/>
                    </w:rPr>
                    <w:t>投标方需承诺配合支持采购方完成等级保护测评等工作。</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r>
                    <w:rPr>
                      <w:rFonts w:ascii="宋体" w:hAnsi="宋体" w:cs="宋体" w:eastAsia="宋体"/>
                      <w:sz w:val="21"/>
                      <w:color w:val="000000"/>
                    </w:rPr>
                    <w:t>1</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安全设备特征库升级</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color w:val="000000"/>
                    </w:rPr>
                    <w:t>需对维保清单里的安全设备提供所需要的为期</w:t>
                  </w:r>
                  <w:r>
                    <w:rPr>
                      <w:rFonts w:ascii="宋体" w:hAnsi="宋体" w:cs="宋体" w:eastAsia="宋体"/>
                      <w:sz w:val="21"/>
                      <w:color w:val="000000"/>
                    </w:rPr>
                    <w:t>1年的特征库、病毒库升级服务；</w:t>
                  </w:r>
                  <w:r>
                    <w:rPr>
                      <w:rFonts w:ascii="宋体" w:hAnsi="宋体" w:cs="宋体" w:eastAsia="宋体"/>
                      <w:sz w:val="21"/>
                    </w:rPr>
                    <w:t>升级完成后形成过程资料，资料包括但不限于有双方签字的纸质版记录、相关照片等，具体形式与内容需满足甲方内部管理制度要求</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r>
                    <w:rPr>
                      <w:rFonts w:ascii="宋体" w:hAnsi="宋体" w:cs="宋体" w:eastAsia="宋体"/>
                      <w:sz w:val="21"/>
                      <w:color w:val="000000"/>
                    </w:rPr>
                    <w:t>2</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定期服务报告</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color w:val="000000"/>
                    </w:rPr>
                    <w:t>1.每月定期提交服务报告，总结评估阶段服务情况与服务质量，对存在的服务问题提出改进方案。</w:t>
                  </w:r>
                  <w:r>
                    <w:rPr>
                      <w:rFonts w:ascii="宋体" w:hAnsi="宋体" w:cs="宋体" w:eastAsia="宋体"/>
                      <w:sz w:val="21"/>
                    </w:rPr>
                    <w:t>服务报告需有双方签字确认。</w:t>
                  </w:r>
                </w:p>
                <w:p>
                  <w:pPr>
                    <w:pStyle w:val="null3"/>
                    <w:jc w:val="both"/>
                  </w:pPr>
                  <w:r>
                    <w:rPr>
                      <w:rFonts w:ascii="宋体" w:hAnsi="宋体" w:cs="宋体" w:eastAsia="宋体"/>
                      <w:sz w:val="21"/>
                      <w:color w:val="000000"/>
                    </w:rPr>
                    <w:t>2.详细描述软硬件系统在巡检中发现的故障和问题，分析报告故障产生的原因，排除措施、运行质量效果。</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r>
                    <w:rPr>
                      <w:rFonts w:ascii="宋体" w:hAnsi="宋体" w:cs="宋体" w:eastAsia="宋体"/>
                      <w:sz w:val="21"/>
                      <w:color w:val="000000"/>
                    </w:rPr>
                    <w:t>3</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培训</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1"/>
                      <w:color w:val="000000"/>
                    </w:rPr>
                    <w:t>为医院相关工作人员提供</w:t>
                  </w:r>
                  <w:r>
                    <w:rPr>
                      <w:rFonts w:ascii="宋体" w:hAnsi="宋体" w:cs="宋体" w:eastAsia="宋体"/>
                      <w:sz w:val="21"/>
                      <w:color w:val="000000"/>
                    </w:rPr>
                    <w:t>≥20小时/年系统运行维护培训。</w:t>
                  </w:r>
                  <w:r>
                    <w:rPr>
                      <w:rFonts w:ascii="宋体" w:hAnsi="宋体" w:cs="宋体" w:eastAsia="宋体"/>
                      <w:sz w:val="21"/>
                      <w:color w:val="000000"/>
                    </w:rPr>
                    <w:t>形成培训记录，并有双方签字确认。</w:t>
                  </w:r>
                </w:p>
                <w:p>
                  <w:pPr>
                    <w:pStyle w:val="null3"/>
                    <w:numPr>
                      <w:ilvl w:val="0"/>
                      <w:numId w:val="1"/>
                    </w:numPr>
                    <w:jc w:val="both"/>
                  </w:pPr>
                  <w:r>
                    <w:rPr>
                      <w:rFonts w:ascii="宋体" w:hAnsi="宋体" w:cs="宋体" w:eastAsia="宋体"/>
                      <w:sz w:val="21"/>
                    </w:rPr>
                    <w:t>投标方需承担采购方人员参加如下课程的培训学习经费，包括</w:t>
                  </w:r>
                  <w:r>
                    <w:rPr>
                      <w:rFonts w:ascii="宋体" w:hAnsi="宋体" w:cs="宋体" w:eastAsia="宋体"/>
                      <w:sz w:val="21"/>
                      <w:color w:val="000000"/>
                    </w:rPr>
                    <w:t>CISAW或CISP安全运维、应急服务、</w:t>
                  </w:r>
                  <w:r>
                    <w:rPr>
                      <w:rFonts w:ascii="宋体" w:hAnsi="宋体" w:cs="宋体" w:eastAsia="宋体"/>
                      <w:sz w:val="21"/>
                    </w:rPr>
                    <w:t>云安全</w:t>
                  </w:r>
                  <w:r>
                    <w:rPr>
                      <w:rFonts w:ascii="宋体" w:hAnsi="宋体" w:cs="宋体" w:eastAsia="宋体"/>
                      <w:sz w:val="21"/>
                      <w:color w:val="000000"/>
                    </w:rPr>
                    <w:t>、</w:t>
                  </w:r>
                  <w:r>
                    <w:rPr>
                      <w:rFonts w:ascii="宋体" w:hAnsi="宋体" w:cs="宋体" w:eastAsia="宋体"/>
                      <w:sz w:val="21"/>
                    </w:rPr>
                    <w:t>物联网安全</w:t>
                  </w:r>
                  <w:r>
                    <w:rPr>
                      <w:rFonts w:ascii="宋体" w:hAnsi="宋体" w:cs="宋体" w:eastAsia="宋体"/>
                      <w:sz w:val="21"/>
                      <w:color w:val="000000"/>
                    </w:rPr>
                    <w:t>方向培训及认证</w:t>
                  </w:r>
                  <w:r>
                    <w:rPr>
                      <w:rFonts w:ascii="宋体" w:hAnsi="宋体" w:cs="宋体" w:eastAsia="宋体"/>
                      <w:sz w:val="21"/>
                      <w:color w:val="000000"/>
                    </w:rPr>
                    <w:t>1名</w:t>
                  </w:r>
                  <w:r>
                    <w:rPr>
                      <w:rFonts w:ascii="宋体" w:hAnsi="宋体" w:cs="宋体" w:eastAsia="宋体"/>
                      <w:sz w:val="21"/>
                      <w:color w:val="000000"/>
                    </w:rPr>
                    <w:t>，</w:t>
                  </w:r>
                  <w:r>
                    <w:rPr>
                      <w:rFonts w:ascii="宋体" w:hAnsi="宋体" w:cs="宋体" w:eastAsia="宋体"/>
                      <w:sz w:val="21"/>
                    </w:rPr>
                    <w:t>并协助甲方人员参加认证考试或取得对应证书的相关事宜。</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r>
                    <w:rPr>
                      <w:rFonts w:ascii="宋体" w:hAnsi="宋体" w:cs="宋体" w:eastAsia="宋体"/>
                      <w:sz w:val="21"/>
                      <w:color w:val="000000"/>
                    </w:rPr>
                    <w:t>4</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新购产品</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w:t>
                  </w:r>
                  <w:r>
                    <w:rPr>
                      <w:rFonts w:ascii="宋体" w:hAnsi="宋体" w:cs="宋体" w:eastAsia="宋体"/>
                      <w:sz w:val="21"/>
                      <w:color w:val="000000"/>
                    </w:rPr>
                    <w:t>结合甲方现有需求，更换现有的天玥网关（堡垒机）</w:t>
                  </w:r>
                  <w:r>
                    <w:rPr>
                      <w:rFonts w:ascii="宋体" w:hAnsi="宋体" w:cs="宋体" w:eastAsia="宋体"/>
                      <w:sz w:val="21"/>
                      <w:color w:val="000000"/>
                    </w:rPr>
                    <w:t>1台</w:t>
                  </w:r>
                  <w:r>
                    <w:rPr>
                      <w:rFonts w:ascii="宋体" w:hAnsi="宋体" w:cs="宋体" w:eastAsia="宋体"/>
                      <w:sz w:val="21"/>
                      <w:color w:val="000000"/>
                    </w:rPr>
                    <w:t>，</w:t>
                  </w:r>
                  <w:r>
                    <w:rPr>
                      <w:rFonts w:ascii="宋体" w:hAnsi="宋体" w:cs="宋体" w:eastAsia="宋体"/>
                      <w:sz w:val="21"/>
                      <w:color w:val="000000"/>
                    </w:rPr>
                    <w:t>更换堡垒机配置不得低于医院现有配置，堡垒机产品费用及更换费用</w:t>
                  </w:r>
                  <w:r>
                    <w:rPr>
                      <w:rFonts w:ascii="宋体" w:hAnsi="宋体" w:cs="宋体" w:eastAsia="宋体"/>
                      <w:sz w:val="21"/>
                    </w:rPr>
                    <w:t>包含在项目总费用内</w:t>
                  </w:r>
                  <w:r>
                    <w:rPr>
                      <w:rFonts w:ascii="宋体" w:hAnsi="宋体" w:cs="宋体" w:eastAsia="宋体"/>
                      <w:sz w:val="21"/>
                      <w:color w:val="000000"/>
                    </w:rPr>
                    <w:t>。</w:t>
                  </w:r>
                </w:p>
                <w:p>
                  <w:pPr>
                    <w:pStyle w:val="null3"/>
                    <w:jc w:val="both"/>
                  </w:pPr>
                  <w:r>
                    <w:rPr>
                      <w:rFonts w:ascii="宋体" w:hAnsi="宋体" w:cs="宋体" w:eastAsia="宋体"/>
                      <w:sz w:val="21"/>
                      <w:color w:val="000000"/>
                    </w:rPr>
                    <w:t>2.</w:t>
                  </w:r>
                  <w:r>
                    <w:rPr>
                      <w:rFonts w:ascii="宋体" w:hAnsi="宋体" w:cs="宋体" w:eastAsia="宋体"/>
                      <w:sz w:val="21"/>
                      <w:color w:val="000000"/>
                    </w:rPr>
                    <w:t>新增网神</w:t>
                  </w:r>
                  <w:r>
                    <w:rPr>
                      <w:rFonts w:ascii="宋体" w:hAnsi="宋体" w:cs="宋体" w:eastAsia="宋体"/>
                      <w:sz w:val="21"/>
                      <w:color w:val="000000"/>
                    </w:rPr>
                    <w:t>/网神SecFox日志收集与分析系统LAS-R53M的授权各25个，同时评估现有硬件是否支持</w:t>
                  </w:r>
                  <w:r>
                    <w:rPr>
                      <w:rFonts w:ascii="宋体" w:hAnsi="宋体" w:cs="宋体" w:eastAsia="宋体"/>
                      <w:sz w:val="21"/>
                      <w:color w:val="000000"/>
                    </w:rPr>
                    <w:t>，</w:t>
                  </w:r>
                  <w:r>
                    <w:rPr>
                      <w:rFonts w:ascii="宋体" w:hAnsi="宋体" w:cs="宋体" w:eastAsia="宋体"/>
                      <w:sz w:val="21"/>
                      <w:color w:val="000000"/>
                    </w:rPr>
                    <w:t>费用</w:t>
                  </w:r>
                  <w:r>
                    <w:rPr>
                      <w:rFonts w:ascii="宋体" w:hAnsi="宋体" w:cs="宋体" w:eastAsia="宋体"/>
                      <w:sz w:val="21"/>
                    </w:rPr>
                    <w:t>包含在项目总费用内</w:t>
                  </w:r>
                  <w:r>
                    <w:rPr>
                      <w:rFonts w:ascii="宋体" w:hAnsi="宋体" w:cs="宋体" w:eastAsia="宋体"/>
                      <w:sz w:val="21"/>
                      <w:color w:val="000000"/>
                    </w:rPr>
                    <w:t>。</w:t>
                  </w:r>
                </w:p>
                <w:p>
                  <w:pPr>
                    <w:pStyle w:val="null3"/>
                    <w:jc w:val="both"/>
                  </w:pPr>
                  <w:r>
                    <w:rPr>
                      <w:rFonts w:ascii="宋体" w:hAnsi="宋体" w:cs="宋体" w:eastAsia="宋体"/>
                      <w:sz w:val="21"/>
                      <w:color w:val="000000"/>
                    </w:rPr>
                    <w:t>3.</w:t>
                  </w:r>
                  <w:r>
                    <w:rPr>
                      <w:rFonts w:ascii="宋体" w:hAnsi="宋体" w:cs="宋体" w:eastAsia="宋体"/>
                      <w:sz w:val="21"/>
                      <w:color w:val="000000"/>
                    </w:rPr>
                    <w:t>1台</w:t>
                  </w:r>
                  <w:r>
                    <w:rPr>
                      <w:rFonts w:ascii="宋体" w:hAnsi="宋体" w:cs="宋体" w:eastAsia="宋体"/>
                      <w:sz w:val="21"/>
                      <w:color w:val="000000"/>
                    </w:rPr>
                    <w:t>企业级防火墙，配置不低于</w:t>
                  </w:r>
                  <w:r>
                    <w:rPr>
                      <w:rFonts w:ascii="宋体" w:hAnsi="宋体" w:cs="宋体" w:eastAsia="宋体"/>
                      <w:sz w:val="21"/>
                      <w:color w:val="000000"/>
                    </w:rPr>
                    <w:t>新华三</w:t>
                  </w:r>
                  <w:r>
                    <w:rPr>
                      <w:rFonts w:ascii="宋体" w:hAnsi="宋体" w:cs="宋体" w:eastAsia="宋体"/>
                      <w:sz w:val="21"/>
                      <w:color w:val="000000"/>
                    </w:rPr>
                    <w:t>/Secpath F1000 AK115；核心汇聚交换机的电源模块、万兆板卡、千兆板卡等各5块；10台接入交换机；2台AP接入交换机（</w:t>
                  </w:r>
                  <w:r>
                    <w:rPr>
                      <w:rFonts w:ascii="宋体" w:hAnsi="宋体" w:cs="宋体" w:eastAsia="宋体"/>
                      <w:sz w:val="21"/>
                      <w:color w:val="000000"/>
                    </w:rPr>
                    <w:t>配置不低于</w:t>
                  </w:r>
                  <w:r>
                    <w:rPr>
                      <w:rFonts w:ascii="宋体" w:hAnsi="宋体" w:cs="宋体" w:eastAsia="宋体"/>
                      <w:sz w:val="21"/>
                      <w:color w:val="000000"/>
                    </w:rPr>
                    <w:t>华三</w:t>
                  </w:r>
                  <w:r>
                    <w:rPr>
                      <w:rFonts w:ascii="宋体" w:hAnsi="宋体" w:cs="宋体" w:eastAsia="宋体"/>
                      <w:sz w:val="21"/>
                      <w:color w:val="000000"/>
                    </w:rPr>
                    <w:t>H3C WT1024-X-HI-24）；10台AP</w:t>
                  </w:r>
                  <w:r>
                    <w:rPr>
                      <w:rFonts w:ascii="calibri" w:hAnsi="calibri" w:cs="calibri" w:eastAsia="calibri"/>
                      <w:sz w:val="21"/>
                    </w:rPr>
                    <w:t xml:space="preserve"> </w:t>
                  </w:r>
                  <w:r>
                    <w:rPr>
                      <w:rFonts w:ascii="宋体" w:hAnsi="宋体" w:cs="宋体" w:eastAsia="宋体"/>
                      <w:sz w:val="21"/>
                      <w:color w:val="000000"/>
                    </w:rPr>
                    <w:t>WTU630和H3C WTU632H-IOT</w:t>
                  </w:r>
                  <w:r>
                    <w:rPr>
                      <w:rFonts w:ascii="宋体" w:hAnsi="宋体" w:cs="宋体" w:eastAsia="宋体"/>
                      <w:sz w:val="21"/>
                      <w:color w:val="000000"/>
                    </w:rPr>
                    <w:t>。</w:t>
                  </w:r>
                  <w:r>
                    <w:rPr>
                      <w:rFonts w:ascii="宋体" w:hAnsi="宋体" w:cs="宋体" w:eastAsia="宋体"/>
                      <w:sz w:val="21"/>
                      <w:color w:val="000000"/>
                    </w:rPr>
                    <w:t>以上设备及配件需适配采购方网络和安全体系，费用</w:t>
                  </w:r>
                  <w:r>
                    <w:rPr>
                      <w:rFonts w:ascii="宋体" w:hAnsi="宋体" w:cs="宋体" w:eastAsia="宋体"/>
                      <w:sz w:val="21"/>
                    </w:rPr>
                    <w:t>包含在项目总费用内</w:t>
                  </w:r>
                  <w:r>
                    <w:rPr>
                      <w:rFonts w:ascii="宋体" w:hAnsi="宋体" w:cs="宋体" w:eastAsia="宋体"/>
                      <w:sz w:val="21"/>
                      <w:color w:val="000000"/>
                    </w:rPr>
                    <w:t>。</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r>
                    <w:rPr>
                      <w:rFonts w:ascii="宋体" w:hAnsi="宋体" w:cs="宋体" w:eastAsia="宋体"/>
                      <w:sz w:val="21"/>
                      <w:color w:val="000000"/>
                    </w:rPr>
                    <w:t>6</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应急服务</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1.当采购单位网络及网络安全出现中断或无法正常运转时，1小时内恢复。如超过1小时应及时与采购单位沟通，并且采取相应的应急措施，确保业务顺畅运行。</w:t>
                  </w:r>
                </w:p>
                <w:p>
                  <w:pPr>
                    <w:pStyle w:val="null3"/>
                    <w:jc w:val="left"/>
                  </w:pPr>
                  <w:r>
                    <w:rPr>
                      <w:rFonts w:ascii="宋体" w:hAnsi="宋体" w:cs="宋体" w:eastAsia="宋体"/>
                      <w:sz w:val="21"/>
                      <w:color w:val="000000"/>
                    </w:rPr>
                    <w:t>2.提供网络灾难或故障的应急演练服务，包括但不限于链路攻击维护、核心设备更换和线路切换等。</w:t>
                  </w:r>
                </w:p>
                <w:p>
                  <w:pPr>
                    <w:pStyle w:val="null3"/>
                    <w:jc w:val="left"/>
                  </w:pPr>
                  <w:r>
                    <w:rPr>
                      <w:rFonts w:ascii="宋体" w:hAnsi="宋体" w:cs="宋体" w:eastAsia="宋体"/>
                      <w:sz w:val="21"/>
                      <w:color w:val="000000"/>
                    </w:rPr>
                    <w:t>3.协助采购单位参与“国家网络安全攻防演练活动”，并完成安全漏洞修复，提升采购单位整体网络安全水平。</w:t>
                  </w:r>
                </w:p>
              </w:tc>
            </w:tr>
          </w:tbl>
          <w:p>
            <w:pPr>
              <w:pStyle w:val="null3"/>
            </w:pPr>
            <w:r>
              <w:rPr/>
              <w:t xml:space="preserve"> </w:t>
            </w:r>
          </w:p>
          <w:p>
            <w:pPr>
              <w:pStyle w:val="null3"/>
            </w:pPr>
            <w:r>
              <w:rPr/>
              <w:t xml:space="preserve"> </w:t>
            </w:r>
          </w:p>
          <w:p>
            <w:pPr>
              <w:pStyle w:val="null3"/>
            </w:pPr>
            <w:r>
              <w:rPr/>
              <w:t xml:space="preserve"> </w:t>
            </w:r>
          </w:p>
        </w:tc>
      </w:tr>
      <w:tr>
        <w:tc>
          <w:tcPr>
            <w:tcW w:type="dxa" w:w="2769"/>
          </w:tcPr>
          <w:p/>
        </w:tc>
        <w:tc>
          <w:tcPr>
            <w:tcW w:type="dxa" w:w="2769"/>
          </w:tcPr>
          <w:p>
            <w:pPr>
              <w:pStyle w:val="null3"/>
            </w:pPr>
            <w:r>
              <w:rPr/>
              <w:t>3</w:t>
            </w:r>
          </w:p>
        </w:tc>
        <w:tc>
          <w:tcPr>
            <w:tcW w:type="dxa" w:w="2769"/>
          </w:tcPr>
          <w:p>
            <w:pPr>
              <w:pStyle w:val="null3"/>
              <w:ind w:left="420"/>
              <w:jc w:val="both"/>
            </w:pPr>
            <w:r>
              <w:rPr>
                <w:rFonts w:ascii="宋体" w:hAnsi="宋体" w:cs="宋体" w:eastAsia="宋体"/>
                <w:sz w:val="18"/>
                <w:b/>
                <w:color w:val="000000"/>
              </w:rPr>
              <w:t>附件：网络及安全</w:t>
            </w:r>
          </w:p>
          <w:tbl>
            <w:tblPr>
              <w:tblBorders>
                <w:top w:val="none" w:color="000000" w:sz="4"/>
                <w:left w:val="none" w:color="000000" w:sz="4"/>
                <w:bottom w:val="none" w:color="000000" w:sz="4"/>
                <w:right w:val="none" w:color="000000" w:sz="4"/>
                <w:insideH w:val="none"/>
                <w:insideV w:val="none"/>
              </w:tblBorders>
            </w:tblPr>
            <w:tblGrid>
              <w:gridCol w:w="314"/>
              <w:gridCol w:w="691"/>
              <w:gridCol w:w="1001"/>
              <w:gridCol w:w="188"/>
              <w:gridCol w:w="188"/>
            </w:tblGrid>
            <w:tr>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序号</w:t>
                  </w:r>
                </w:p>
              </w:tc>
              <w:tc>
                <w:tcPr>
                  <w:tcW w:type="dxa" w:w="6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硬件设备</w:t>
                  </w:r>
                  <w:r>
                    <w:rPr>
                      <w:rFonts w:ascii="宋体" w:hAnsi="宋体" w:cs="宋体" w:eastAsia="宋体"/>
                      <w:sz w:val="21"/>
                      <w:b/>
                      <w:color w:val="000000"/>
                    </w:rPr>
                    <w:t>/软件</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型号规格</w:t>
                  </w:r>
                </w:p>
              </w:tc>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单位</w:t>
                  </w:r>
                </w:p>
              </w:tc>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数量</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核心交换机</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H3C S12508</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4</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汇聚交换机</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H3C S7506E-V</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接入交换机（配置</w:t>
                  </w:r>
                  <w:r>
                    <w:rPr>
                      <w:rFonts w:ascii="宋体" w:hAnsi="宋体" w:cs="宋体" w:eastAsia="宋体"/>
                      <w:sz w:val="21"/>
                      <w:color w:val="000000"/>
                    </w:rPr>
                    <w:t>1）</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H3C S5120-52C-PWR-EI</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16</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4</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接入交换机（配置</w:t>
                  </w:r>
                  <w:r>
                    <w:rPr>
                      <w:rFonts w:ascii="宋体" w:hAnsi="宋体" w:cs="宋体" w:eastAsia="宋体"/>
                      <w:sz w:val="21"/>
                      <w:color w:val="000000"/>
                    </w:rPr>
                    <w:t>2）</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H3C S5120-52C-PWR-EI</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9</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5</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接入交换机（配置</w:t>
                  </w:r>
                  <w:r>
                    <w:rPr>
                      <w:rFonts w:ascii="宋体" w:hAnsi="宋体" w:cs="宋体" w:eastAsia="宋体"/>
                      <w:sz w:val="21"/>
                      <w:color w:val="000000"/>
                    </w:rPr>
                    <w:t>3）</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H3C S5120-52C-PWR-EI</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75</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6</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云管理平台</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H3C CAS云计算管理平台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套</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7</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防火墙</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F1000-AK145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8</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防火墙</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F1000-AK115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6</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9</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交换机</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S5130S-10P-EI</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4</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10</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交换机</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S5130S-28P-EI</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6</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11</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交换机</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S5130S-52P-EI</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12</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交换机</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S5130S-28P-HPWR-EI</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13</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交换机</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S5130S-52S-PWR-EI</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14</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光纤交换机</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BR-310-B-0008</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15</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无线设备</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RG-AP520（W2）</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16</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运维管理系统</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网利友联</w:t>
                  </w:r>
                  <w:r>
                    <w:rPr>
                      <w:rFonts w:ascii="宋体" w:hAnsi="宋体" w:cs="宋体" w:eastAsia="宋体"/>
                      <w:sz w:val="21"/>
                      <w:color w:val="000000"/>
                    </w:rPr>
                    <w:t>PIGOSS BSM</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套</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17</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高级威胁感知及攻击溯源数据分析平台</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天眼</w:t>
                  </w:r>
                  <w:r>
                    <w:rPr>
                      <w:rFonts w:ascii="宋体" w:hAnsi="宋体" w:cs="宋体" w:eastAsia="宋体"/>
                      <w:sz w:val="21"/>
                      <w:color w:val="000000"/>
                    </w:rPr>
                    <w:t>TSS10000-GM威胁感知系统</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18</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互联网出口链路健康监测及流量负载均衡系统</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网神</w:t>
                  </w:r>
                  <w:r>
                    <w:rPr>
                      <w:rFonts w:ascii="宋体" w:hAnsi="宋体" w:cs="宋体" w:eastAsia="宋体"/>
                      <w:sz w:val="21"/>
                      <w:color w:val="000000"/>
                    </w:rPr>
                    <w:t>SecADS 3600应用交付系统E1500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2</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19</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日志服务器</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网神</w:t>
                  </w:r>
                  <w:r>
                    <w:rPr>
                      <w:rFonts w:ascii="宋体" w:hAnsi="宋体" w:cs="宋体" w:eastAsia="宋体"/>
                      <w:sz w:val="21"/>
                      <w:color w:val="000000"/>
                    </w:rPr>
                    <w:t>SecFox日志收集与分析系统LAS-R53M</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2</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20</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抗拒绝服务系统</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网神</w:t>
                  </w:r>
                  <w:r>
                    <w:rPr>
                      <w:rFonts w:ascii="宋体" w:hAnsi="宋体" w:cs="宋体" w:eastAsia="宋体"/>
                      <w:sz w:val="21"/>
                      <w:color w:val="000000"/>
                    </w:rPr>
                    <w:t>SecDDoS 3600 抗拒绝服务系统F1500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21</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外联业务</w:t>
                  </w:r>
                  <w:r>
                    <w:rPr>
                      <w:rFonts w:ascii="宋体" w:hAnsi="宋体" w:cs="宋体" w:eastAsia="宋体"/>
                      <w:sz w:val="21"/>
                      <w:color w:val="000000"/>
                    </w:rPr>
                    <w:t>IPS设备</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网神</w:t>
                  </w:r>
                  <w:r>
                    <w:rPr>
                      <w:rFonts w:ascii="宋体" w:hAnsi="宋体" w:cs="宋体" w:eastAsia="宋体"/>
                      <w:sz w:val="21"/>
                      <w:color w:val="000000"/>
                    </w:rPr>
                    <w:t>SecIPS 3600入侵防御系统P5000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22</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医疗设备安全隔离防火墙</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新华三</w:t>
                  </w:r>
                  <w:r>
                    <w:rPr>
                      <w:rFonts w:ascii="宋体" w:hAnsi="宋体" w:cs="宋体" w:eastAsia="宋体"/>
                      <w:sz w:val="21"/>
                      <w:color w:val="000000"/>
                    </w:rPr>
                    <w:t>/Secpath F1000 AK115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3</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23</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设备安全防护系统</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网神</w:t>
                  </w:r>
                  <w:r>
                    <w:rPr>
                      <w:rFonts w:ascii="宋体" w:hAnsi="宋体" w:cs="宋体" w:eastAsia="宋体"/>
                      <w:sz w:val="21"/>
                      <w:color w:val="000000"/>
                    </w:rPr>
                    <w:t>/JOWTO-YUNSUO</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套</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24</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Web应用防火墙</w:t>
                  </w:r>
                  <w:r>
                    <w:rPr>
                      <w:rFonts w:ascii="宋体" w:hAnsi="宋体" w:cs="宋体" w:eastAsia="宋体"/>
                      <w:sz w:val="21"/>
                      <w:color w:val="000000"/>
                    </w:rPr>
                    <w:t>？</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网神</w:t>
                  </w:r>
                  <w:r>
                    <w:rPr>
                      <w:rFonts w:ascii="宋体" w:hAnsi="宋体" w:cs="宋体" w:eastAsia="宋体"/>
                      <w:sz w:val="21"/>
                      <w:color w:val="000000"/>
                    </w:rPr>
                    <w:t>/网神SecWAF 3600 Web应用防火墙系统</w:t>
                  </w:r>
                  <w:r>
                    <w:rPr>
                      <w:rFonts w:ascii="宋体" w:hAnsi="宋体" w:cs="宋体" w:eastAsia="宋体"/>
                      <w:sz w:val="21"/>
                    </w:rPr>
                    <w:t>W5000-U015P</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25</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内网核心交换机</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H3C S12508-XS</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2</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26</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无线控制器</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H3C WX5560H</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27</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中心</w:t>
                  </w:r>
                  <w:r>
                    <w:rPr>
                      <w:rFonts w:ascii="宋体" w:hAnsi="宋体" w:cs="宋体" w:eastAsia="宋体"/>
                      <w:sz w:val="21"/>
                      <w:color w:val="000000"/>
                    </w:rPr>
                    <w:t>AP</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H3C WT1024-X-HI-24</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14</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28</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放装</w:t>
                  </w:r>
                  <w:r>
                    <w:rPr>
                      <w:rFonts w:ascii="宋体" w:hAnsi="宋体" w:cs="宋体" w:eastAsia="宋体"/>
                      <w:sz w:val="21"/>
                      <w:color w:val="000000"/>
                    </w:rPr>
                    <w:t>AP</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H3C  WTU630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35</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29</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面板</w:t>
                  </w:r>
                  <w:r>
                    <w:rPr>
                      <w:rFonts w:ascii="宋体" w:hAnsi="宋体" w:cs="宋体" w:eastAsia="宋体"/>
                      <w:sz w:val="21"/>
                      <w:color w:val="000000"/>
                    </w:rPr>
                    <w:t>AP</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 xml:space="preserve"> </w:t>
                  </w:r>
                  <w:r>
                    <w:rPr>
                      <w:rFonts w:ascii="宋体" w:hAnsi="宋体" w:cs="宋体" w:eastAsia="宋体"/>
                      <w:sz w:val="21"/>
                      <w:color w:val="000000"/>
                    </w:rPr>
                    <w:t>H3C WTU632H-IOT</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135</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30</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超融合节点</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Dell  VxRail P570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2</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31</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24口POE交换机</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H3C S5130S-28S-PWR-EI</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24</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32</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48口POE交换机</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H3C S5130S-52S-PWR-EI</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17</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33</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准入系统</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启明星辰：天清网络接入控制系统</w:t>
                  </w:r>
                  <w:r>
                    <w:rPr>
                      <w:rFonts w:ascii="宋体" w:hAnsi="宋体" w:cs="宋体" w:eastAsia="宋体"/>
                      <w:sz w:val="21"/>
                      <w:color w:val="000000"/>
                    </w:rPr>
                    <w:t>V3.0 NAC6000-3500，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34</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VPN防火墙</w:t>
                  </w:r>
                </w:p>
                <w:p>
                  <w:pPr>
                    <w:pStyle w:val="null3"/>
                    <w:jc w:val="left"/>
                  </w:pPr>
                  <w:r>
                    <w:rPr>
                      <w:rFonts w:ascii="宋体" w:hAnsi="宋体" w:cs="宋体" w:eastAsia="宋体"/>
                      <w:sz w:val="21"/>
                      <w:color w:val="000000"/>
                    </w:rPr>
                    <w:t>（本院、西咸各一台）</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华为</w:t>
                  </w:r>
                  <w:r>
                    <w:rPr>
                      <w:rFonts w:ascii="宋体" w:hAnsi="宋体" w:cs="宋体" w:eastAsia="宋体"/>
                      <w:sz w:val="21"/>
                      <w:color w:val="000000"/>
                    </w:rPr>
                    <w:t>USG6530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2</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35</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外联业务出口防火墙</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H3C SECPATH F1000-AK115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2</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36</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汇聚交换机</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华为</w:t>
                  </w:r>
                  <w:r>
                    <w:rPr>
                      <w:rFonts w:ascii="宋体" w:hAnsi="宋体" w:cs="宋体" w:eastAsia="宋体"/>
                      <w:sz w:val="21"/>
                      <w:color w:val="000000"/>
                    </w:rPr>
                    <w:t>S7712</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4</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37</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网闸</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网域星云</w:t>
                  </w:r>
                  <w:r>
                    <w:rPr>
                      <w:rFonts w:ascii="宋体" w:hAnsi="宋体" w:cs="宋体" w:eastAsia="宋体"/>
                      <w:sz w:val="21"/>
                      <w:color w:val="000000"/>
                    </w:rPr>
                    <w:t>SIS-3000-Z4201-HA</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38</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外网堡垒机</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网域星云</w:t>
                  </w:r>
                  <w:r>
                    <w:rPr>
                      <w:rFonts w:ascii="宋体" w:hAnsi="宋体" w:cs="宋体" w:eastAsia="宋体"/>
                      <w:sz w:val="21"/>
                      <w:color w:val="000000"/>
                    </w:rPr>
                    <w:t>LA-DS-3300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39</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VPN医院端</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华为</w:t>
                  </w:r>
                  <w:r>
                    <w:rPr>
                      <w:rFonts w:ascii="宋体" w:hAnsi="宋体" w:cs="宋体" w:eastAsia="宋体"/>
                      <w:sz w:val="21"/>
                      <w:color w:val="000000"/>
                    </w:rPr>
                    <w:t>USG6530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台</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w:t>
                  </w:r>
                </w:p>
              </w:tc>
            </w:tr>
          </w:tbl>
          <w:p/>
        </w:tc>
      </w:tr>
    </w:tbl>
    <w:p>
      <w:pPr>
        <w:pStyle w:val="null3"/>
      </w:pPr>
      <w:r>
        <w:rPr/>
        <w:t>采购包3：</w:t>
      </w:r>
    </w:p>
    <w:p>
      <w:pPr>
        <w:pStyle w:val="null3"/>
      </w:pPr>
      <w:r>
        <w:rPr/>
        <w:t>供应商报价不允许超过标的金额</w:t>
      </w:r>
    </w:p>
    <w:p>
      <w:pPr>
        <w:pStyle w:val="null3"/>
      </w:pPr>
      <w:r>
        <w:rPr/>
        <w:t>（招单价的）供应商报价不允许超过标的单价</w:t>
      </w:r>
    </w:p>
    <w:p>
      <w:pPr>
        <w:pStyle w:val="null3"/>
      </w:pPr>
      <w:r>
        <w:rPr/>
        <w:t>标的名称：数据机房附属设备设施维护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center"/>
            </w:pPr>
            <w:r>
              <w:rPr>
                <w:rFonts w:ascii="方正小标宋简体" w:hAnsi="方正小标宋简体" w:cs="方正小标宋简体" w:eastAsia="方正小标宋简体"/>
                <w:sz w:val="32"/>
                <w:color w:val="000000"/>
              </w:rPr>
              <w:t>项目招标内容汇总表</w:t>
            </w:r>
            <w:r>
              <w:rPr>
                <w:rFonts w:ascii="方正小标宋简体" w:hAnsi="方正小标宋简体" w:cs="方正小标宋简体" w:eastAsia="方正小标宋简体"/>
                <w:sz w:val="32"/>
                <w:color w:val="000000"/>
              </w:rPr>
              <w:t>（</w:t>
            </w:r>
            <w:r>
              <w:rPr>
                <w:rFonts w:ascii="方正小标宋简体" w:hAnsi="方正小标宋简体" w:cs="方正小标宋简体" w:eastAsia="方正小标宋简体"/>
                <w:sz w:val="32"/>
                <w:color w:val="000000"/>
              </w:rPr>
              <w:t>第三包</w:t>
            </w:r>
            <w:r>
              <w:rPr>
                <w:rFonts w:ascii="方正小标宋简体" w:hAnsi="方正小标宋简体" w:cs="方正小标宋简体" w:eastAsia="方正小标宋简体"/>
                <w:sz w:val="32"/>
                <w:color w:val="000000"/>
              </w:rPr>
              <w:t>）</w:t>
            </w:r>
          </w:p>
          <w:tbl>
            <w:tblPr>
              <w:tblBorders>
                <w:top w:val="none" w:color="000000" w:sz="4"/>
                <w:left w:val="none" w:color="000000" w:sz="4"/>
                <w:bottom w:val="none" w:color="000000" w:sz="4"/>
                <w:right w:val="none" w:color="000000" w:sz="4"/>
                <w:insideH w:val="none"/>
                <w:insideV w:val="none"/>
              </w:tblBorders>
            </w:tblPr>
            <w:tblGrid>
              <w:gridCol w:w="153"/>
              <w:gridCol w:w="209"/>
              <w:gridCol w:w="1891"/>
              <w:gridCol w:w="299"/>
            </w:tblGrid>
            <w:tr>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序号</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项目招标名称</w:t>
                  </w:r>
                </w:p>
              </w:tc>
              <w:tc>
                <w:tcPr>
                  <w:tcW w:type="dxa" w:w="18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项目招标内容</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预算</w:t>
                  </w:r>
                </w:p>
                <w:p>
                  <w:pPr>
                    <w:pStyle w:val="null3"/>
                    <w:jc w:val="center"/>
                  </w:pPr>
                  <w:r>
                    <w:rPr>
                      <w:rFonts w:ascii="宋体" w:hAnsi="宋体" w:cs="宋体" w:eastAsia="宋体"/>
                      <w:sz w:val="21"/>
                      <w:b/>
                      <w:color w:val="000000"/>
                    </w:rPr>
                    <w:t>（万元）</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数据机房附属设备设施维护</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住院楼二楼、门诊楼十七楼、门诊楼三楼、门诊楼一楼</w:t>
                  </w:r>
                  <w:r>
                    <w:rPr>
                      <w:rFonts w:ascii="宋体" w:hAnsi="宋体" w:cs="宋体" w:eastAsia="宋体"/>
                      <w:sz w:val="21"/>
                    </w:rPr>
                    <w:t>4个机房和所有弱电井中与信息处相关的设备设施，维保内容包括但不仅限于下述列举内容，未列举到的涉及机房系统基础设施、设备、新增的机房基础设施与维保相关内容均包含在本次维保范围之内。并协助后期机房各系统的升级改造的施工等工作。</w:t>
                  </w:r>
                </w:p>
                <w:p>
                  <w:pPr>
                    <w:pStyle w:val="null3"/>
                    <w:jc w:val="both"/>
                  </w:pPr>
                  <w:r>
                    <w:rPr>
                      <w:rFonts w:ascii="宋体" w:hAnsi="宋体" w:cs="宋体" w:eastAsia="宋体"/>
                      <w:sz w:val="21"/>
                    </w:rPr>
                    <w:t>（</w:t>
                  </w:r>
                  <w:r>
                    <w:rPr>
                      <w:rFonts w:ascii="宋体" w:hAnsi="宋体" w:cs="宋体" w:eastAsia="宋体"/>
                      <w:sz w:val="21"/>
                    </w:rPr>
                    <w:t>1）基础装修及其它设施.机房所有的墙面彩钢板及龙骨、防盗门、实心门、玻璃门、玻璃隔断、窗户、天花板吊顶及龙骨、防静电地板及支架、机房照明系统、墙面和地面保温层及防尘层、机房水立管的包裹板、所有设备落地支架（包括电池支架和空调室外机组支架和护栏），地板、照明、智能锁等的巡检保养、维护维修及更换。各机房内所包含的机柜、家具的维修、保养。</w:t>
                  </w:r>
                </w:p>
                <w:p>
                  <w:pPr>
                    <w:pStyle w:val="null3"/>
                    <w:jc w:val="both"/>
                  </w:pPr>
                  <w:r>
                    <w:rPr>
                      <w:rFonts w:ascii="宋体" w:hAnsi="宋体" w:cs="宋体" w:eastAsia="宋体"/>
                      <w:sz w:val="21"/>
                    </w:rPr>
                    <w:t>（</w:t>
                  </w:r>
                  <w:r>
                    <w:rPr>
                      <w:rFonts w:ascii="宋体" w:hAnsi="宋体" w:cs="宋体" w:eastAsia="宋体"/>
                      <w:sz w:val="21"/>
                    </w:rPr>
                    <w:t>2）UPS不间断电源系统。Liebert APM 150二台、ITA-10KVA两台、UHA3R-0400二台、ITA-10KVA一台、ITA-10KVA一台。包括UPS3001和蓄电池及相关配套设备的日常巡查和维护、故障诊断检修、器件更换和系统软件升级维护等。更换电池组5套，如系统的配件损坏须免费更换新配件，配件包括但不限于UPS电池。</w:t>
                  </w:r>
                </w:p>
                <w:p>
                  <w:pPr>
                    <w:pStyle w:val="null3"/>
                    <w:jc w:val="both"/>
                  </w:pPr>
                  <w:r>
                    <w:rPr>
                      <w:rFonts w:ascii="宋体" w:hAnsi="宋体" w:cs="宋体" w:eastAsia="宋体"/>
                      <w:sz w:val="21"/>
                    </w:rPr>
                    <w:t>（</w:t>
                  </w:r>
                  <w:r>
                    <w:rPr>
                      <w:rFonts w:ascii="宋体" w:hAnsi="宋体" w:cs="宋体" w:eastAsia="宋体"/>
                      <w:sz w:val="21"/>
                    </w:rPr>
                    <w:t>3）电气配电系统。包括所有配电柜、配电箱的器件和柜体日常巡查维护、故障诊断、检修和免费更换。器件包括但不限于所有柜内切换机构模块、空气开关、脱扣控制器、输入输出排、电气监控传感器、电量检测仪以及配电系统的末端工业连接器、连接线缆、PDU等。</w:t>
                  </w:r>
                </w:p>
                <w:p>
                  <w:pPr>
                    <w:pStyle w:val="null3"/>
                    <w:jc w:val="both"/>
                  </w:pPr>
                  <w:r>
                    <w:rPr>
                      <w:rFonts w:ascii="宋体" w:hAnsi="宋体" w:cs="宋体" w:eastAsia="宋体"/>
                      <w:sz w:val="21"/>
                    </w:rPr>
                    <w:t>（</w:t>
                  </w:r>
                  <w:r>
                    <w:rPr>
                      <w:rFonts w:ascii="宋体" w:hAnsi="宋体" w:cs="宋体" w:eastAsia="宋体"/>
                      <w:sz w:val="21"/>
                    </w:rPr>
                    <w:t>4）空调系统和供排水系统。包括精密空调CR035五台、DEM三台和CS005一台的室内外机组的所有部件、管线和附属配套设备设施的巡检保养、维护维修及更换。如系统配件损坏须免费更换新配件，配件包括但不限于设备的压缩机、中控主板和冷凝水管线，以及补充冷凝剂等。</w:t>
                  </w:r>
                </w:p>
                <w:p>
                  <w:pPr>
                    <w:pStyle w:val="null3"/>
                    <w:jc w:val="both"/>
                  </w:pPr>
                  <w:r>
                    <w:rPr>
                      <w:rFonts w:ascii="宋体" w:hAnsi="宋体" w:cs="宋体" w:eastAsia="宋体"/>
                      <w:sz w:val="21"/>
                    </w:rPr>
                    <w:t>（</w:t>
                  </w:r>
                  <w:r>
                    <w:rPr>
                      <w:rFonts w:ascii="宋体" w:hAnsi="宋体" w:cs="宋体" w:eastAsia="宋体"/>
                      <w:sz w:val="21"/>
                    </w:rPr>
                    <w:t>5）新风系统。包括新风系统风机、管道、防火阀、风量调节阀、送排风口、管道隔热棉、控制开关的巡检保养、维护维修及免费更换破损配件。</w:t>
                  </w:r>
                </w:p>
                <w:p>
                  <w:pPr>
                    <w:pStyle w:val="null3"/>
                    <w:jc w:val="both"/>
                  </w:pPr>
                  <w:r>
                    <w:rPr>
                      <w:rFonts w:ascii="宋体" w:hAnsi="宋体" w:cs="宋体" w:eastAsia="宋体"/>
                      <w:sz w:val="21"/>
                    </w:rPr>
                    <w:t>（</w:t>
                  </w:r>
                  <w:r>
                    <w:rPr>
                      <w:rFonts w:ascii="宋体" w:hAnsi="宋体" w:cs="宋体" w:eastAsia="宋体"/>
                      <w:sz w:val="21"/>
                    </w:rPr>
                    <w:t>6）消防系统。包括消防自动报警系统、自动灭火系统、消防压力容器以及附属和配套设备设施的巡检保养、维护维修及认证更换和所有损坏件的免费更换与系统调试</w:t>
                  </w:r>
                  <w:r>
                    <w:rPr>
                      <w:rFonts w:ascii="宋体" w:hAnsi="宋体" w:cs="宋体" w:eastAsia="宋体"/>
                      <w:sz w:val="21"/>
                    </w:rPr>
                    <w:t>。配合完成每年相关消防检查。</w:t>
                  </w:r>
                </w:p>
                <w:p>
                  <w:pPr>
                    <w:pStyle w:val="null3"/>
                    <w:jc w:val="both"/>
                  </w:pPr>
                  <w:r>
                    <w:rPr>
                      <w:rFonts w:ascii="宋体" w:hAnsi="宋体" w:cs="宋体" w:eastAsia="宋体"/>
                      <w:sz w:val="21"/>
                    </w:rPr>
                    <w:t>（</w:t>
                  </w:r>
                  <w:r>
                    <w:rPr>
                      <w:rFonts w:ascii="宋体" w:hAnsi="宋体" w:cs="宋体" w:eastAsia="宋体"/>
                      <w:sz w:val="21"/>
                    </w:rPr>
                    <w:t>7）防雷及接地系统。包括防雷器、静电泄漏网、汇流铜排、等电位均衡器及接地连接线的巡检保养、维护维修和提供有资质的检测报告。如有设备和配件破损须免费更换，并重新检测，提供检测报告。</w:t>
                  </w:r>
                </w:p>
                <w:p>
                  <w:pPr>
                    <w:pStyle w:val="null3"/>
                    <w:jc w:val="both"/>
                  </w:pPr>
                  <w:r>
                    <w:rPr>
                      <w:rFonts w:ascii="宋体" w:hAnsi="宋体" w:cs="宋体" w:eastAsia="宋体"/>
                      <w:sz w:val="21"/>
                    </w:rPr>
                    <w:t>（</w:t>
                  </w:r>
                  <w:r>
                    <w:rPr>
                      <w:rFonts w:ascii="宋体" w:hAnsi="宋体" w:cs="宋体" w:eastAsia="宋体"/>
                      <w:sz w:val="21"/>
                    </w:rPr>
                    <w:t>8）综合布线系统。包括机房和弱电井内部综合布线系统以及配套和附属设备设施的巡检保养、维护维修。如有破损须免费更换。</w:t>
                  </w:r>
                </w:p>
                <w:p>
                  <w:pPr>
                    <w:pStyle w:val="null3"/>
                    <w:jc w:val="both"/>
                  </w:pPr>
                  <w:r>
                    <w:rPr>
                      <w:rFonts w:ascii="宋体" w:hAnsi="宋体" w:cs="宋体" w:eastAsia="宋体"/>
                      <w:sz w:val="21"/>
                    </w:rPr>
                    <w:t>（</w:t>
                  </w:r>
                  <w:r>
                    <w:rPr>
                      <w:rFonts w:ascii="宋体" w:hAnsi="宋体" w:cs="宋体" w:eastAsia="宋体"/>
                      <w:sz w:val="21"/>
                    </w:rPr>
                    <w:t>9）门禁系统和视频监控系统。包括机房门禁系统和视频监控系统的软件和硬件，以及配套和附属设备设施的巡检保养、维护维修及更新。如有硬件损坏须免费更换，并确保软件系统的正常使用。</w:t>
                  </w:r>
                </w:p>
                <w:p>
                  <w:pPr>
                    <w:pStyle w:val="null3"/>
                    <w:jc w:val="both"/>
                  </w:pPr>
                  <w:r>
                    <w:rPr>
                      <w:rFonts w:ascii="宋体" w:hAnsi="宋体" w:cs="宋体" w:eastAsia="宋体"/>
                      <w:sz w:val="21"/>
                    </w:rPr>
                    <w:t>（</w:t>
                  </w:r>
                  <w:r>
                    <w:rPr>
                      <w:rFonts w:ascii="宋体" w:hAnsi="宋体" w:cs="宋体" w:eastAsia="宋体"/>
                      <w:sz w:val="21"/>
                    </w:rPr>
                    <w:t>10）照明系统。包括所有照明设备、镇流器、启辉器，以及安全出口灯、疏散灯及其开关、连接线路、套管、电器等的维护、维修和免费更换。</w:t>
                  </w:r>
                </w:p>
                <w:p>
                  <w:pPr>
                    <w:pStyle w:val="null3"/>
                    <w:jc w:val="both"/>
                  </w:pPr>
                  <w:r>
                    <w:rPr>
                      <w:rFonts w:ascii="宋体" w:hAnsi="宋体" w:cs="宋体" w:eastAsia="宋体"/>
                      <w:sz w:val="21"/>
                    </w:rPr>
                    <w:t>（</w:t>
                  </w:r>
                  <w:r>
                    <w:rPr>
                      <w:rFonts w:ascii="宋体" w:hAnsi="宋体" w:cs="宋体" w:eastAsia="宋体"/>
                      <w:sz w:val="21"/>
                    </w:rPr>
                    <w:t>11）库房整理、资料归档、设备器材搬运、垃圾清理。根据用户需求提供标签打印机和所需耗材，为机房所有设备、基础设施、跳线、电路、机柜、规章制度等进行标签、标牌、镜框等的制作、安装、粘贴。提供足量用品、备品、备件存放于机房。</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44.28</w:t>
                  </w:r>
                </w:p>
              </w:tc>
            </w:tr>
          </w:tbl>
          <w:p/>
        </w:tc>
      </w:tr>
      <w:tr>
        <w:tc>
          <w:tcPr>
            <w:tcW w:type="dxa" w:w="2769"/>
          </w:tcPr>
          <w:p/>
        </w:tc>
        <w:tc>
          <w:tcPr>
            <w:tcW w:type="dxa" w:w="2769"/>
          </w:tcPr>
          <w:p>
            <w:pPr>
              <w:pStyle w:val="null3"/>
            </w:pPr>
            <w:r>
              <w:rPr/>
              <w:t>2</w:t>
            </w:r>
          </w:p>
        </w:tc>
        <w:tc>
          <w:tcPr>
            <w:tcW w:type="dxa" w:w="2769"/>
          </w:tcPr>
          <w:p>
            <w:pPr>
              <w:pStyle w:val="null3"/>
              <w:jc w:val="center"/>
            </w:pPr>
            <w:r>
              <w:rPr>
                <w:rFonts w:ascii="方正小标宋简体" w:hAnsi="方正小标宋简体" w:cs="方正小标宋简体" w:eastAsia="方正小标宋简体"/>
                <w:sz w:val="32"/>
              </w:rPr>
              <w:t>项目招标需求汇总表</w:t>
            </w:r>
            <w:r>
              <w:rPr>
                <w:rFonts w:ascii="方正小标宋简体" w:hAnsi="方正小标宋简体" w:cs="方正小标宋简体" w:eastAsia="方正小标宋简体"/>
                <w:sz w:val="32"/>
              </w:rPr>
              <w:t>（</w:t>
            </w:r>
            <w:r>
              <w:rPr>
                <w:rFonts w:ascii="方正小标宋简体" w:hAnsi="方正小标宋简体" w:cs="方正小标宋简体" w:eastAsia="方正小标宋简体"/>
                <w:sz w:val="32"/>
              </w:rPr>
              <w:t>第三包</w:t>
            </w:r>
            <w:r>
              <w:rPr>
                <w:rFonts w:ascii="方正小标宋简体" w:hAnsi="方正小标宋简体" w:cs="方正小标宋简体" w:eastAsia="方正小标宋简体"/>
                <w:sz w:val="32"/>
              </w:rPr>
              <w:t>）</w:t>
            </w:r>
          </w:p>
          <w:tbl>
            <w:tblPr>
              <w:tblBorders>
                <w:top w:val="none" w:color="000000" w:sz="4"/>
                <w:left w:val="none" w:color="000000" w:sz="4"/>
                <w:bottom w:val="none" w:color="000000" w:sz="4"/>
                <w:right w:val="none" w:color="000000" w:sz="4"/>
                <w:insideH w:val="none"/>
                <w:insideV w:val="none"/>
              </w:tblBorders>
            </w:tblPr>
            <w:tblGrid>
              <w:gridCol w:w="131"/>
              <w:gridCol w:w="308"/>
              <w:gridCol w:w="2088"/>
            </w:tblGrid>
            <w:tr>
              <w:tc>
                <w:tcPr>
                  <w:tcW w:type="dxa" w:w="131"/>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宋体" w:hAnsi="宋体" w:cs="宋体" w:eastAsia="宋体"/>
                      <w:sz w:val="21"/>
                      <w:b/>
                    </w:rPr>
                    <w:t>序号</w:t>
                  </w:r>
                </w:p>
              </w:tc>
              <w:tc>
                <w:tcPr>
                  <w:tcW w:type="dxa" w:w="308"/>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宋体" w:hAnsi="宋体" w:cs="宋体" w:eastAsia="宋体"/>
                      <w:sz w:val="21"/>
                      <w:b/>
                    </w:rPr>
                    <w:t>指标项</w:t>
                  </w:r>
                </w:p>
              </w:tc>
              <w:tc>
                <w:tcPr>
                  <w:tcW w:type="dxa" w:w="2088"/>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宋体" w:hAnsi="宋体" w:cs="宋体" w:eastAsia="宋体"/>
                      <w:sz w:val="21"/>
                      <w:b/>
                    </w:rPr>
                    <w:t>指标要求</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设备维保</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r>
                    <w:rPr>
                      <w:rFonts w:ascii="宋体" w:hAnsi="宋体" w:cs="宋体" w:eastAsia="宋体"/>
                      <w:sz w:val="21"/>
                    </w:rPr>
                    <w:t>.</w:t>
                  </w:r>
                  <w:r>
                    <w:rPr>
                      <w:rFonts w:ascii="宋体" w:hAnsi="宋体" w:cs="宋体" w:eastAsia="宋体"/>
                      <w:sz w:val="21"/>
                    </w:rPr>
                    <w:t>为设备清单中所有设备提供</w:t>
                  </w:r>
                  <w:r>
                    <w:rPr>
                      <w:rFonts w:ascii="宋体" w:hAnsi="宋体" w:cs="宋体" w:eastAsia="宋体"/>
                      <w:sz w:val="21"/>
                    </w:rPr>
                    <w:t>7×24小时硬件保修及系统维护服务。</w:t>
                  </w:r>
                </w:p>
                <w:p>
                  <w:pPr>
                    <w:pStyle w:val="null3"/>
                    <w:jc w:val="both"/>
                  </w:pPr>
                  <w:r>
                    <w:rPr>
                      <w:rFonts w:ascii="宋体" w:hAnsi="宋体" w:cs="宋体" w:eastAsia="宋体"/>
                      <w:sz w:val="21"/>
                    </w:rPr>
                    <w:t>2.</w:t>
                  </w:r>
                  <w:r>
                    <w:rPr>
                      <w:rFonts w:ascii="宋体" w:hAnsi="宋体" w:cs="宋体" w:eastAsia="宋体"/>
                      <w:sz w:val="21"/>
                    </w:rPr>
                    <w:t>包括该维保项目所涉及设备及系统的维护，确保系统稳定运行。具体措施包括实时设计更新等内容维护、报表维护、数据管理与维护。</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故障分析和问题报告</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r>
                    <w:rPr>
                      <w:rFonts w:ascii="宋体" w:hAnsi="宋体" w:cs="宋体" w:eastAsia="宋体"/>
                      <w:sz w:val="21"/>
                    </w:rPr>
                    <w:t>提供用户使用产品的跟踪监测、对故障的排除、对产品的设计和制造质量问题的信息反馈等</w:t>
                  </w:r>
                  <w:r>
                    <w:rPr>
                      <w:rFonts w:ascii="宋体" w:hAnsi="宋体" w:cs="宋体" w:eastAsia="宋体"/>
                      <w:sz w:val="21"/>
                    </w:rPr>
                    <w:t>，</w:t>
                  </w:r>
                  <w:r>
                    <w:rPr>
                      <w:rFonts w:ascii="宋体" w:hAnsi="宋体" w:cs="宋体" w:eastAsia="宋体"/>
                      <w:sz w:val="21"/>
                    </w:rPr>
                    <w:t>并提供纸质版报告。报告需有双方人员签字确认。</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软硬件</w:t>
                  </w:r>
                  <w:r>
                    <w:rPr>
                      <w:rFonts w:ascii="宋体" w:hAnsi="宋体" w:cs="宋体" w:eastAsia="宋体"/>
                      <w:sz w:val="21"/>
                    </w:rPr>
                    <w:t>巡检</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提供每周</w:t>
                  </w:r>
                  <w:r>
                    <w:rPr>
                      <w:rFonts w:ascii="宋体" w:hAnsi="宋体" w:cs="宋体" w:eastAsia="宋体"/>
                      <w:sz w:val="21"/>
                    </w:rPr>
                    <w:t>≥1次的</w:t>
                  </w:r>
                  <w:r>
                    <w:rPr>
                      <w:rFonts w:ascii="宋体" w:hAnsi="宋体" w:cs="宋体" w:eastAsia="宋体"/>
                      <w:sz w:val="21"/>
                    </w:rPr>
                    <w:t>维保规定内容的</w:t>
                  </w:r>
                  <w:r>
                    <w:rPr>
                      <w:rFonts w:ascii="宋体" w:hAnsi="宋体" w:cs="宋体" w:eastAsia="宋体"/>
                      <w:sz w:val="21"/>
                    </w:rPr>
                    <w:t>检查</w:t>
                  </w:r>
                  <w:r>
                    <w:rPr>
                      <w:rFonts w:ascii="宋体" w:hAnsi="宋体" w:cs="宋体" w:eastAsia="宋体"/>
                      <w:sz w:val="21"/>
                    </w:rPr>
                    <w:t>，</w:t>
                  </w:r>
                  <w:r>
                    <w:rPr>
                      <w:rFonts w:ascii="宋体" w:hAnsi="宋体" w:cs="宋体" w:eastAsia="宋体"/>
                      <w:sz w:val="21"/>
                    </w:rPr>
                    <w:t>形成巡检记录。巡检记录包括但不限于有双方签字的纸质版记录、巡检照片等，具体形式与内容需满足甲方内部管理制度要求。</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安全管理</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1.每日落实</w:t>
                  </w:r>
                  <w:r>
                    <w:rPr>
                      <w:rFonts w:ascii="宋体" w:hAnsi="宋体" w:cs="宋体" w:eastAsia="宋体"/>
                      <w:sz w:val="21"/>
                    </w:rPr>
                    <w:t>日常安全管理，提供安全运维服务，及时解决互联网服务所面临的安全问题。</w:t>
                  </w:r>
                </w:p>
                <w:p>
                  <w:pPr>
                    <w:pStyle w:val="null3"/>
                    <w:jc w:val="both"/>
                  </w:pPr>
                  <w:r>
                    <w:rPr>
                      <w:rFonts w:ascii="宋体" w:hAnsi="宋体" w:cs="宋体" w:eastAsia="宋体"/>
                      <w:sz w:val="21"/>
                    </w:rPr>
                    <w:t>2.</w:t>
                  </w:r>
                  <w:r>
                    <w:rPr>
                      <w:rFonts w:ascii="宋体" w:hAnsi="宋体" w:cs="宋体" w:eastAsia="宋体"/>
                      <w:sz w:val="21"/>
                    </w:rPr>
                    <w:t>每月提交详细的安全性分析报告，提交预防性维护策略报告。</w:t>
                  </w:r>
                  <w:r>
                    <w:rPr>
                      <w:rFonts w:ascii="宋体" w:hAnsi="宋体" w:cs="宋体" w:eastAsia="宋体"/>
                      <w:sz w:val="21"/>
                    </w:rPr>
                    <w:t>报告需要有双方人员签字确认。</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运行分析</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每月提供相关</w:t>
                  </w:r>
                  <w:r>
                    <w:rPr>
                      <w:rFonts w:ascii="宋体" w:hAnsi="宋体" w:cs="宋体" w:eastAsia="宋体"/>
                      <w:sz w:val="21"/>
                    </w:rPr>
                    <w:t>维保内容规定设备设施的</w:t>
                  </w:r>
                  <w:r>
                    <w:rPr>
                      <w:rFonts w:ascii="宋体" w:hAnsi="宋体" w:cs="宋体" w:eastAsia="宋体"/>
                      <w:sz w:val="21"/>
                    </w:rPr>
                    <w:t>运行分析、性能评估和配置调整服务，提高系统的可靠性、可用性和整体性能</w:t>
                  </w:r>
                  <w:r>
                    <w:rPr>
                      <w:rFonts w:ascii="宋体" w:hAnsi="宋体" w:cs="宋体" w:eastAsia="宋体"/>
                      <w:sz w:val="21"/>
                    </w:rPr>
                    <w:t>，</w:t>
                  </w:r>
                  <w:r>
                    <w:rPr>
                      <w:rFonts w:ascii="宋体" w:hAnsi="宋体" w:cs="宋体" w:eastAsia="宋体"/>
                      <w:sz w:val="21"/>
                    </w:rPr>
                    <w:t>并形成运行分析和性能评估报告，报告需</w:t>
                  </w:r>
                  <w:r>
                    <w:rPr>
                      <w:rFonts w:ascii="宋体" w:hAnsi="宋体" w:cs="宋体" w:eastAsia="宋体"/>
                      <w:sz w:val="21"/>
                    </w:rPr>
                    <w:t>有双方人员签字确认。</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预防性维护</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每季度</w:t>
                  </w:r>
                  <w:r>
                    <w:rPr>
                      <w:rFonts w:ascii="宋体" w:hAnsi="宋体" w:cs="宋体" w:eastAsia="宋体"/>
                      <w:sz w:val="21"/>
                    </w:rPr>
                    <w:t>进行全面检查和测试，检查内容包括</w:t>
                  </w:r>
                  <w:r>
                    <w:rPr>
                      <w:rFonts w:ascii="宋体" w:hAnsi="宋体" w:cs="宋体" w:eastAsia="宋体"/>
                      <w:sz w:val="21"/>
                    </w:rPr>
                    <w:t>但不限于维保规定的</w:t>
                  </w:r>
                  <w:r>
                    <w:rPr>
                      <w:rFonts w:ascii="宋体" w:hAnsi="宋体" w:cs="宋体" w:eastAsia="宋体"/>
                      <w:sz w:val="21"/>
                    </w:rPr>
                    <w:t>设备的物理结构、功能检查、显示功能检查</w:t>
                  </w:r>
                  <w:r>
                    <w:rPr>
                      <w:rFonts w:ascii="宋体" w:hAnsi="宋体" w:cs="宋体" w:eastAsia="宋体"/>
                      <w:sz w:val="21"/>
                    </w:rPr>
                    <w:t>等</w:t>
                  </w:r>
                  <w:r>
                    <w:rPr>
                      <w:rFonts w:ascii="宋体" w:hAnsi="宋体" w:cs="宋体" w:eastAsia="宋体"/>
                      <w:sz w:val="21"/>
                    </w:rPr>
                    <w:t>。</w:t>
                  </w:r>
                  <w:r>
                    <w:rPr>
                      <w:rFonts w:ascii="宋体" w:hAnsi="宋体" w:cs="宋体" w:eastAsia="宋体"/>
                      <w:sz w:val="21"/>
                    </w:rPr>
                    <w:t>检查和测试需形成过程资料，包括但不限于</w:t>
                  </w:r>
                  <w:r>
                    <w:rPr>
                      <w:rFonts w:ascii="宋体" w:hAnsi="宋体" w:cs="宋体" w:eastAsia="宋体"/>
                      <w:sz w:val="21"/>
                    </w:rPr>
                    <w:t>有双方签字的检查和测试记录，相关照片等，具体形式与内容需满足甲方内部管理制度要求。</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安全服务</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每半年为</w:t>
                  </w:r>
                  <w:r>
                    <w:rPr>
                      <w:rFonts w:ascii="宋体" w:hAnsi="宋体" w:cs="宋体" w:eastAsia="宋体"/>
                      <w:sz w:val="21"/>
                    </w:rPr>
                    <w:t>医院提供一次维保内设备设计的测试报告，并针对报告优化完善设备设施。包括但不限于静电测试报告、避雷设备测试报告等。测试报告需要双方人员签字确认。</w:t>
                  </w:r>
                </w:p>
                <w:p>
                  <w:pPr>
                    <w:pStyle w:val="null3"/>
                    <w:jc w:val="both"/>
                  </w:pPr>
                  <w:r>
                    <w:rPr>
                      <w:rFonts w:ascii="宋体" w:hAnsi="宋体" w:cs="宋体" w:eastAsia="宋体"/>
                      <w:sz w:val="21"/>
                    </w:rPr>
                    <w:t>投标时，提供</w:t>
                  </w:r>
                  <w:r>
                    <w:rPr>
                      <w:rFonts w:ascii="宋体" w:hAnsi="宋体" w:cs="宋体" w:eastAsia="宋体"/>
                      <w:sz w:val="21"/>
                    </w:rPr>
                    <w:t>各类测试</w:t>
                  </w:r>
                  <w:r>
                    <w:rPr>
                      <w:rFonts w:ascii="宋体" w:hAnsi="宋体" w:cs="宋体" w:eastAsia="宋体"/>
                      <w:sz w:val="21"/>
                    </w:rPr>
                    <w:t>服务方案。</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重大变更和重点时段保障支持</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在重大系统变更和重点时段保障期间，服务提供方应</w:t>
                  </w:r>
                  <w:r>
                    <w:rPr>
                      <w:rFonts w:ascii="宋体" w:hAnsi="宋体" w:cs="宋体" w:eastAsia="宋体"/>
                      <w:sz w:val="21"/>
                    </w:rPr>
                    <w:t>在接到通知后，</w:t>
                  </w:r>
                  <w:r>
                    <w:rPr>
                      <w:rFonts w:ascii="宋体" w:hAnsi="宋体" w:cs="宋体" w:eastAsia="宋体"/>
                      <w:sz w:val="21"/>
                    </w:rPr>
                    <w:t>1小时内进行安全检测，</w:t>
                  </w:r>
                  <w:r>
                    <w:rPr>
                      <w:rFonts w:ascii="宋体" w:hAnsi="宋体" w:cs="宋体" w:eastAsia="宋体"/>
                      <w:sz w:val="21"/>
                    </w:rPr>
                    <w:t>协助采购人实施参数调整和性能优化。</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运维方式</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color w:val="000000"/>
                    </w:rPr>
                    <w:t>1</w:t>
                  </w:r>
                  <w:r>
                    <w:rPr>
                      <w:rFonts w:ascii="宋体" w:hAnsi="宋体" w:cs="宋体" w:eastAsia="宋体"/>
                      <w:sz w:val="21"/>
                      <w:color w:val="000000"/>
                    </w:rPr>
                    <w:t>.</w:t>
                  </w:r>
                  <w:r>
                    <w:rPr>
                      <w:rFonts w:ascii="宋体" w:hAnsi="宋体" w:cs="宋体" w:eastAsia="宋体"/>
                      <w:sz w:val="21"/>
                      <w:color w:val="000000"/>
                    </w:rPr>
                    <w:t>在本合同规定的服务时间内，由乙方工程师提供</w:t>
                  </w:r>
                  <w:r>
                    <w:rPr>
                      <w:rFonts w:ascii="宋体" w:hAnsi="宋体" w:cs="宋体" w:eastAsia="宋体"/>
                      <w:sz w:val="21"/>
                      <w:color w:val="000000"/>
                    </w:rPr>
                    <w:t>7x24小时电话诊断支持，初步确认故障原因，若电话支持未能解决问题，则须乙方工程师在</w:t>
                  </w:r>
                  <w:r>
                    <w:rPr>
                      <w:rFonts w:ascii="宋体" w:hAnsi="宋体" w:cs="宋体" w:eastAsia="宋体"/>
                      <w:sz w:val="21"/>
                      <w:color w:val="000000"/>
                    </w:rPr>
                    <w:t>2</w:t>
                  </w:r>
                  <w:r>
                    <w:rPr>
                      <w:rFonts w:ascii="宋体" w:hAnsi="宋体" w:cs="宋体" w:eastAsia="宋体"/>
                      <w:sz w:val="21"/>
                      <w:color w:val="000000"/>
                    </w:rPr>
                    <w:t>小时内赴现场解决问题。</w:t>
                  </w:r>
                </w:p>
                <w:p>
                  <w:pPr>
                    <w:pStyle w:val="null3"/>
                    <w:jc w:val="both"/>
                  </w:pPr>
                  <w:r>
                    <w:rPr>
                      <w:rFonts w:ascii="宋体" w:hAnsi="宋体" w:cs="宋体" w:eastAsia="宋体"/>
                      <w:sz w:val="21"/>
                      <w:color w:val="000000"/>
                    </w:rPr>
                    <w:t>2</w:t>
                  </w:r>
                  <w:r>
                    <w:rPr>
                      <w:rFonts w:ascii="宋体" w:hAnsi="宋体" w:cs="宋体" w:eastAsia="宋体"/>
                      <w:sz w:val="21"/>
                      <w:color w:val="000000"/>
                    </w:rPr>
                    <w:t>.</w:t>
                  </w:r>
                  <w:r>
                    <w:rPr>
                      <w:rFonts w:ascii="宋体" w:hAnsi="宋体" w:cs="宋体" w:eastAsia="宋体"/>
                      <w:sz w:val="21"/>
                      <w:color w:val="000000"/>
                    </w:rPr>
                    <w:t>现场支持服务</w:t>
                  </w:r>
                  <w:r>
                    <w:rPr>
                      <w:rFonts w:ascii="宋体" w:hAnsi="宋体" w:cs="宋体" w:eastAsia="宋体"/>
                      <w:sz w:val="21"/>
                      <w:color w:val="000000"/>
                    </w:rPr>
                    <w:t>。</w:t>
                  </w:r>
                  <w:r>
                    <w:rPr>
                      <w:rFonts w:ascii="宋体" w:hAnsi="宋体" w:cs="宋体" w:eastAsia="宋体"/>
                      <w:sz w:val="21"/>
                      <w:color w:val="000000"/>
                    </w:rPr>
                    <w:t>任何电话不能解决的问题，均需乙方工程师现场支持。乙方在服务时间提供必须的人员</w:t>
                  </w:r>
                  <w:r>
                    <w:rPr>
                      <w:rFonts w:ascii="宋体" w:hAnsi="宋体" w:cs="宋体" w:eastAsia="宋体"/>
                      <w:sz w:val="21"/>
                      <w:color w:val="000000"/>
                    </w:rPr>
                    <w:t>和免费</w:t>
                  </w:r>
                  <w:r>
                    <w:rPr>
                      <w:rFonts w:ascii="宋体" w:hAnsi="宋体" w:cs="宋体" w:eastAsia="宋体"/>
                      <w:sz w:val="21"/>
                      <w:color w:val="000000"/>
                    </w:rPr>
                    <w:t>配件等各种支持措施，在现场对故障系统进行诊断、调整或免费更新，</w:t>
                  </w:r>
                  <w:r>
                    <w:rPr>
                      <w:rFonts w:ascii="宋体" w:hAnsi="宋体" w:cs="宋体" w:eastAsia="宋体"/>
                      <w:sz w:val="21"/>
                      <w:color w:val="000000"/>
                    </w:rPr>
                    <w:t>最晚</w:t>
                  </w:r>
                  <w:r>
                    <w:rPr>
                      <w:rFonts w:ascii="宋体" w:hAnsi="宋体" w:cs="宋体" w:eastAsia="宋体"/>
                      <w:sz w:val="21"/>
                      <w:color w:val="000000"/>
                    </w:rPr>
                    <w:t>24小时内使系统恢复正常运行。</w:t>
                  </w:r>
                </w:p>
                <w:p>
                  <w:pPr>
                    <w:pStyle w:val="null3"/>
                    <w:jc w:val="both"/>
                  </w:pPr>
                  <w:r>
                    <w:rPr>
                      <w:rFonts w:ascii="宋体" w:hAnsi="宋体" w:cs="宋体" w:eastAsia="宋体"/>
                      <w:sz w:val="21"/>
                      <w:color w:val="000000"/>
                    </w:rPr>
                    <w:t>3.</w:t>
                  </w:r>
                  <w:r>
                    <w:rPr>
                      <w:rFonts w:ascii="宋体" w:hAnsi="宋体" w:cs="宋体" w:eastAsia="宋体"/>
                      <w:sz w:val="21"/>
                      <w:color w:val="000000"/>
                    </w:rPr>
                    <w:t>主动巡回服务</w:t>
                  </w:r>
                  <w:r>
                    <w:rPr>
                      <w:rFonts w:ascii="宋体" w:hAnsi="宋体" w:cs="宋体" w:eastAsia="宋体"/>
                      <w:sz w:val="21"/>
                      <w:color w:val="000000"/>
                    </w:rPr>
                    <w:t>。</w:t>
                  </w:r>
                  <w:r>
                    <w:rPr>
                      <w:rFonts w:ascii="宋体" w:hAnsi="宋体" w:cs="宋体" w:eastAsia="宋体"/>
                      <w:sz w:val="21"/>
                      <w:color w:val="000000"/>
                    </w:rPr>
                    <w:t>在运维服务期内，每月至少一次主动上门</w:t>
                  </w:r>
                  <w:r>
                    <w:rPr>
                      <w:rFonts w:ascii="宋体" w:hAnsi="宋体" w:cs="宋体" w:eastAsia="宋体"/>
                      <w:sz w:val="21"/>
                      <w:color w:val="000000"/>
                    </w:rPr>
                    <w:t>全面</w:t>
                  </w:r>
                  <w:r>
                    <w:rPr>
                      <w:rFonts w:ascii="宋体" w:hAnsi="宋体" w:cs="宋体" w:eastAsia="宋体"/>
                      <w:sz w:val="21"/>
                      <w:color w:val="000000"/>
                    </w:rPr>
                    <w:t>巡检服务，并与</w:t>
                  </w:r>
                  <w:r>
                    <w:rPr>
                      <w:rFonts w:ascii="宋体" w:hAnsi="宋体" w:cs="宋体" w:eastAsia="宋体"/>
                      <w:sz w:val="21"/>
                      <w:color w:val="000000"/>
                    </w:rPr>
                    <w:t>信息处</w:t>
                  </w:r>
                  <w:r>
                    <w:rPr>
                      <w:rFonts w:ascii="宋体" w:hAnsi="宋体" w:cs="宋体" w:eastAsia="宋体"/>
                      <w:sz w:val="21"/>
                      <w:color w:val="000000"/>
                    </w:rPr>
                    <w:t>具体负责人沟通实际应用状况。</w:t>
                  </w:r>
                  <w:r>
                    <w:rPr>
                      <w:rFonts w:ascii="宋体" w:hAnsi="宋体" w:cs="宋体" w:eastAsia="宋体"/>
                      <w:sz w:val="21"/>
                      <w:color w:val="000000"/>
                    </w:rPr>
                    <w:t>全面巡检需形成过程资料，包括但不限于巡检记录，巡检照片等。</w:t>
                  </w:r>
                  <w:r>
                    <w:rPr>
                      <w:rFonts w:ascii="宋体" w:hAnsi="宋体" w:cs="宋体" w:eastAsia="宋体"/>
                      <w:sz w:val="21"/>
                      <w:color w:val="000000"/>
                    </w:rPr>
                    <w:t>根据巡回服务情况，提供巡回的服务内容、合理化建议等方面的书面报告，供甲方参考。</w:t>
                  </w:r>
                </w:p>
                <w:p>
                  <w:pPr>
                    <w:pStyle w:val="null3"/>
                    <w:jc w:val="both"/>
                  </w:pPr>
                  <w:r>
                    <w:rPr>
                      <w:rFonts w:ascii="宋体" w:hAnsi="宋体" w:cs="宋体" w:eastAsia="宋体"/>
                      <w:sz w:val="21"/>
                      <w:color w:val="000000"/>
                    </w:rPr>
                    <w:t>4、版本升级更新服务</w:t>
                  </w:r>
                  <w:r>
                    <w:rPr>
                      <w:rFonts w:ascii="宋体" w:hAnsi="宋体" w:cs="宋体" w:eastAsia="宋体"/>
                      <w:sz w:val="21"/>
                      <w:color w:val="000000"/>
                    </w:rPr>
                    <w:t>。</w:t>
                  </w:r>
                  <w:r>
                    <w:rPr>
                      <w:rFonts w:ascii="宋体" w:hAnsi="宋体" w:cs="宋体" w:eastAsia="宋体"/>
                      <w:sz w:val="21"/>
                      <w:color w:val="000000"/>
                    </w:rPr>
                    <w:t>在运维合同期限内为甲方提供系统版本升级服务，以及特征库的升级与更新。</w:t>
                  </w:r>
                  <w:r>
                    <w:rPr>
                      <w:rFonts w:ascii="宋体" w:hAnsi="宋体" w:cs="宋体" w:eastAsia="宋体"/>
                      <w:sz w:val="21"/>
                      <w:color w:val="000000"/>
                    </w:rPr>
                    <w:t>升级</w:t>
                  </w:r>
                  <w:r>
                    <w:rPr>
                      <w:rFonts w:ascii="宋体" w:hAnsi="宋体" w:cs="宋体" w:eastAsia="宋体"/>
                      <w:sz w:val="21"/>
                    </w:rPr>
                    <w:t>完成后形成过程资料，资料包括但不限于有双方签字的升级与更新记录等，具体形式与内容需满足甲方内部管理制度要求。</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维修维护</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color w:val="000000"/>
                    </w:rPr>
                    <w:t>当设备设施的配件出现故障时应及时免费的为甲方维修或更换，确保</w:t>
                  </w:r>
                  <w:r>
                    <w:rPr>
                      <w:rFonts w:ascii="宋体" w:hAnsi="宋体" w:cs="宋体" w:eastAsia="宋体"/>
                      <w:sz w:val="21"/>
                      <w:color w:val="000000"/>
                    </w:rPr>
                    <w:t>1小时内正常工作。维修更换需形成过程资料，包括但不限于更换记录，更换照片等。特殊情况甲乙双方商定解决。</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新购产品</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更换电池组</w:t>
                  </w:r>
                  <w:r>
                    <w:rPr>
                      <w:rFonts w:ascii="宋体" w:hAnsi="宋体" w:cs="宋体" w:eastAsia="宋体"/>
                      <w:sz w:val="21"/>
                    </w:rPr>
                    <w:t>5套，电池组需满足甲方使用要求，费用包含在项目总费用中。</w:t>
                  </w:r>
                </w:p>
              </w:tc>
            </w:tr>
          </w:tbl>
          <w:p/>
        </w:tc>
      </w:tr>
      <w:tr>
        <w:tc>
          <w:tcPr>
            <w:tcW w:type="dxa" w:w="2769"/>
          </w:tcPr>
          <w:p/>
        </w:tc>
        <w:tc>
          <w:tcPr>
            <w:tcW w:type="dxa" w:w="2769"/>
          </w:tcPr>
          <w:p>
            <w:pPr>
              <w:pStyle w:val="null3"/>
            </w:pPr>
            <w:r>
              <w:rPr/>
              <w:t>3</w:t>
            </w:r>
          </w:p>
        </w:tc>
        <w:tc>
          <w:tcPr>
            <w:tcW w:type="dxa" w:w="2769"/>
          </w:tcPr>
          <w:p>
            <w:pPr>
              <w:pStyle w:val="null3"/>
              <w:ind w:left="420"/>
              <w:jc w:val="both"/>
            </w:pPr>
            <w:r>
              <w:rPr>
                <w:rFonts w:ascii="宋体" w:hAnsi="宋体" w:cs="宋体" w:eastAsia="宋体"/>
                <w:sz w:val="21"/>
                <w:b/>
                <w:color w:val="000000"/>
              </w:rPr>
              <w:t>附件：机房设备</w:t>
            </w:r>
          </w:p>
          <w:tbl>
            <w:tblPr>
              <w:tblInd w:type="dxa" w:w="105"/>
              <w:tblBorders>
                <w:top w:val="none" w:color="000000" w:sz="4"/>
                <w:left w:val="none" w:color="000000" w:sz="4"/>
                <w:bottom w:val="none" w:color="000000" w:sz="4"/>
                <w:right w:val="none" w:color="000000" w:sz="4"/>
                <w:insideH w:val="none"/>
                <w:insideV w:val="none"/>
              </w:tblBorders>
            </w:tblPr>
            <w:tblGrid>
              <w:gridCol w:w="192"/>
              <w:gridCol w:w="336"/>
              <w:gridCol w:w="1198"/>
              <w:gridCol w:w="313"/>
              <w:gridCol w:w="435"/>
            </w:tblGrid>
            <w:tr>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序号</w:t>
                  </w:r>
                </w:p>
              </w:tc>
              <w:tc>
                <w:tcPr>
                  <w:tcW w:type="dxa" w:w="336"/>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机房位置</w:t>
                  </w:r>
                </w:p>
              </w:tc>
              <w:tc>
                <w:tcPr>
                  <w:tcW w:type="dxa" w:w="1198"/>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设备名称</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型号</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数量</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1</w:t>
                  </w:r>
                </w:p>
              </w:tc>
              <w:tc>
                <w:tcPr>
                  <w:tcW w:type="dxa" w:w="3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住院楼二层</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装饰装修系统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国产</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1项</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2</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UPS不间断电源系统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维谛</w:t>
                  </w:r>
                  <w:r>
                    <w:rPr>
                      <w:rFonts w:ascii="宋体" w:hAnsi="宋体" w:cs="宋体" w:eastAsia="宋体"/>
                      <w:sz w:val="21"/>
                      <w:color w:val="000000"/>
                    </w:rPr>
                    <w:t>APM150</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2台</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3</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电气配电系统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维谛</w:t>
                  </w:r>
                  <w:r>
                    <w:rPr>
                      <w:rFonts w:ascii="宋体" w:hAnsi="宋体" w:cs="宋体" w:eastAsia="宋体"/>
                      <w:sz w:val="21"/>
                      <w:color w:val="000000"/>
                    </w:rPr>
                    <w:t>UHA1R-0100L</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1台</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4</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电气配电系统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维谛</w:t>
                  </w:r>
                  <w:r>
                    <w:rPr>
                      <w:rFonts w:ascii="宋体" w:hAnsi="宋体" w:cs="宋体" w:eastAsia="宋体"/>
                      <w:sz w:val="21"/>
                      <w:color w:val="000000"/>
                    </w:rPr>
                    <w:t>ITA2 10KVA</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1台</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5</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电气配电系统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海德森配电柜</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3台</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6</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电气配电系统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海德森精密列头配电柜</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2台</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7</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精密空调及供排水系统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维谛</w:t>
                  </w:r>
                  <w:r>
                    <w:rPr>
                      <w:rFonts w:ascii="宋体" w:hAnsi="宋体" w:cs="宋体" w:eastAsia="宋体"/>
                      <w:sz w:val="21"/>
                      <w:color w:val="000000"/>
                    </w:rPr>
                    <w:t>CR035</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2台</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8</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精密空调及供排水系统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维谛</w:t>
                  </w:r>
                  <w:r>
                    <w:rPr>
                      <w:rFonts w:ascii="宋体" w:hAnsi="宋体" w:cs="宋体" w:eastAsia="宋体"/>
                      <w:sz w:val="21"/>
                      <w:color w:val="000000"/>
                    </w:rPr>
                    <w:t>CR035</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1台</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9</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房间级精密空调</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维谛</w:t>
                  </w:r>
                  <w:r>
                    <w:rPr>
                      <w:rFonts w:ascii="宋体" w:hAnsi="宋体" w:cs="宋体" w:eastAsia="宋体"/>
                      <w:sz w:val="21"/>
                      <w:color w:val="000000"/>
                    </w:rPr>
                    <w:t>DEM</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2台</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10</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新风系统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国产</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1套</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11</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消防系统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海湾</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套</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12</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动力环境及监控系统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安山</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1套</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13</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门禁系统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国产</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1套</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14</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综合布线系统机柜等设备设施</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国产</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1套</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15</w:t>
                  </w:r>
                </w:p>
              </w:tc>
              <w:tc>
                <w:tcPr>
                  <w:tcW w:type="dxa" w:w="3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门诊楼十七层</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装饰装修系统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国产</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1项</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UPS不间断电源系统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维谛</w:t>
                  </w:r>
                  <w:r>
                    <w:rPr>
                      <w:rFonts w:ascii="宋体" w:hAnsi="宋体" w:cs="宋体" w:eastAsia="宋体"/>
                      <w:sz w:val="21"/>
                      <w:color w:val="000000"/>
                    </w:rPr>
                    <w:t>ITA 40KVA</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1台</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16</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UPS不间断电源系统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维谛</w:t>
                  </w:r>
                  <w:r>
                    <w:rPr>
                      <w:rFonts w:ascii="宋体" w:hAnsi="宋体" w:cs="宋体" w:eastAsia="宋体"/>
                      <w:sz w:val="21"/>
                      <w:color w:val="000000"/>
                    </w:rPr>
                    <w:t>ITA 40KVA</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1台</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17</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电气配电系统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华晟配电柜</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3台</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18</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精密空调供排水系统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维谛</w:t>
                  </w:r>
                  <w:r>
                    <w:rPr>
                      <w:rFonts w:ascii="宋体" w:hAnsi="宋体" w:cs="宋体" w:eastAsia="宋体"/>
                      <w:sz w:val="21"/>
                      <w:color w:val="000000"/>
                    </w:rPr>
                    <w:t>CR035</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1台</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19</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精密空调供排水系统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维谛</w:t>
                  </w:r>
                  <w:r>
                    <w:rPr>
                      <w:rFonts w:ascii="宋体" w:hAnsi="宋体" w:cs="宋体" w:eastAsia="宋体"/>
                      <w:sz w:val="21"/>
                      <w:color w:val="000000"/>
                    </w:rPr>
                    <w:t>CR035</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1台</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20</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房间级精密空调</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维谛</w:t>
                  </w:r>
                  <w:r>
                    <w:rPr>
                      <w:rFonts w:ascii="宋体" w:hAnsi="宋体" w:cs="宋体" w:eastAsia="宋体"/>
                      <w:sz w:val="21"/>
                      <w:color w:val="000000"/>
                    </w:rPr>
                    <w:t>DEM</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1台</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21</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新风系统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国产</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1套</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22</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消防系统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海湾</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套</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23</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动力环境及监控系统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安山</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1套</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24</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门禁系统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维谛</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1套</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25</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综合布线系统机柜等设备设施</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国产</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1套</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26</w:t>
                  </w:r>
                </w:p>
              </w:tc>
              <w:tc>
                <w:tcPr>
                  <w:tcW w:type="dxa" w:w="3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门诊楼一层</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装饰装修系统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国产</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1项</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27</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UPS不间断电源系统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维谛</w:t>
                  </w:r>
                  <w:r>
                    <w:rPr>
                      <w:rFonts w:ascii="宋体" w:hAnsi="宋体" w:cs="宋体" w:eastAsia="宋体"/>
                      <w:sz w:val="21"/>
                      <w:color w:val="000000"/>
                    </w:rPr>
                    <w:t>UHA1R-0100L</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1台</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28</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精密空调及供排水系统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艾特网能</w:t>
                  </w:r>
                  <w:r>
                    <w:rPr>
                      <w:rFonts w:ascii="宋体" w:hAnsi="宋体" w:cs="宋体" w:eastAsia="宋体"/>
                      <w:sz w:val="21"/>
                      <w:color w:val="000000"/>
                    </w:rPr>
                    <w:t>CS005HAOPOO</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1台</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29</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动力环境及监控系统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安山</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1套</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30</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门禁系统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国产</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1套</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31</w:t>
                  </w:r>
                </w:p>
              </w:tc>
              <w:tc>
                <w:tcPr>
                  <w:tcW w:type="dxa" w:w="336"/>
                  <w:vMerge/>
                  <w:tcBorders>
                    <w:top w:val="none" w:color="000000" w:sz="4"/>
                    <w:left w:val="none" w:color="000000" w:sz="4"/>
                    <w:bottom w:val="single" w:color="000000" w:sz="4"/>
                    <w:right w:val="single" w:color="000000" w:sz="4"/>
                  </w:tcBorders>
                </w:tcP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综合布线系统机柜等设备设施</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国产</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1套</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32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门诊楼三楼</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UPS不间断电源系统</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维谛</w:t>
                  </w:r>
                  <w:r>
                    <w:rPr>
                      <w:rFonts w:ascii="宋体" w:hAnsi="宋体" w:cs="宋体" w:eastAsia="宋体"/>
                      <w:sz w:val="21"/>
                      <w:color w:val="000000"/>
                    </w:rPr>
                    <w:t>UHA1R-0100L</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1台</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33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十七楼</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电池</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12V 200AH</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32节</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34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二楼</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电池</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12V 100AH</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64节</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35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二楼</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电池</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12V 100AH</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32节</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36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门诊一层</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电池</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12V 100AH</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16节</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1"/>
                      <w:color w:val="000000"/>
                    </w:rPr>
                    <w:t>37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门诊三层</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电池</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12V 100AH</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sz w:val="21"/>
                      <w:color w:val="000000"/>
                    </w:rPr>
                    <w:t>16节</w:t>
                  </w:r>
                </w:p>
              </w:tc>
            </w:tr>
          </w:tbl>
          <w:p/>
        </w:tc>
      </w:tr>
    </w:tbl>
    <w:p>
      <w:pPr>
        <w:pStyle w:val="null3"/>
        <w:outlineLvl w:val="3"/>
      </w:pPr>
      <w:r>
        <w:rPr>
          <w:sz w:val="24"/>
          <w:b/>
        </w:rPr>
        <w:t>3.2.3人员配置要求</w:t>
      </w:r>
    </w:p>
    <w:p>
      <w:pPr>
        <w:pStyle w:val="null3"/>
      </w:pPr>
      <w:r>
        <w:rPr/>
        <w:t>采购包1：</w:t>
      </w:r>
    </w:p>
    <w:p>
      <w:pPr>
        <w:pStyle w:val="null3"/>
      </w:pPr>
      <w:r>
        <w:rPr/>
        <w:t>详见采购内容及要求</w:t>
      </w:r>
    </w:p>
    <w:p>
      <w:pPr>
        <w:pStyle w:val="null3"/>
      </w:pPr>
      <w:r>
        <w:rPr/>
        <w:t>采购包2：</w:t>
      </w:r>
    </w:p>
    <w:p>
      <w:pPr>
        <w:pStyle w:val="null3"/>
      </w:pPr>
      <w:r>
        <w:rPr/>
        <w:t>详见采购内容及要求</w:t>
      </w:r>
    </w:p>
    <w:p>
      <w:pPr>
        <w:pStyle w:val="null3"/>
      </w:pPr>
      <w:r>
        <w:rPr/>
        <w:t>采购包3：</w:t>
      </w:r>
    </w:p>
    <w:p>
      <w:pPr>
        <w:pStyle w:val="null3"/>
      </w:pPr>
      <w:r>
        <w:rPr/>
        <w:t>详见采购内容及要求</w:t>
      </w:r>
    </w:p>
    <w:p>
      <w:pPr>
        <w:pStyle w:val="null3"/>
        <w:outlineLvl w:val="3"/>
      </w:pPr>
      <w:r>
        <w:rPr>
          <w:sz w:val="24"/>
          <w:b/>
        </w:rPr>
        <w:t>3.2.4设施设备配置要求</w:t>
      </w:r>
    </w:p>
    <w:p>
      <w:pPr>
        <w:pStyle w:val="null3"/>
      </w:pPr>
      <w:r>
        <w:rPr/>
        <w:t>采购包1：</w:t>
      </w:r>
    </w:p>
    <w:p>
      <w:pPr>
        <w:pStyle w:val="null3"/>
      </w:pPr>
      <w:r>
        <w:rPr/>
        <w:t>详见采购内容及要求</w:t>
      </w:r>
    </w:p>
    <w:p>
      <w:pPr>
        <w:pStyle w:val="null3"/>
      </w:pPr>
      <w:r>
        <w:rPr/>
        <w:t>采购包2：</w:t>
      </w:r>
    </w:p>
    <w:p>
      <w:pPr>
        <w:pStyle w:val="null3"/>
      </w:pPr>
      <w:r>
        <w:rPr/>
        <w:t>详见采购内容及要求</w:t>
      </w:r>
    </w:p>
    <w:p>
      <w:pPr>
        <w:pStyle w:val="null3"/>
      </w:pPr>
      <w:r>
        <w:rPr/>
        <w:t>采购包3：</w:t>
      </w:r>
    </w:p>
    <w:p>
      <w:pPr>
        <w:pStyle w:val="null3"/>
      </w:pPr>
      <w:r>
        <w:rPr/>
        <w:t>详见采购内容及要求</w:t>
      </w:r>
    </w:p>
    <w:p>
      <w:pPr>
        <w:pStyle w:val="null3"/>
        <w:outlineLvl w:val="3"/>
      </w:pPr>
      <w:r>
        <w:rPr>
          <w:sz w:val="24"/>
          <w:b/>
        </w:rPr>
        <w:t>3.2.5其他要求</w:t>
      </w:r>
    </w:p>
    <w:p>
      <w:pPr>
        <w:pStyle w:val="null3"/>
      </w:pPr>
      <w:r>
        <w:rPr/>
        <w:t>采购包1：</w:t>
      </w:r>
    </w:p>
    <w:p>
      <w:pPr>
        <w:pStyle w:val="null3"/>
      </w:pPr>
      <w:r>
        <w:rPr/>
        <w:t>详见采购内容及要求</w:t>
      </w:r>
    </w:p>
    <w:p>
      <w:pPr>
        <w:pStyle w:val="null3"/>
      </w:pPr>
      <w:r>
        <w:rPr/>
        <w:t>采购包2：</w:t>
      </w:r>
    </w:p>
    <w:p>
      <w:pPr>
        <w:pStyle w:val="null3"/>
      </w:pPr>
      <w:r>
        <w:rPr/>
        <w:t>详见采购内容及要求</w:t>
      </w:r>
    </w:p>
    <w:p>
      <w:pPr>
        <w:pStyle w:val="null3"/>
      </w:pPr>
      <w:r>
        <w:rPr/>
        <w:t>采购包3：</w:t>
      </w:r>
    </w:p>
    <w:p>
      <w:pPr>
        <w:pStyle w:val="null3"/>
      </w:pPr>
      <w:r>
        <w:rPr/>
        <w:t>详见采购内容及要求</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维保期限3年。 合同1年一签，根据服务质量情况甲方有权决定是否续签。</w:t>
      </w:r>
    </w:p>
    <w:p>
      <w:pPr>
        <w:pStyle w:val="null3"/>
      </w:pPr>
      <w:r>
        <w:rPr/>
        <w:t>采购包2：</w:t>
      </w:r>
    </w:p>
    <w:p>
      <w:pPr>
        <w:pStyle w:val="null3"/>
      </w:pPr>
      <w:r>
        <w:rPr/>
        <w:t>维保期限3年。 合同1年一签，根据服务质量情况甲方有权决定是否续签。</w:t>
      </w:r>
    </w:p>
    <w:p>
      <w:pPr>
        <w:pStyle w:val="null3"/>
      </w:pPr>
      <w:r>
        <w:rPr/>
        <w:t>采购包3：</w:t>
      </w:r>
    </w:p>
    <w:p>
      <w:pPr>
        <w:pStyle w:val="null3"/>
      </w:pPr>
      <w:r>
        <w:rPr/>
        <w:t>维保期限3年。 合同1年一签，根据服务质量情况甲方有权决定是否续签。</w:t>
      </w:r>
    </w:p>
    <w:p>
      <w:pPr>
        <w:pStyle w:val="null3"/>
        <w:outlineLvl w:val="3"/>
      </w:pPr>
      <w:r>
        <w:rPr>
          <w:sz w:val="24"/>
          <w:b/>
        </w:rPr>
        <w:t>3.3.2服务地点</w:t>
      </w:r>
    </w:p>
    <w:p>
      <w:pPr>
        <w:pStyle w:val="null3"/>
      </w:pPr>
      <w:r>
        <w:rPr/>
        <w:t>采购包1：</w:t>
      </w:r>
    </w:p>
    <w:p>
      <w:pPr>
        <w:pStyle w:val="null3"/>
      </w:pPr>
      <w:r>
        <w:rPr/>
        <w:t>陕西省人民医院主院区与西咸院区</w:t>
      </w:r>
    </w:p>
    <w:p>
      <w:pPr>
        <w:pStyle w:val="null3"/>
      </w:pPr>
      <w:r>
        <w:rPr/>
        <w:t>采购包2：</w:t>
      </w:r>
    </w:p>
    <w:p>
      <w:pPr>
        <w:pStyle w:val="null3"/>
      </w:pPr>
      <w:r>
        <w:rPr/>
        <w:t>陕西省人民医院主院区与西咸院区</w:t>
      </w:r>
    </w:p>
    <w:p>
      <w:pPr>
        <w:pStyle w:val="null3"/>
      </w:pPr>
      <w:r>
        <w:rPr/>
        <w:t>采购包3：</w:t>
      </w:r>
    </w:p>
    <w:p>
      <w:pPr>
        <w:pStyle w:val="null3"/>
      </w:pPr>
      <w:r>
        <w:rPr/>
        <w:t>陕西省人民医院主院区与西咸院区</w:t>
      </w:r>
    </w:p>
    <w:p>
      <w:pPr>
        <w:pStyle w:val="null3"/>
        <w:outlineLvl w:val="3"/>
      </w:pPr>
      <w:r>
        <w:rPr>
          <w:sz w:val="24"/>
          <w:b/>
        </w:rPr>
        <w:t>3.3.3考核（验收）标准和方法</w:t>
      </w:r>
    </w:p>
    <w:p>
      <w:pPr>
        <w:pStyle w:val="null3"/>
      </w:pPr>
      <w:r>
        <w:rPr/>
        <w:t>采购包1：</w:t>
      </w:r>
    </w:p>
    <w:p>
      <w:pPr>
        <w:pStyle w:val="null3"/>
      </w:pPr>
      <w:r>
        <w:rPr/>
        <w:t>1 、交付的服务必须等同或优于本项目招标文件“服务内容及要求”所述的标准。若乙方在其响应文件中承诺的技术标准优于本项目招标文件“服务内容及要求”所述标准的，按投标的承诺执行。 2 、中标供应商完成并交付的工作成果需经采购人验收合格，则视为接受。如果在验收时采购人表明不接受中标供应商提交的工作成果并明示不接受的原因，中标供应商应当采取合理之措施进行修改，以达到合同规定的要求。</w:t>
      </w:r>
    </w:p>
    <w:p>
      <w:pPr>
        <w:pStyle w:val="null3"/>
      </w:pPr>
      <w:r>
        <w:rPr/>
        <w:t>采购包2：</w:t>
      </w:r>
    </w:p>
    <w:p>
      <w:pPr>
        <w:pStyle w:val="null3"/>
      </w:pPr>
      <w:r>
        <w:rPr/>
        <w:t>1 、交付的服务必须等同或优于本项目招标文件“服务内容及要求”所述的标准。若乙方在其响应文件中承诺的技术标准优于本项目招标文件“服务内容及要求”所述标准的，按投标的承诺执行。 2 、中标供应商完成并交付的工作成果需经采购人验收合格，则视为接受。如果在验收时采购人表明不接受中标供应商提交的工作成果并明示不接受的原因，中标供应商应当采取合理之措施进行修改，以达到合同规定的要求。</w:t>
      </w:r>
    </w:p>
    <w:p>
      <w:pPr>
        <w:pStyle w:val="null3"/>
      </w:pPr>
      <w:r>
        <w:rPr/>
        <w:t>采购包3：</w:t>
      </w:r>
    </w:p>
    <w:p>
      <w:pPr>
        <w:pStyle w:val="null3"/>
      </w:pPr>
      <w:r>
        <w:rPr/>
        <w:t>1 、交付的服务必须等同或优于本项目招标文件“服务内容及要求”所述的标准。若乙方在其响应文件中承诺的技术标准优于本项目招标文件“服务内容及要求”所述标准的，按投标的承诺执行。 2 、中标供应商完成并交付的工作成果需经采购人验收合格，则视为接受。如果在验收时采购人表明不接受中标供应商提交的工作成果并明示不接受的原因，中标供应商应当采取合理之措施进行修改，以达到合同规定的要求。</w:t>
      </w:r>
    </w:p>
    <w:p>
      <w:pPr>
        <w:pStyle w:val="null3"/>
        <w:outlineLvl w:val="3"/>
      </w:pPr>
      <w:r>
        <w:rPr>
          <w:sz w:val="24"/>
          <w:b/>
        </w:rPr>
        <w:t>3.3.4支付方式</w:t>
      </w:r>
    </w:p>
    <w:p>
      <w:pPr>
        <w:pStyle w:val="null3"/>
      </w:pPr>
      <w:r>
        <w:rPr/>
        <w:t>采购包1：</w:t>
      </w:r>
    </w:p>
    <w:p>
      <w:pPr>
        <w:pStyle w:val="null3"/>
      </w:pPr>
      <w:r>
        <w:rPr/>
        <w:t>一次付清</w:t>
      </w:r>
    </w:p>
    <w:p>
      <w:pPr>
        <w:pStyle w:val="null3"/>
      </w:pPr>
      <w:r>
        <w:rPr/>
        <w:t>采购包2：</w:t>
      </w:r>
    </w:p>
    <w:p>
      <w:pPr>
        <w:pStyle w:val="null3"/>
      </w:pPr>
      <w:r>
        <w:rPr/>
        <w:t>一次付清</w:t>
      </w:r>
    </w:p>
    <w:p>
      <w:pPr>
        <w:pStyle w:val="null3"/>
      </w:pPr>
      <w:r>
        <w:rPr/>
        <w:t>采购包3：</w:t>
      </w:r>
    </w:p>
    <w:p>
      <w:pPr>
        <w:pStyle w:val="null3"/>
      </w:pPr>
      <w:r>
        <w:rPr/>
        <w:t>一次付清</w:t>
      </w:r>
    </w:p>
    <w:p>
      <w:pPr>
        <w:pStyle w:val="null3"/>
        <w:outlineLvl w:val="3"/>
      </w:pPr>
      <w:r>
        <w:rPr>
          <w:sz w:val="24"/>
          <w:b/>
        </w:rPr>
        <w:t>3.3.5.支付约定</w:t>
      </w:r>
    </w:p>
    <w:p>
      <w:pPr>
        <w:pStyle w:val="null3"/>
      </w:pPr>
      <w:r>
        <w:rPr/>
        <w:t>采购包1：</w:t>
      </w:r>
      <w:r>
        <w:rPr/>
        <w:t xml:space="preserve"> 付款条件说明： </w:t>
      </w:r>
      <w:r>
        <w:rPr/>
        <w:t>合同期保期结束后，乙方提供维保记录、维保验收表等相关资料，经甲方确认考核通过后，支付当年维保费用的100%。在付款前，乙方必须开具符合税务规定的发票给甲方，否则，甲方有权拒绝付款，无需承担任何责任，且乙方不得以此为由拒绝履行合同义务</w:t>
      </w:r>
      <w:r>
        <w:rPr/>
        <w:t xml:space="preserve"> ，达到付款条件起 </w:t>
      </w:r>
      <w:r>
        <w:rPr/>
        <w:t>30</w:t>
      </w:r>
      <w:r>
        <w:rPr/>
        <w:t xml:space="preserve"> 日内，支付合同总金额的 </w:t>
      </w:r>
      <w:r>
        <w:rPr/>
        <w:t>100.00</w:t>
      </w:r>
      <w:r>
        <w:rPr/>
        <w:t>%。</w:t>
      </w:r>
    </w:p>
    <w:p>
      <w:pPr>
        <w:pStyle w:val="null3"/>
      </w:pPr>
      <w:r>
        <w:rPr/>
        <w:t>采购包2：</w:t>
      </w:r>
      <w:r>
        <w:rPr/>
        <w:t xml:space="preserve"> 付款条件说明： </w:t>
      </w:r>
      <w:r>
        <w:rPr/>
        <w:t>合同期保期结束后，乙方提供维保记录、维保验收表等相关资料，经甲方确认考核通过后，支付当年维保费用的100%。在付款前，乙方必须开具符合税务规定的发票给甲方，否则，甲方有权拒绝付款，无需承担任何责任，且乙方不得以此为由拒绝履行合同义务</w:t>
      </w:r>
      <w:r>
        <w:rPr/>
        <w:t xml:space="preserve"> ，达到付款条件起 </w:t>
      </w:r>
      <w:r>
        <w:rPr/>
        <w:t>30</w:t>
      </w:r>
      <w:r>
        <w:rPr/>
        <w:t xml:space="preserve"> 日内，支付合同总金额的 </w:t>
      </w:r>
      <w:r>
        <w:rPr/>
        <w:t>100.00</w:t>
      </w:r>
      <w:r>
        <w:rPr/>
        <w:t>%。</w:t>
      </w:r>
    </w:p>
    <w:p>
      <w:pPr>
        <w:pStyle w:val="null3"/>
      </w:pPr>
      <w:r>
        <w:rPr/>
        <w:t>采购包3：</w:t>
      </w:r>
      <w:r>
        <w:rPr/>
        <w:t xml:space="preserve"> 付款条件说明： </w:t>
      </w:r>
      <w:r>
        <w:rPr/>
        <w:t>合同期保期结束后，乙方提供维保记录、维保验收表等相关资料，经甲方确认考核通过后，支付当年维保费用的100%。在付款前，乙方必须开具符合税务规定的发票给甲方，否则，甲方有权拒绝付款，无需承担任何责任，且乙方不得以此为由拒绝履行合同义务</w:t>
      </w:r>
      <w:r>
        <w:rPr/>
        <w:t xml:space="preserve"> ，达到付款条件起 </w:t>
      </w:r>
      <w:r>
        <w:rPr/>
        <w:t>30</w:t>
      </w:r>
      <w:r>
        <w:rPr/>
        <w:t xml:space="preserve"> 日内，支付合同总金额的 </w:t>
      </w:r>
      <w:r>
        <w:rPr/>
        <w:t>100.00</w:t>
      </w:r>
      <w:r>
        <w:rPr/>
        <w:t>%。</w:t>
      </w:r>
    </w:p>
    <w:p>
      <w:pPr>
        <w:pStyle w:val="null3"/>
        <w:outlineLvl w:val="3"/>
      </w:pPr>
      <w:r>
        <w:rPr>
          <w:sz w:val="24"/>
          <w:b/>
        </w:rPr>
        <w:t>3.3.6违约责任与解决争议的方法</w:t>
      </w:r>
    </w:p>
    <w:p>
      <w:pPr>
        <w:pStyle w:val="null3"/>
      </w:pPr>
      <w:r>
        <w:rPr/>
        <w:t>采购包1：</w:t>
      </w:r>
    </w:p>
    <w:p>
      <w:pPr>
        <w:pStyle w:val="null3"/>
      </w:pPr>
      <w:r>
        <w:rPr/>
        <w:t>按招标文件、投标文件及合同约定执行</w:t>
      </w:r>
    </w:p>
    <w:p>
      <w:pPr>
        <w:pStyle w:val="null3"/>
      </w:pPr>
      <w:r>
        <w:rPr/>
        <w:t>采购包2：</w:t>
      </w:r>
    </w:p>
    <w:p>
      <w:pPr>
        <w:pStyle w:val="null3"/>
      </w:pPr>
      <w:r>
        <w:rPr/>
        <w:t>按招标文件、投标文件及合同约定执行</w:t>
      </w:r>
    </w:p>
    <w:p>
      <w:pPr>
        <w:pStyle w:val="null3"/>
      </w:pPr>
      <w:r>
        <w:rPr/>
        <w:t>采购包3：</w:t>
      </w:r>
    </w:p>
    <w:p>
      <w:pPr>
        <w:pStyle w:val="null3"/>
      </w:pPr>
      <w:r>
        <w:rPr/>
        <w:t>按招标文件、投标文件及合同约定执行</w:t>
      </w:r>
    </w:p>
    <w:p>
      <w:pPr>
        <w:pStyle w:val="null3"/>
        <w:jc w:val="left"/>
        <w:outlineLvl w:val="2"/>
      </w:pPr>
      <w:r>
        <w:rPr>
          <w:sz w:val="28"/>
          <w:b/>
        </w:rPr>
        <w:t>3.5其他要求</w:t>
      </w:r>
    </w:p>
    <w:p>
      <w:pPr>
        <w:pStyle w:val="null3"/>
      </w:pPr>
      <w:r>
        <w:rPr/>
        <w:t>1、维保期限3年，本次预算为1年预算；2、为顺利推进政府采购电子化交易平台试点应用工作，供应商需要在线提交所有通过电子化交易平台实施的政府采购项目的投标文件，同时，线下提交投标文件正本 壹 份、副本 贰 套、电子版壹 套（U盘一套标明供应商名称，随正本密封）。若系统电子投标文件与纸质投标文件不一致的，以系统电子投标文件为准。 3、定标环节采购人有权对响应文件承诺响应的内容进行复核，如有虚假响应，一经发现，取消成交资格并上报财政主管部门，列入政府采购黑名单。</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资格响应表</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资格响应表</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资格响应表</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资格响应表</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资格响应表</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资格响应表</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资格响应表</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资格响应表</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资格响应表</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法定代表人授权委托书</w:t>
            </w:r>
          </w:p>
        </w:tc>
        <w:tc>
          <w:tcPr>
            <w:tcW w:type="dxa" w:w="3322"/>
          </w:tcPr>
          <w:p>
            <w:pPr>
              <w:pStyle w:val="null3"/>
            </w:pPr>
            <w:r>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t>资格响应表</w:t>
            </w:r>
          </w:p>
        </w:tc>
      </w:tr>
      <w:tr>
        <w:tc>
          <w:tcPr>
            <w:tcW w:type="dxa" w:w="831"/>
          </w:tcPr>
          <w:p>
            <w:pPr>
              <w:pStyle w:val="null3"/>
            </w:pPr>
            <w:r>
              <w:rPr/>
              <w:t>2</w:t>
            </w:r>
          </w:p>
        </w:tc>
        <w:tc>
          <w:tcPr>
            <w:tcW w:type="dxa" w:w="2492"/>
          </w:tcPr>
          <w:p>
            <w:pPr>
              <w:pStyle w:val="null3"/>
            </w:pPr>
            <w:r>
              <w:rPr/>
              <w:t>本项目不接受联合体投标</w:t>
            </w:r>
          </w:p>
        </w:tc>
        <w:tc>
          <w:tcPr>
            <w:tcW w:type="dxa" w:w="3322"/>
          </w:tcPr>
          <w:p>
            <w:pPr>
              <w:pStyle w:val="null3"/>
            </w:pPr>
            <w:r>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t>资格响应表</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法定代表人授权委托书</w:t>
            </w:r>
          </w:p>
        </w:tc>
        <w:tc>
          <w:tcPr>
            <w:tcW w:type="dxa" w:w="3322"/>
          </w:tcPr>
          <w:p>
            <w:pPr>
              <w:pStyle w:val="null3"/>
            </w:pPr>
            <w:r>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t>资格响应表</w:t>
            </w:r>
          </w:p>
        </w:tc>
      </w:tr>
      <w:tr>
        <w:tc>
          <w:tcPr>
            <w:tcW w:type="dxa" w:w="831"/>
          </w:tcPr>
          <w:p>
            <w:pPr>
              <w:pStyle w:val="null3"/>
            </w:pPr>
            <w:r>
              <w:rPr/>
              <w:t>2</w:t>
            </w:r>
          </w:p>
        </w:tc>
        <w:tc>
          <w:tcPr>
            <w:tcW w:type="dxa" w:w="2492"/>
          </w:tcPr>
          <w:p>
            <w:pPr>
              <w:pStyle w:val="null3"/>
            </w:pPr>
            <w:r>
              <w:rPr/>
              <w:t>本项目不接受联合体投标</w:t>
            </w:r>
          </w:p>
        </w:tc>
        <w:tc>
          <w:tcPr>
            <w:tcW w:type="dxa" w:w="3322"/>
          </w:tcPr>
          <w:p>
            <w:pPr>
              <w:pStyle w:val="null3"/>
            </w:pPr>
            <w:r>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t>资格响应表</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法定代表人授权委托书</w:t>
            </w:r>
          </w:p>
        </w:tc>
        <w:tc>
          <w:tcPr>
            <w:tcW w:type="dxa" w:w="3322"/>
          </w:tcPr>
          <w:p>
            <w:pPr>
              <w:pStyle w:val="null3"/>
            </w:pPr>
            <w:r>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t>资格响应表</w:t>
            </w:r>
          </w:p>
        </w:tc>
      </w:tr>
      <w:tr>
        <w:tc>
          <w:tcPr>
            <w:tcW w:type="dxa" w:w="831"/>
          </w:tcPr>
          <w:p>
            <w:pPr>
              <w:pStyle w:val="null3"/>
            </w:pPr>
            <w:r>
              <w:rPr/>
              <w:t>2</w:t>
            </w:r>
          </w:p>
        </w:tc>
        <w:tc>
          <w:tcPr>
            <w:tcW w:type="dxa" w:w="2492"/>
          </w:tcPr>
          <w:p>
            <w:pPr>
              <w:pStyle w:val="null3"/>
            </w:pPr>
            <w:r>
              <w:rPr/>
              <w:t>本项目不接受联合体投标</w:t>
            </w:r>
          </w:p>
        </w:tc>
        <w:tc>
          <w:tcPr>
            <w:tcW w:type="dxa" w:w="3322"/>
          </w:tcPr>
          <w:p>
            <w:pPr>
              <w:pStyle w:val="null3"/>
            </w:pPr>
            <w:r>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t>资格响应表</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 总则</w:t>
      </w:r>
    </w:p>
    <w:p>
      <w:pPr>
        <w:pStyle w:val="null3"/>
        <w:ind w:firstLine="480"/>
      </w:pPr>
      <w:r>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（三）根据需要要求采购组织单位对招标文件作出解释；根据需要要求供应商对投标文件有关事项作出 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5.3评标方法</w:t>
      </w:r>
    </w:p>
    <w:p>
      <w:pPr>
        <w:pStyle w:val="null3"/>
      </w:pPr>
      <w:r>
        <w:rPr/>
        <w:t>采购包1：综合评分法</w:t>
      </w:r>
    </w:p>
    <w:p>
      <w:pPr>
        <w:pStyle w:val="null3"/>
      </w:pPr>
      <w:r>
        <w:rPr/>
        <w:t>采购包2：综合评分法</w:t>
      </w:r>
    </w:p>
    <w:p>
      <w:pPr>
        <w:pStyle w:val="null3"/>
      </w:pPr>
      <w:r>
        <w:rPr/>
        <w:t>采购包3：综合评分法</w:t>
      </w:r>
    </w:p>
    <w:p>
      <w:pPr>
        <w:pStyle w:val="null3"/>
        <w:outlineLvl w:val="2"/>
      </w:pPr>
      <w:r>
        <w:rPr>
          <w:sz w:val="28"/>
          <w:b/>
        </w:rPr>
        <w:t>5.4评标程序</w:t>
      </w:r>
    </w:p>
    <w:p>
      <w:pPr>
        <w:pStyle w:val="null3"/>
        <w:outlineLvl w:val="3"/>
      </w:pPr>
      <w:r>
        <w:rPr>
          <w:sz w:val="24"/>
          <w:b/>
        </w:rPr>
        <w:t>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维保期限</w:t>
            </w:r>
          </w:p>
        </w:tc>
        <w:tc>
          <w:tcPr>
            <w:tcW w:type="dxa" w:w="3322"/>
          </w:tcPr>
          <w:p>
            <w:pPr>
              <w:pStyle w:val="null3"/>
            </w:pPr>
            <w:r>
              <w:rPr/>
              <w:t>维保期限3年。 合同1年一签，根据服务质量情况甲方有权决定是否续签。</w:t>
            </w:r>
          </w:p>
        </w:tc>
        <w:tc>
          <w:tcPr>
            <w:tcW w:type="dxa" w:w="1661"/>
          </w:tcPr>
          <w:p>
            <w:pPr>
              <w:pStyle w:val="null3"/>
            </w:pPr>
            <w:r>
              <w:rPr/>
              <w:t>商务及技术偏离表 报价表及分项报价表</w:t>
            </w:r>
          </w:p>
        </w:tc>
      </w:tr>
      <w:tr>
        <w:tc>
          <w:tcPr>
            <w:tcW w:type="dxa" w:w="831"/>
          </w:tcPr>
          <w:p>
            <w:pPr>
              <w:pStyle w:val="null3"/>
            </w:pPr>
            <w:r>
              <w:rPr/>
              <w:t>3</w:t>
            </w:r>
          </w:p>
        </w:tc>
        <w:tc>
          <w:tcPr>
            <w:tcW w:type="dxa" w:w="2492"/>
          </w:tcPr>
          <w:p>
            <w:pPr>
              <w:pStyle w:val="null3"/>
            </w:pPr>
            <w:r>
              <w:rPr/>
              <w:t>支付约定</w:t>
            </w:r>
          </w:p>
        </w:tc>
        <w:tc>
          <w:tcPr>
            <w:tcW w:type="dxa" w:w="3322"/>
          </w:tcPr>
          <w:p>
            <w:pPr>
              <w:pStyle w:val="null3"/>
            </w:pPr>
            <w:r>
              <w:rPr/>
              <w:t>合同期保期结束后，乙方提供维保记录、维保验收表等相关资料，经甲方确认考核通过后，支付当年维保费用的100%。在付款前，乙方必须开具符合税务规定的发票给甲方，否则，甲方有权拒绝付款，无需承担任何责任，且乙方不得以此为由拒绝履行合同义务 ，达到付款条件起 30 日内，支付合同总金额的 100.00%。</w:t>
            </w:r>
          </w:p>
        </w:tc>
        <w:tc>
          <w:tcPr>
            <w:tcW w:type="dxa" w:w="1661"/>
          </w:tcPr>
          <w:p>
            <w:pPr>
              <w:pStyle w:val="null3"/>
            </w:pPr>
            <w:r>
              <w:rPr/>
              <w:t>商务及技术偏离表 报价表及分项报价表</w:t>
            </w:r>
          </w:p>
        </w:tc>
      </w:tr>
      <w:tr>
        <w:tc>
          <w:tcPr>
            <w:tcW w:type="dxa" w:w="831"/>
          </w:tcPr>
          <w:p>
            <w:pPr>
              <w:pStyle w:val="null3"/>
            </w:pPr>
            <w:r>
              <w:rPr/>
              <w:t>4</w:t>
            </w:r>
          </w:p>
        </w:tc>
        <w:tc>
          <w:tcPr>
            <w:tcW w:type="dxa" w:w="2492"/>
          </w:tcPr>
          <w:p>
            <w:pPr>
              <w:pStyle w:val="null3"/>
            </w:pPr>
            <w:r>
              <w:rPr/>
              <w:t>投标有效期</w:t>
            </w:r>
          </w:p>
        </w:tc>
        <w:tc>
          <w:tcPr>
            <w:tcW w:type="dxa" w:w="3322"/>
          </w:tcPr>
          <w:p>
            <w:pPr>
              <w:pStyle w:val="null3"/>
            </w:pPr>
            <w:r>
              <w:rPr/>
              <w:t>90天</w:t>
            </w:r>
          </w:p>
        </w:tc>
        <w:tc>
          <w:tcPr>
            <w:tcW w:type="dxa" w:w="1661"/>
          </w:tcPr>
          <w:p>
            <w:pPr>
              <w:pStyle w:val="null3"/>
            </w:pPr>
            <w:r>
              <w:rPr/>
              <w:t>商务及技术偏离表 投标函</w:t>
            </w:r>
          </w:p>
        </w:tc>
      </w:tr>
      <w:tr>
        <w:tc>
          <w:tcPr>
            <w:tcW w:type="dxa" w:w="831"/>
          </w:tcPr>
          <w:p>
            <w:pPr>
              <w:pStyle w:val="null3"/>
            </w:pPr>
            <w:r>
              <w:rPr/>
              <w:t>5</w:t>
            </w:r>
          </w:p>
        </w:tc>
        <w:tc>
          <w:tcPr>
            <w:tcW w:type="dxa" w:w="2492"/>
          </w:tcPr>
          <w:p>
            <w:pPr>
              <w:pStyle w:val="null3"/>
            </w:pPr>
            <w:r>
              <w:rPr/>
              <w:t>供应商有法律、规章、规范性文件和招标文件规定的其他无效情形，按无效响应处理</w:t>
            </w:r>
          </w:p>
        </w:tc>
        <w:tc>
          <w:tcPr>
            <w:tcW w:type="dxa" w:w="3322"/>
          </w:tcPr>
          <w:p>
            <w:pPr>
              <w:pStyle w:val="null3"/>
            </w:pPr>
            <w:r>
              <w:rPr/>
              <w:t>供应商有法律、规章、规范性文件和招标文件规定的其他无效情形，按无效响应处理</w:t>
            </w:r>
          </w:p>
        </w:tc>
        <w:tc>
          <w:tcPr>
            <w:tcW w:type="dxa" w:w="1661"/>
          </w:tcPr>
          <w:p>
            <w:pPr>
              <w:pStyle w:val="null3"/>
            </w:pPr>
            <w:r>
              <w:rPr/>
              <w:t>商务及技术偏离表 投标函 投标文件封面 报价表及分项报价表</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维保期限</w:t>
            </w:r>
          </w:p>
        </w:tc>
        <w:tc>
          <w:tcPr>
            <w:tcW w:type="dxa" w:w="3322"/>
          </w:tcPr>
          <w:p>
            <w:pPr>
              <w:pStyle w:val="null3"/>
            </w:pPr>
            <w:r>
              <w:rPr/>
              <w:t>维保期限3年。 合同1年一签，根据服务质量情况甲方有权决定是否续签。</w:t>
            </w:r>
          </w:p>
        </w:tc>
        <w:tc>
          <w:tcPr>
            <w:tcW w:type="dxa" w:w="1661"/>
          </w:tcPr>
          <w:p>
            <w:pPr>
              <w:pStyle w:val="null3"/>
            </w:pPr>
            <w:r>
              <w:rPr/>
              <w:t>商务及技术偏离表 报价表及分项报价表</w:t>
            </w:r>
          </w:p>
        </w:tc>
      </w:tr>
      <w:tr>
        <w:tc>
          <w:tcPr>
            <w:tcW w:type="dxa" w:w="831"/>
          </w:tcPr>
          <w:p>
            <w:pPr>
              <w:pStyle w:val="null3"/>
            </w:pPr>
            <w:r>
              <w:rPr/>
              <w:t>3</w:t>
            </w:r>
          </w:p>
        </w:tc>
        <w:tc>
          <w:tcPr>
            <w:tcW w:type="dxa" w:w="2492"/>
          </w:tcPr>
          <w:p>
            <w:pPr>
              <w:pStyle w:val="null3"/>
            </w:pPr>
            <w:r>
              <w:rPr/>
              <w:t>支付约定</w:t>
            </w:r>
          </w:p>
        </w:tc>
        <w:tc>
          <w:tcPr>
            <w:tcW w:type="dxa" w:w="3322"/>
          </w:tcPr>
          <w:p>
            <w:pPr>
              <w:pStyle w:val="null3"/>
            </w:pPr>
            <w:r>
              <w:rPr/>
              <w:t>合同期保期结束后，乙方提供维保记录、维保验收表等相关资料，经甲方确认考核通过后，支付当年维保费用的100%。在付款前，乙方必须开具符合税务规定的发票给甲方，否则，甲方有权拒绝付款，无需承担任何责任，且乙方不得以此为由拒绝履行合同义务 ，达到付款条件起 30 日内，支付合同总金额的 100.00%。</w:t>
            </w:r>
          </w:p>
        </w:tc>
        <w:tc>
          <w:tcPr>
            <w:tcW w:type="dxa" w:w="1661"/>
          </w:tcPr>
          <w:p>
            <w:pPr>
              <w:pStyle w:val="null3"/>
            </w:pPr>
            <w:r>
              <w:rPr/>
              <w:t>商务及技术偏离表 报价表及分项报价表</w:t>
            </w:r>
          </w:p>
        </w:tc>
      </w:tr>
      <w:tr>
        <w:tc>
          <w:tcPr>
            <w:tcW w:type="dxa" w:w="831"/>
          </w:tcPr>
          <w:p>
            <w:pPr>
              <w:pStyle w:val="null3"/>
            </w:pPr>
            <w:r>
              <w:rPr/>
              <w:t>4</w:t>
            </w:r>
          </w:p>
        </w:tc>
        <w:tc>
          <w:tcPr>
            <w:tcW w:type="dxa" w:w="2492"/>
          </w:tcPr>
          <w:p>
            <w:pPr>
              <w:pStyle w:val="null3"/>
            </w:pPr>
            <w:r>
              <w:rPr/>
              <w:t>投标有效期</w:t>
            </w:r>
          </w:p>
        </w:tc>
        <w:tc>
          <w:tcPr>
            <w:tcW w:type="dxa" w:w="3322"/>
          </w:tcPr>
          <w:p>
            <w:pPr>
              <w:pStyle w:val="null3"/>
            </w:pPr>
            <w:r>
              <w:rPr/>
              <w:t>90天</w:t>
            </w:r>
          </w:p>
        </w:tc>
        <w:tc>
          <w:tcPr>
            <w:tcW w:type="dxa" w:w="1661"/>
          </w:tcPr>
          <w:p>
            <w:pPr>
              <w:pStyle w:val="null3"/>
            </w:pPr>
            <w:r>
              <w:rPr/>
              <w:t>商务及技术偏离表 投标函</w:t>
            </w:r>
          </w:p>
        </w:tc>
      </w:tr>
      <w:tr>
        <w:tc>
          <w:tcPr>
            <w:tcW w:type="dxa" w:w="831"/>
          </w:tcPr>
          <w:p>
            <w:pPr>
              <w:pStyle w:val="null3"/>
            </w:pPr>
            <w:r>
              <w:rPr/>
              <w:t>5</w:t>
            </w:r>
          </w:p>
        </w:tc>
        <w:tc>
          <w:tcPr>
            <w:tcW w:type="dxa" w:w="2492"/>
          </w:tcPr>
          <w:p>
            <w:pPr>
              <w:pStyle w:val="null3"/>
            </w:pPr>
            <w:r>
              <w:rPr/>
              <w:t>供应商有法律、规章、规范性文件和招标文件规定的其他无效情形，按无效响应处理</w:t>
            </w:r>
          </w:p>
        </w:tc>
        <w:tc>
          <w:tcPr>
            <w:tcW w:type="dxa" w:w="3322"/>
          </w:tcPr>
          <w:p>
            <w:pPr>
              <w:pStyle w:val="null3"/>
            </w:pPr>
            <w:r>
              <w:rPr/>
              <w:t>供应商有法律、规章、规范性文件和招标文件规定的其他无效情形，按无效响应处理</w:t>
            </w:r>
          </w:p>
        </w:tc>
        <w:tc>
          <w:tcPr>
            <w:tcW w:type="dxa" w:w="1661"/>
          </w:tcPr>
          <w:p>
            <w:pPr>
              <w:pStyle w:val="null3"/>
            </w:pPr>
            <w:r>
              <w:rPr/>
              <w:t>商务及技术偏离表 投标函 投标文件封面 报价表及分项报价表</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维保期限</w:t>
            </w:r>
          </w:p>
        </w:tc>
        <w:tc>
          <w:tcPr>
            <w:tcW w:type="dxa" w:w="3322"/>
          </w:tcPr>
          <w:p>
            <w:pPr>
              <w:pStyle w:val="null3"/>
            </w:pPr>
            <w:r>
              <w:rPr/>
              <w:t>维保期限3年。 合同1年一签，根据服务质量情况甲方有权决定是否续签。</w:t>
            </w:r>
          </w:p>
        </w:tc>
        <w:tc>
          <w:tcPr>
            <w:tcW w:type="dxa" w:w="1661"/>
          </w:tcPr>
          <w:p>
            <w:pPr>
              <w:pStyle w:val="null3"/>
            </w:pPr>
            <w:r>
              <w:rPr/>
              <w:t>商务及技术偏离表 报价表及分项报价表</w:t>
            </w:r>
          </w:p>
        </w:tc>
      </w:tr>
      <w:tr>
        <w:tc>
          <w:tcPr>
            <w:tcW w:type="dxa" w:w="831"/>
          </w:tcPr>
          <w:p>
            <w:pPr>
              <w:pStyle w:val="null3"/>
            </w:pPr>
            <w:r>
              <w:rPr/>
              <w:t>3</w:t>
            </w:r>
          </w:p>
        </w:tc>
        <w:tc>
          <w:tcPr>
            <w:tcW w:type="dxa" w:w="2492"/>
          </w:tcPr>
          <w:p>
            <w:pPr>
              <w:pStyle w:val="null3"/>
            </w:pPr>
            <w:r>
              <w:rPr/>
              <w:t>支付约定</w:t>
            </w:r>
          </w:p>
        </w:tc>
        <w:tc>
          <w:tcPr>
            <w:tcW w:type="dxa" w:w="3322"/>
          </w:tcPr>
          <w:p>
            <w:pPr>
              <w:pStyle w:val="null3"/>
            </w:pPr>
            <w:r>
              <w:rPr/>
              <w:t>合同期保期结束后，乙方提供维保记录、维保验收表等相关资料，经甲方确认考核通过后，支付当年维保费用的100%。在付款前，乙方必须开具符合税务规定的发票给甲方，否则，甲方有权拒绝付款，无需承担任何责任，且乙方不得以此为由拒绝履行合同义务 ，达到付款条件起 30 日内，支付合同总金额的 100.00%。</w:t>
            </w:r>
          </w:p>
        </w:tc>
        <w:tc>
          <w:tcPr>
            <w:tcW w:type="dxa" w:w="1661"/>
          </w:tcPr>
          <w:p>
            <w:pPr>
              <w:pStyle w:val="null3"/>
            </w:pPr>
            <w:r>
              <w:rPr/>
              <w:t>商务及技术偏离表 报价表及分项报价表</w:t>
            </w:r>
          </w:p>
        </w:tc>
      </w:tr>
      <w:tr>
        <w:tc>
          <w:tcPr>
            <w:tcW w:type="dxa" w:w="831"/>
          </w:tcPr>
          <w:p>
            <w:pPr>
              <w:pStyle w:val="null3"/>
            </w:pPr>
            <w:r>
              <w:rPr/>
              <w:t>4</w:t>
            </w:r>
          </w:p>
        </w:tc>
        <w:tc>
          <w:tcPr>
            <w:tcW w:type="dxa" w:w="2492"/>
          </w:tcPr>
          <w:p>
            <w:pPr>
              <w:pStyle w:val="null3"/>
            </w:pPr>
            <w:r>
              <w:rPr/>
              <w:t>投标有效期</w:t>
            </w:r>
          </w:p>
        </w:tc>
        <w:tc>
          <w:tcPr>
            <w:tcW w:type="dxa" w:w="3322"/>
          </w:tcPr>
          <w:p>
            <w:pPr>
              <w:pStyle w:val="null3"/>
            </w:pPr>
            <w:r>
              <w:rPr/>
              <w:t>90天</w:t>
            </w:r>
          </w:p>
        </w:tc>
        <w:tc>
          <w:tcPr>
            <w:tcW w:type="dxa" w:w="1661"/>
          </w:tcPr>
          <w:p>
            <w:pPr>
              <w:pStyle w:val="null3"/>
            </w:pPr>
            <w:r>
              <w:rPr/>
              <w:t>商务及技术偏离表 投标函</w:t>
            </w:r>
          </w:p>
        </w:tc>
      </w:tr>
      <w:tr>
        <w:tc>
          <w:tcPr>
            <w:tcW w:type="dxa" w:w="831"/>
          </w:tcPr>
          <w:p>
            <w:pPr>
              <w:pStyle w:val="null3"/>
            </w:pPr>
            <w:r>
              <w:rPr/>
              <w:t>5</w:t>
            </w:r>
          </w:p>
        </w:tc>
        <w:tc>
          <w:tcPr>
            <w:tcW w:type="dxa" w:w="2492"/>
          </w:tcPr>
          <w:p>
            <w:pPr>
              <w:pStyle w:val="null3"/>
            </w:pPr>
            <w:r>
              <w:rPr/>
              <w:t>供应商有法律、规章、规范性文件和招标文件规定的其他无效情形，按无效响应处理</w:t>
            </w:r>
          </w:p>
        </w:tc>
        <w:tc>
          <w:tcPr>
            <w:tcW w:type="dxa" w:w="3322"/>
          </w:tcPr>
          <w:p>
            <w:pPr>
              <w:pStyle w:val="null3"/>
            </w:pPr>
            <w:r>
              <w:rPr/>
              <w:t>供应商有法律、规章、规范性文件和招标文件规定的其他无效情形，按无效响应处理</w:t>
            </w:r>
          </w:p>
        </w:tc>
        <w:tc>
          <w:tcPr>
            <w:tcW w:type="dxa" w:w="1661"/>
          </w:tcPr>
          <w:p>
            <w:pPr>
              <w:pStyle w:val="null3"/>
            </w:pPr>
            <w:r>
              <w:rPr/>
              <w:t>商务及技术偏离表 投标函 投标文件封面 报价表及分项报价表</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采购包2：</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采购包3：</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三、评标方法和标准；</w:t>
      </w:r>
    </w:p>
    <w:p>
      <w:pPr>
        <w:pStyle w:val="null3"/>
        <w:ind w:firstLine="480"/>
      </w:pPr>
      <w:r>
        <w:rPr/>
        <w:t>四、开标记录和评标情况及说明，包括投标无效投标人名单及原因；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六、其他需要说明的情况，包括评标过程中投标人根据评标委员会要求进行的澄清、说明或者更正，评标委员会成员的更换等；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 xml:space="preserve"> （综合评分法适用）采用综合评分法的，由评标委员会各成员对通过资格检查和符合性审查的投标人的投标文件进行独立评审。</w:t>
      </w:r>
    </w:p>
    <w:p>
      <w:pPr>
        <w:pStyle w:val="null3"/>
        <w:ind w:firstLine="480"/>
      </w:pPr>
      <w:r>
        <w:rPr/>
        <w:t>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详细评审85.0000分</w:t>
            </w:r>
          </w:p>
          <w:p>
            <w:pPr>
              <w:pStyle w:val="null3"/>
            </w:pPr>
            <w:r>
              <w:rPr/>
              <w:t>报价得分15.0000分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技术响应</w:t>
            </w:r>
          </w:p>
        </w:tc>
        <w:tc>
          <w:tcPr>
            <w:tcW w:type="dxa" w:w="2492"/>
          </w:tcPr>
          <w:p>
            <w:pPr>
              <w:pStyle w:val="null3"/>
            </w:pPr>
            <w:r>
              <w:rPr/>
              <w:t>投标人所投项目方案必须明确并逐条响应，并完全满足本项目全部采购数量和要求。其中： （1）全部满足本项目采购数量和要求得18分 （2）如任意一条未满足数量和要求扣2分，扣完为止</w:t>
            </w:r>
          </w:p>
        </w:tc>
        <w:tc>
          <w:tcPr>
            <w:tcW w:type="dxa" w:w="831"/>
          </w:tcPr>
          <w:p>
            <w:pPr>
              <w:pStyle w:val="null3"/>
              <w:jc w:val="right"/>
            </w:pPr>
            <w:r>
              <w:rPr/>
              <w:t>18.0000</w:t>
            </w:r>
          </w:p>
        </w:tc>
        <w:tc>
          <w:tcPr>
            <w:tcW w:type="dxa" w:w="831"/>
          </w:tcPr>
          <w:p>
            <w:pPr>
              <w:pStyle w:val="null3"/>
            </w:pPr>
            <w:r>
              <w:rPr/>
              <w:t>客观</w:t>
            </w:r>
          </w:p>
        </w:tc>
        <w:tc>
          <w:tcPr>
            <w:tcW w:type="dxa" w:w="1661"/>
          </w:tcPr>
          <w:p>
            <w:pPr>
              <w:pStyle w:val="null3"/>
            </w:pPr>
            <w:r>
              <w:rPr/>
              <w:t>服务方案、人员表及供应商认为有必要提供的其他内容-1包</w:t>
            </w:r>
          </w:p>
          <w:p>
            <w:pPr>
              <w:pStyle w:val="null3"/>
            </w:pPr>
            <w:r>
              <w:rPr/>
              <w:t>商务及技术偏离表</w:t>
            </w:r>
          </w:p>
        </w:tc>
      </w:tr>
      <w:tr>
        <w:tc>
          <w:tcPr>
            <w:tcW w:type="dxa" w:w="831"/>
            <w:vMerge/>
          </w:tcPr>
          <w:p/>
        </w:tc>
        <w:tc>
          <w:tcPr>
            <w:tcW w:type="dxa" w:w="1661"/>
          </w:tcPr>
          <w:p>
            <w:pPr>
              <w:pStyle w:val="null3"/>
            </w:pPr>
            <w:r>
              <w:rPr/>
              <w:t>服务标准</w:t>
            </w:r>
          </w:p>
        </w:tc>
        <w:tc>
          <w:tcPr>
            <w:tcW w:type="dxa" w:w="2492"/>
          </w:tcPr>
          <w:p>
            <w:pPr>
              <w:pStyle w:val="null3"/>
            </w:pPr>
            <w:r>
              <w:rPr/>
              <w:t>一、评审内容 结合本项目特点，制定科学合理的服务标准，提交详细的服务方案、流程、服务记录文档模板，方案包含：①主动式服务；②双活数据中心运维；③存储双活系统运维的难点分析及应对。 二、评审标准 1、完整性：方案须全面，对评审内容中的各项要求有详细描述及说明； 2、可实施性：切合本项目实际情况，实施步骤清晰、合理； 3、针对性：方案能够紧扣标段实际情况，内容科学合理。 三、赋分标准（满分9分） ①主动式服务：每完全满足一项评审标准得1分，满分3分； ②双活数据中心运维:每完全满足一项评审标准得1分，满分3分； ③存储双活系统运维的难点分析及应对：每完全满足一项评审标准得1分，满分3分。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服务方案、人员表及供应商认为有必要提供的其他内容-1包</w:t>
            </w:r>
          </w:p>
        </w:tc>
      </w:tr>
      <w:tr>
        <w:tc>
          <w:tcPr>
            <w:tcW w:type="dxa" w:w="831"/>
            <w:vMerge/>
          </w:tcPr>
          <w:p/>
        </w:tc>
        <w:tc>
          <w:tcPr>
            <w:tcW w:type="dxa" w:w="1661"/>
          </w:tcPr>
          <w:p>
            <w:pPr>
              <w:pStyle w:val="null3"/>
            </w:pPr>
            <w:r>
              <w:rPr/>
              <w:t>应用支撑方案</w:t>
            </w:r>
          </w:p>
        </w:tc>
        <w:tc>
          <w:tcPr>
            <w:tcW w:type="dxa" w:w="2492"/>
          </w:tcPr>
          <w:p>
            <w:pPr>
              <w:pStyle w:val="null3"/>
            </w:pPr>
            <w:r>
              <w:rPr/>
              <w:t>一、评审内容 针对维保硬件上运行的HIS、PACS、LIS、EMR等系统的稳定运行和数据安全，提供完整、可行的支撑方案，方案包含：①整体支撑方案；②虚拟化平台、云计算管理平台维护升级方案；③迁移实施方案。 二、评审标准 1、完整性：方案须全面，对评审内容中的各项要求有详细描述及说明； 2、可实施性：切合本项目实际情况，实施步骤清晰、合理； 3、针对性：方案能够紧扣标段实际情况，内容科学合理。 三、赋分标准（满分9分） ①整体支撑方案：每完全满足一项评审标准得1分，满分3分； ②虚拟化平台、云计算管理平台维护升级方案:每完全满足一项评审标准得1分，满分3分； ③迁移实施方案：每完全满足一项评审标准得1分，满分3分。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服务方案、人员表及供应商认为有必要提供的其他内容-1包</w:t>
            </w:r>
          </w:p>
        </w:tc>
      </w:tr>
      <w:tr>
        <w:tc>
          <w:tcPr>
            <w:tcW w:type="dxa" w:w="831"/>
            <w:vMerge/>
          </w:tcPr>
          <w:p/>
        </w:tc>
        <w:tc>
          <w:tcPr>
            <w:tcW w:type="dxa" w:w="1661"/>
          </w:tcPr>
          <w:p>
            <w:pPr>
              <w:pStyle w:val="null3"/>
            </w:pPr>
            <w:r>
              <w:rPr/>
              <w:t>数据库运维方案</w:t>
            </w:r>
          </w:p>
        </w:tc>
        <w:tc>
          <w:tcPr>
            <w:tcW w:type="dxa" w:w="2492"/>
          </w:tcPr>
          <w:p>
            <w:pPr>
              <w:pStyle w:val="null3"/>
            </w:pPr>
            <w:r>
              <w:rPr/>
              <w:t>一、评审内容 按照招标文件要求对维保对象制定维保运维计划方案，方案包含：①整体维保方案、包含免费提供咨询、更新升级、维保周期及日程等承诺；②容灾备份措施；③根据存储服务器的实际情况和数据库增量情况的优化方案。 二、评审标准 1、完整性：方案须全面，对评审内容中的各项要求有详细描述及说明； 2、可实施性：切合本项目实际情况，实施步骤清晰、合理； 3、针对性：方案能够紧扣标段实际情况，内容科学合理。 三、赋分标准（满分9分） ①整体维保方案、包含免费提供咨询、更新升级、维保周期及日程等承诺：每完全满足一项评审标准得1分，满分3分； ②容灾备份措施:每完全满足一项评审标准得1分，满分3分； ③根据存储服务器的实际情况和数据库增量情况的优化方案：每完全满足一项评审标准得1分，满分3分。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服务方案、人员表及供应商认为有必要提供的其他内容-1包</w:t>
            </w:r>
          </w:p>
        </w:tc>
      </w:tr>
      <w:tr>
        <w:tc>
          <w:tcPr>
            <w:tcW w:type="dxa" w:w="831"/>
            <w:vMerge/>
          </w:tcPr>
          <w:p/>
        </w:tc>
        <w:tc>
          <w:tcPr>
            <w:tcW w:type="dxa" w:w="1661"/>
          </w:tcPr>
          <w:p>
            <w:pPr>
              <w:pStyle w:val="null3"/>
            </w:pPr>
            <w:r>
              <w:rPr/>
              <w:t>备件支持保障方案</w:t>
            </w:r>
          </w:p>
        </w:tc>
        <w:tc>
          <w:tcPr>
            <w:tcW w:type="dxa" w:w="2492"/>
          </w:tcPr>
          <w:p>
            <w:pPr>
              <w:pStyle w:val="null3"/>
            </w:pPr>
            <w:r>
              <w:rPr/>
              <w:t>一、评审内容 提供备件支持保障方案，方案包含：①详细具体的备件保障方案；②为本项目准备的备品备件清单。 二、评审标准 1、完整性：方案须全面，对评审内容中的各项要求有详细描述及说明； 2、可实施性：切合本项目实际情况，实施步骤清晰、合理； 3、针对性：方案能够紧扣标段实际情况，内容科学合理。 三、赋分标准（满分6分） ①详细具体的备件保障方案：每完全满足一项评审标准得1分，满分3分； ②为本项目准备的备品备件清单:每完全满足一项评审标准得1分，满分3分；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服务方案、人员表及供应商认为有必要提供的其他内容-1包</w:t>
            </w:r>
          </w:p>
        </w:tc>
      </w:tr>
      <w:tr>
        <w:tc>
          <w:tcPr>
            <w:tcW w:type="dxa" w:w="831"/>
            <w:vMerge/>
          </w:tcPr>
          <w:p/>
        </w:tc>
        <w:tc>
          <w:tcPr>
            <w:tcW w:type="dxa" w:w="1661"/>
          </w:tcPr>
          <w:p>
            <w:pPr>
              <w:pStyle w:val="null3"/>
            </w:pPr>
            <w:r>
              <w:rPr/>
              <w:t>应急措施</w:t>
            </w:r>
          </w:p>
        </w:tc>
        <w:tc>
          <w:tcPr>
            <w:tcW w:type="dxa" w:w="2492"/>
          </w:tcPr>
          <w:p>
            <w:pPr>
              <w:pStyle w:val="null3"/>
            </w:pPr>
            <w:r>
              <w:rPr/>
              <w:t>一、评审内容 针对预警的突发事件，有具体可行的应急方案，方案包含：①应急措施；②解决方案。 二、评审标准 1、完整性：方案须全面，对评审内容中的各项要求有详细描述及说明； 2、可实施性：切合本项目实际情况，实施步骤清晰、合理； 3、针对性：方案能够紧扣标段实际情况，内容科学合理。 三、赋分标准（满分6分） ①应急措施：每完全满足一项评审标准得1分，满分3分； ②解决方案:每完全满足一项评审标准得1分，满分3分；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服务方案、人员表及供应商认为有必要提供的其他内容-1包</w:t>
            </w:r>
          </w:p>
        </w:tc>
      </w:tr>
      <w:tr>
        <w:tc>
          <w:tcPr>
            <w:tcW w:type="dxa" w:w="831"/>
            <w:vMerge/>
          </w:tcPr>
          <w:p/>
        </w:tc>
        <w:tc>
          <w:tcPr>
            <w:tcW w:type="dxa" w:w="1661"/>
          </w:tcPr>
          <w:p>
            <w:pPr>
              <w:pStyle w:val="null3"/>
            </w:pPr>
            <w:r>
              <w:rPr/>
              <w:t>运维能力1</w:t>
            </w:r>
          </w:p>
        </w:tc>
        <w:tc>
          <w:tcPr>
            <w:tcW w:type="dxa" w:w="2492"/>
          </w:tcPr>
          <w:p>
            <w:pPr>
              <w:pStyle w:val="null3"/>
            </w:pPr>
            <w:r>
              <w:rPr/>
              <w:t>投标人具有ITSS信息技术服务运行维护标准符合性证书三级得1分，二级得2分，一级得3分，未提供不得分；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服务方案、人员表及供应商认为有必要提供的其他内容-1包</w:t>
            </w:r>
          </w:p>
        </w:tc>
      </w:tr>
      <w:tr>
        <w:tc>
          <w:tcPr>
            <w:tcW w:type="dxa" w:w="831"/>
            <w:vMerge/>
          </w:tcPr>
          <w:p/>
        </w:tc>
        <w:tc>
          <w:tcPr>
            <w:tcW w:type="dxa" w:w="1661"/>
          </w:tcPr>
          <w:p>
            <w:pPr>
              <w:pStyle w:val="null3"/>
            </w:pPr>
            <w:r>
              <w:rPr/>
              <w:t>运维能力2</w:t>
            </w:r>
          </w:p>
        </w:tc>
        <w:tc>
          <w:tcPr>
            <w:tcW w:type="dxa" w:w="2492"/>
          </w:tcPr>
          <w:p>
            <w:pPr>
              <w:pStyle w:val="null3"/>
            </w:pPr>
            <w:r>
              <w:rPr/>
              <w:t>投标人具有信息安全服务资质认证(CCRC)证书（信息系统安全集成一级得1.5分、二级得1分，三级得0.5分，未提供不得分）、信息安全服务资质认证(CCRC)证书（信息安全应急处理一级得1.5分、二级得1分，三级得0.5分，未提供不得分）、信息安全服务资质认证(CCRC)证书（信息系统灾难备份与恢复(B)一级得1.5分、二级得1分，三级得0.5分，未提供不得分）；</w:t>
            </w:r>
          </w:p>
        </w:tc>
        <w:tc>
          <w:tcPr>
            <w:tcW w:type="dxa" w:w="831"/>
          </w:tcPr>
          <w:p>
            <w:pPr>
              <w:pStyle w:val="null3"/>
              <w:jc w:val="right"/>
            </w:pPr>
            <w:r>
              <w:rPr/>
              <w:t>4.5000</w:t>
            </w:r>
          </w:p>
        </w:tc>
        <w:tc>
          <w:tcPr>
            <w:tcW w:type="dxa" w:w="831"/>
          </w:tcPr>
          <w:p>
            <w:pPr>
              <w:pStyle w:val="null3"/>
            </w:pPr>
            <w:r>
              <w:rPr/>
              <w:t>客观</w:t>
            </w:r>
          </w:p>
        </w:tc>
        <w:tc>
          <w:tcPr>
            <w:tcW w:type="dxa" w:w="1661"/>
          </w:tcPr>
          <w:p>
            <w:pPr>
              <w:pStyle w:val="null3"/>
            </w:pPr>
            <w:r>
              <w:rPr/>
              <w:t>服务方案、人员表及供应商认为有必要提供的其他内容-1包</w:t>
            </w:r>
          </w:p>
        </w:tc>
      </w:tr>
      <w:tr>
        <w:tc>
          <w:tcPr>
            <w:tcW w:type="dxa" w:w="831"/>
            <w:vMerge/>
          </w:tcPr>
          <w:p/>
        </w:tc>
        <w:tc>
          <w:tcPr>
            <w:tcW w:type="dxa" w:w="1661"/>
          </w:tcPr>
          <w:p>
            <w:pPr>
              <w:pStyle w:val="null3"/>
            </w:pPr>
            <w:r>
              <w:rPr/>
              <w:t>运维能力3</w:t>
            </w:r>
          </w:p>
        </w:tc>
        <w:tc>
          <w:tcPr>
            <w:tcW w:type="dxa" w:w="2492"/>
          </w:tcPr>
          <w:p>
            <w:pPr>
              <w:pStyle w:val="null3"/>
            </w:pPr>
            <w:r>
              <w:rPr/>
              <w:t>投标人具备国家信息安全漏洞库（CNNVD）技术支撑单位登记证书，证书等级为一级得1.5分，二级得1分，三级得0.5分，未提供不得分；</w:t>
            </w:r>
          </w:p>
        </w:tc>
        <w:tc>
          <w:tcPr>
            <w:tcW w:type="dxa" w:w="831"/>
          </w:tcPr>
          <w:p>
            <w:pPr>
              <w:pStyle w:val="null3"/>
              <w:jc w:val="right"/>
            </w:pPr>
            <w:r>
              <w:rPr/>
              <w:t>1.5000</w:t>
            </w:r>
          </w:p>
        </w:tc>
        <w:tc>
          <w:tcPr>
            <w:tcW w:type="dxa" w:w="831"/>
          </w:tcPr>
          <w:p>
            <w:pPr>
              <w:pStyle w:val="null3"/>
            </w:pPr>
            <w:r>
              <w:rPr/>
              <w:t>客观</w:t>
            </w:r>
          </w:p>
        </w:tc>
        <w:tc>
          <w:tcPr>
            <w:tcW w:type="dxa" w:w="1661"/>
          </w:tcPr>
          <w:p>
            <w:pPr>
              <w:pStyle w:val="null3"/>
            </w:pPr>
            <w:r>
              <w:rPr/>
              <w:t>服务方案、人员表及供应商认为有必要提供的其他内容-1包</w:t>
            </w:r>
          </w:p>
        </w:tc>
      </w:tr>
      <w:tr>
        <w:tc>
          <w:tcPr>
            <w:tcW w:type="dxa" w:w="831"/>
            <w:vMerge/>
          </w:tcPr>
          <w:p/>
        </w:tc>
        <w:tc>
          <w:tcPr>
            <w:tcW w:type="dxa" w:w="1661"/>
          </w:tcPr>
          <w:p>
            <w:pPr>
              <w:pStyle w:val="null3"/>
            </w:pPr>
            <w:r>
              <w:rPr/>
              <w:t>运维能力4</w:t>
            </w:r>
          </w:p>
        </w:tc>
        <w:tc>
          <w:tcPr>
            <w:tcW w:type="dxa" w:w="2492"/>
          </w:tcPr>
          <w:p>
            <w:pPr>
              <w:pStyle w:val="null3"/>
            </w:pPr>
            <w:r>
              <w:rPr/>
              <w:t>投标人具备ISO/IEC20000 IT服务管理体系、ISO/IEC27001信息安全管理体系；以上证书全部提供计2分，缺失任意一项扣1分，扣完为止</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服务方案、人员表及供应商认为有必要提供的其他内容-1包</w:t>
            </w:r>
          </w:p>
        </w:tc>
      </w:tr>
      <w:tr>
        <w:tc>
          <w:tcPr>
            <w:tcW w:type="dxa" w:w="831"/>
            <w:vMerge/>
          </w:tcPr>
          <w:p/>
        </w:tc>
        <w:tc>
          <w:tcPr>
            <w:tcW w:type="dxa" w:w="1661"/>
          </w:tcPr>
          <w:p>
            <w:pPr>
              <w:pStyle w:val="null3"/>
            </w:pPr>
            <w:r>
              <w:rPr/>
              <w:t>项目组团队运维人员1</w:t>
            </w:r>
          </w:p>
        </w:tc>
        <w:tc>
          <w:tcPr>
            <w:tcW w:type="dxa" w:w="2492"/>
          </w:tcPr>
          <w:p>
            <w:pPr>
              <w:pStyle w:val="null3"/>
            </w:pPr>
            <w:r>
              <w:rPr/>
              <w:t>项目组团队配备1名项目经理具备信息系统项目管理师-高级，得2分，具备信息系统项目管理师-中级得1分，初级或无级别不得分，共计2分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服务方案、人员表及供应商认为有必要提供的其他内容-1包</w:t>
            </w:r>
          </w:p>
        </w:tc>
      </w:tr>
      <w:tr>
        <w:tc>
          <w:tcPr>
            <w:tcW w:type="dxa" w:w="831"/>
            <w:vMerge/>
          </w:tcPr>
          <w:p/>
        </w:tc>
        <w:tc>
          <w:tcPr>
            <w:tcW w:type="dxa" w:w="1661"/>
          </w:tcPr>
          <w:p>
            <w:pPr>
              <w:pStyle w:val="null3"/>
            </w:pPr>
            <w:r>
              <w:rPr/>
              <w:t>项目组团队运维人员2</w:t>
            </w:r>
          </w:p>
        </w:tc>
        <w:tc>
          <w:tcPr>
            <w:tcW w:type="dxa" w:w="2492"/>
          </w:tcPr>
          <w:p>
            <w:pPr>
              <w:pStyle w:val="null3"/>
            </w:pPr>
            <w:r>
              <w:rPr/>
              <w:t>项目组团队配备2名安全工程师(CISP)得2分，1名得1分，没有不得分，共计2分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服务方案、人员表及供应商认为有必要提供的其他内容-1包</w:t>
            </w:r>
          </w:p>
        </w:tc>
      </w:tr>
      <w:tr>
        <w:tc>
          <w:tcPr>
            <w:tcW w:type="dxa" w:w="831"/>
            <w:vMerge/>
          </w:tcPr>
          <w:p/>
        </w:tc>
        <w:tc>
          <w:tcPr>
            <w:tcW w:type="dxa" w:w="1661"/>
          </w:tcPr>
          <w:p>
            <w:pPr>
              <w:pStyle w:val="null3"/>
            </w:pPr>
            <w:r>
              <w:rPr/>
              <w:t>项目组团队运维人员3</w:t>
            </w:r>
          </w:p>
        </w:tc>
        <w:tc>
          <w:tcPr>
            <w:tcW w:type="dxa" w:w="2492"/>
          </w:tcPr>
          <w:p>
            <w:pPr>
              <w:pStyle w:val="null3"/>
            </w:pPr>
            <w:r>
              <w:rPr/>
              <w:t>项目组团队配备2名运维工程师(ITIL)得2分，1名得1分，没有不得分，共计2分；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服务方案、人员表及供应商认为有必要提供的其他内容-1包</w:t>
            </w:r>
          </w:p>
        </w:tc>
      </w:tr>
      <w:tr>
        <w:tc>
          <w:tcPr>
            <w:tcW w:type="dxa" w:w="831"/>
            <w:vMerge/>
          </w:tcPr>
          <w:p/>
        </w:tc>
        <w:tc>
          <w:tcPr>
            <w:tcW w:type="dxa" w:w="1661"/>
          </w:tcPr>
          <w:p>
            <w:pPr>
              <w:pStyle w:val="null3"/>
            </w:pPr>
            <w:r>
              <w:rPr/>
              <w:t>项目组团队运维人员4</w:t>
            </w:r>
          </w:p>
        </w:tc>
        <w:tc>
          <w:tcPr>
            <w:tcW w:type="dxa" w:w="2492"/>
          </w:tcPr>
          <w:p>
            <w:pPr>
              <w:pStyle w:val="null3"/>
            </w:pPr>
            <w:r>
              <w:rPr/>
              <w:t>项目组团队配备2名Oracle OCM认证工程师得2分，1名得1分，没有不得分，共计2分。 注：团队人员须提供2024年在本单位缴纳的任意1个月内的社保证明及相关专业认证证书，同一人员不重复计分。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服务方案、人员表及供应商认为有必要提供的其他内容-1包</w:t>
            </w:r>
          </w:p>
        </w:tc>
      </w:tr>
      <w:tr>
        <w:tc>
          <w:tcPr>
            <w:tcW w:type="dxa" w:w="831"/>
            <w:vMerge/>
          </w:tcPr>
          <w:p/>
        </w:tc>
        <w:tc>
          <w:tcPr>
            <w:tcW w:type="dxa" w:w="1661"/>
          </w:tcPr>
          <w:p>
            <w:pPr>
              <w:pStyle w:val="null3"/>
            </w:pPr>
            <w:r>
              <w:rPr/>
              <w:t>驻场服务1</w:t>
            </w:r>
          </w:p>
        </w:tc>
        <w:tc>
          <w:tcPr>
            <w:tcW w:type="dxa" w:w="2492"/>
          </w:tcPr>
          <w:p>
            <w:pPr>
              <w:pStyle w:val="null3"/>
            </w:pPr>
            <w:r>
              <w:rPr/>
              <w:t>针对医院现状，提供合理的全职驻场服务人员，驻场人员须有3年以上工作经验（提供2024年在本单位缴纳的任意1个月内的社保证明），根据所承诺的驻场人员数量进行打分： 1）投标人提供2名全职驻场人员不得分； 2）投标人提供3名全职驻场人员得2分；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服务方案、人员表及供应商认为有必要提供的其他内容-1包</w:t>
            </w:r>
          </w:p>
        </w:tc>
      </w:tr>
      <w:tr>
        <w:tc>
          <w:tcPr>
            <w:tcW w:type="dxa" w:w="831"/>
            <w:vMerge/>
          </w:tcPr>
          <w:p/>
        </w:tc>
        <w:tc>
          <w:tcPr>
            <w:tcW w:type="dxa" w:w="1661"/>
          </w:tcPr>
          <w:p>
            <w:pPr>
              <w:pStyle w:val="null3"/>
            </w:pPr>
            <w:r>
              <w:rPr/>
              <w:t>驻场服务2</w:t>
            </w:r>
          </w:p>
        </w:tc>
        <w:tc>
          <w:tcPr>
            <w:tcW w:type="dxa" w:w="2492"/>
          </w:tcPr>
          <w:p>
            <w:pPr>
              <w:pStyle w:val="null3"/>
            </w:pPr>
            <w:r>
              <w:rPr/>
              <w:t>为了保证驻场服务人员的稳定性，投标方须提供相应的保障方案，需体现明确的项目驻场人员的考勤管理、工作满意度评分表、工作守则等制度，以及与工作绩效挂钩等内容，最多得2分。每有一处缺陷扣0.5分，扣完为止。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服务方案、人员表及供应商认为有必要提供的其他内容-1包</w:t>
            </w:r>
          </w:p>
        </w:tc>
      </w:tr>
      <w:tr>
        <w:tc>
          <w:tcPr>
            <w:tcW w:type="dxa" w:w="831"/>
            <w:vMerge/>
          </w:tcPr>
          <w:p/>
        </w:tc>
        <w:tc>
          <w:tcPr>
            <w:tcW w:type="dxa" w:w="1661"/>
          </w:tcPr>
          <w:p>
            <w:pPr>
              <w:pStyle w:val="null3"/>
            </w:pPr>
            <w:r>
              <w:rPr/>
              <w:t>项目业绩</w:t>
            </w:r>
          </w:p>
        </w:tc>
        <w:tc>
          <w:tcPr>
            <w:tcW w:type="dxa" w:w="2492"/>
          </w:tcPr>
          <w:p>
            <w:pPr>
              <w:pStyle w:val="null3"/>
            </w:pPr>
            <w:r>
              <w:rPr/>
              <w:t>提供 2021 年 1 月 1 日至今类似项目业绩（以合同复印件为准），每个有效业绩得1分， 满分5分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业绩一览表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价格分采用低价优先法计算，即满足招标文件要求且投标价格最低的投标报价为评审基准价，其价格分为满分。其他投标人的价格分统一按照下列公式计算：投标报价得分=（评审基准价/投标报价）×15 符合招标文件规定的小微企业、监狱企业优惠条件的供应商，价格给予10%的扣除，用扣除后的价格参与评审。</w:t>
            </w:r>
          </w:p>
        </w:tc>
        <w:tc>
          <w:tcPr>
            <w:tcW w:type="dxa" w:w="831"/>
          </w:tcPr>
          <w:p>
            <w:pPr>
              <w:pStyle w:val="null3"/>
              <w:jc w:val="right"/>
            </w:pPr>
            <w:r>
              <w:rPr/>
              <w:t>15.0000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详细评审85.0000分</w:t>
            </w:r>
          </w:p>
          <w:p>
            <w:pPr>
              <w:pStyle w:val="null3"/>
            </w:pPr>
            <w:r>
              <w:rPr/>
              <w:t>报价得分15.0000分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技术响应</w:t>
            </w:r>
          </w:p>
        </w:tc>
        <w:tc>
          <w:tcPr>
            <w:tcW w:type="dxa" w:w="2492"/>
          </w:tcPr>
          <w:p>
            <w:pPr>
              <w:pStyle w:val="null3"/>
            </w:pPr>
            <w:r>
              <w:rPr/>
              <w:t>投标人所投项目方案必须明确并逐条响应，并完全满足本项目全部采购数量和要求。其中： （1）全部满足本项目采购数量和要求得12分 （2）如任意一条未满足数量和要求扣2分，扣完为止</w:t>
            </w:r>
          </w:p>
        </w:tc>
        <w:tc>
          <w:tcPr>
            <w:tcW w:type="dxa" w:w="831"/>
          </w:tcPr>
          <w:p>
            <w:pPr>
              <w:pStyle w:val="null3"/>
              <w:jc w:val="right"/>
            </w:pPr>
            <w:r>
              <w:rPr/>
              <w:t>12.0000</w:t>
            </w:r>
          </w:p>
        </w:tc>
        <w:tc>
          <w:tcPr>
            <w:tcW w:type="dxa" w:w="831"/>
          </w:tcPr>
          <w:p>
            <w:pPr>
              <w:pStyle w:val="null3"/>
            </w:pPr>
            <w:r>
              <w:rPr/>
              <w:t>客观</w:t>
            </w:r>
          </w:p>
        </w:tc>
        <w:tc>
          <w:tcPr>
            <w:tcW w:type="dxa" w:w="1661"/>
          </w:tcPr>
          <w:p>
            <w:pPr>
              <w:pStyle w:val="null3"/>
            </w:pPr>
            <w:r>
              <w:rPr/>
              <w:t>服务方案、人员表及供应商认为有必要提供的其他内容-2包</w:t>
            </w:r>
          </w:p>
          <w:p>
            <w:pPr>
              <w:pStyle w:val="null3"/>
            </w:pPr>
            <w:r>
              <w:rPr/>
              <w:t>商务及技术偏离表</w:t>
            </w:r>
          </w:p>
        </w:tc>
      </w:tr>
      <w:tr>
        <w:tc>
          <w:tcPr>
            <w:tcW w:type="dxa" w:w="831"/>
            <w:vMerge/>
          </w:tcPr>
          <w:p/>
        </w:tc>
        <w:tc>
          <w:tcPr>
            <w:tcW w:type="dxa" w:w="1661"/>
          </w:tcPr>
          <w:p>
            <w:pPr>
              <w:pStyle w:val="null3"/>
            </w:pPr>
            <w:r>
              <w:rPr/>
              <w:t>技术运维方案</w:t>
            </w:r>
          </w:p>
        </w:tc>
        <w:tc>
          <w:tcPr>
            <w:tcW w:type="dxa" w:w="2492"/>
          </w:tcPr>
          <w:p>
            <w:pPr>
              <w:pStyle w:val="null3"/>
            </w:pPr>
            <w:r>
              <w:rPr/>
              <w:t>一、评审内容 针对招标文件的服务内容要求及医院现状，根据投标方运维经验定制详细的技术运维方案，方案包含：①网络及网络安全设备软硬件巡检过程中的常见问题进行分析；②常见问题的处理解决方法和时限、记录文档模板；③突发情况应急处置方案。 二、评审标准 1、完整性：方案须全面，对评审内容中的各项要求有详细描述及说明； 2、可实施性：切合本项目实际情况，实施步骤清晰、合理； 3、针对性：方案能够紧扣标段实际情况，内容科学合理。 三、赋分标准（满分9分） ①网络及网络安全设备软硬件巡检过程中的常见问题进行分析：每完全满足一项评审标准得1分，满分3分； ②常见问题的处理解决方法和时限、记录文档模板:每完全满足一项评审标准得1分，满分3分； ③突发情况应急处置方案：每完全满足一项评审标准得1分，满分3分。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服务方案、人员表及供应商认为有必要提供的其他内容-2包</w:t>
            </w:r>
          </w:p>
        </w:tc>
      </w:tr>
      <w:tr>
        <w:tc>
          <w:tcPr>
            <w:tcW w:type="dxa" w:w="831"/>
            <w:vMerge/>
          </w:tcPr>
          <w:p/>
        </w:tc>
        <w:tc>
          <w:tcPr>
            <w:tcW w:type="dxa" w:w="1661"/>
          </w:tcPr>
          <w:p>
            <w:pPr>
              <w:pStyle w:val="null3"/>
            </w:pPr>
            <w:r>
              <w:rPr/>
              <w:t>服务方案</w:t>
            </w:r>
          </w:p>
        </w:tc>
        <w:tc>
          <w:tcPr>
            <w:tcW w:type="dxa" w:w="2492"/>
          </w:tcPr>
          <w:p>
            <w:pPr>
              <w:pStyle w:val="null3"/>
            </w:pPr>
            <w:r>
              <w:rPr/>
              <w:t>一、评审内容 针对招标文件的服务内容要求及医院现状，根据投标方运维经验定制详细的服务方案，方案包含：①完整的服务流程、服务标准、服务质量；②项目管理、人员配置；③报告模板、应急保障等。 二、评审标准 1、完整性：方案须全面，对评审内容中的各项要求有详细描述及说明； 2、可实施性：切合本项目实际情况，实施步骤清晰、合理； 3、针对性：方案能够紧扣标段实际情况，内容科学合理。 三、赋分标准（满分9分） ①完整的服务流程、服务标准、服务质量：每完全满足一项评审标准得1分，满分3分； ②项目管理、人员配置:每完全满足一项评审标准得1分，满分3分； ③报告模板、应急保障等：每完全满足一项评审标准得1分，满分3分。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服务方案、人员表及供应商认为有必要提供的其他内容-2包</w:t>
            </w:r>
          </w:p>
        </w:tc>
      </w:tr>
      <w:tr>
        <w:tc>
          <w:tcPr>
            <w:tcW w:type="dxa" w:w="831"/>
            <w:vMerge/>
          </w:tcPr>
          <w:p/>
        </w:tc>
        <w:tc>
          <w:tcPr>
            <w:tcW w:type="dxa" w:w="1661"/>
          </w:tcPr>
          <w:p>
            <w:pPr>
              <w:pStyle w:val="null3"/>
            </w:pPr>
            <w:r>
              <w:rPr/>
              <w:t>维护和升级方案</w:t>
            </w:r>
          </w:p>
        </w:tc>
        <w:tc>
          <w:tcPr>
            <w:tcW w:type="dxa" w:w="2492"/>
          </w:tcPr>
          <w:p>
            <w:pPr>
              <w:pStyle w:val="null3"/>
            </w:pPr>
            <w:r>
              <w:rPr/>
              <w:t>一、评审内容 提供医院现有网络及网络安全设备升级到最新版本的维护和升级方案，方案包含：①详细的维护和升级方案；②确保系统升级不影响业务正常运行的措施。 二、评审标准 1、完整性：方案须全面，对评审内容中的各项要求有详细描述及说明； 2、可实施性：切合本项目实际情况，实施步骤清晰、合理； 3、针对性：方案能够紧扣标段实际情况，内容科学合理。 三、赋分标准（满分6分） ①详细的维护和升级方案：每完全满足一项评审标准得1分，满分3分； ②确保系统升级不影响业务正常运行的措施:每完全满足一项评审标准得1分，满分3分；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服务方案、人员表及供应商认为有必要提供的其他内容-2包</w:t>
            </w:r>
          </w:p>
        </w:tc>
      </w:tr>
      <w:tr>
        <w:tc>
          <w:tcPr>
            <w:tcW w:type="dxa" w:w="831"/>
            <w:vMerge/>
          </w:tcPr>
          <w:p/>
        </w:tc>
        <w:tc>
          <w:tcPr>
            <w:tcW w:type="dxa" w:w="1661"/>
          </w:tcPr>
          <w:p>
            <w:pPr>
              <w:pStyle w:val="null3"/>
            </w:pPr>
            <w:r>
              <w:rPr/>
              <w:t>备件支持保障方案</w:t>
            </w:r>
          </w:p>
        </w:tc>
        <w:tc>
          <w:tcPr>
            <w:tcW w:type="dxa" w:w="2492"/>
          </w:tcPr>
          <w:p>
            <w:pPr>
              <w:pStyle w:val="null3"/>
            </w:pPr>
            <w:r>
              <w:rPr/>
              <w:t>一、评审内容 提供备件支持保障方案，方案包含：①详细具体的备件保障方案；②为本项目准备的备品备件清单。 二、评审标准 1、完整性：方案须全面，对评审内容中的各项要求有详细描述及说明； 2、可实施性：切合本项目实际情况，实施步骤清晰、合理； 3、针对性：方案能够紧扣标段实际情况，内容科学合理。 三、赋分标准（满分6分） ①详细具体的备件保障方案：每完全满足一项评审标准得1分，满分3分； ②为本项目准备的备品备件清单:每完全满足一项评审标准得1分，满分3分；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服务方案、人员表及供应商认为有必要提供的其他内容-2包</w:t>
            </w:r>
          </w:p>
        </w:tc>
      </w:tr>
      <w:tr>
        <w:tc>
          <w:tcPr>
            <w:tcW w:type="dxa" w:w="831"/>
            <w:vMerge/>
          </w:tcPr>
          <w:p/>
        </w:tc>
        <w:tc>
          <w:tcPr>
            <w:tcW w:type="dxa" w:w="1661"/>
          </w:tcPr>
          <w:p>
            <w:pPr>
              <w:pStyle w:val="null3"/>
            </w:pPr>
            <w:r>
              <w:rPr/>
              <w:t>应急措施</w:t>
            </w:r>
          </w:p>
        </w:tc>
        <w:tc>
          <w:tcPr>
            <w:tcW w:type="dxa" w:w="2492"/>
          </w:tcPr>
          <w:p>
            <w:pPr>
              <w:pStyle w:val="null3"/>
            </w:pPr>
            <w:r>
              <w:rPr/>
              <w:t>一、评审内容 针对预警的突发事件，有具体可行的应急方案，方案包含：①应急措施；②解决方案。 二、评审标准 1、完整性：方案须全面，对评审内容中的各项要求有详细描述及说明； 2、可实施性：切合本项目实际情况，实施步骤清晰、合理； 3、针对性：方案能够紧扣标段实际情况，内容科学合理。 三、赋分标准（满分6分） ①应急措施：每完全满足一项评审标准得1分，满分3分； ②解决方案:每完全满足一项评审标准得1分，满分3分；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服务方案、人员表及供应商认为有必要提供的其他内容-2包</w:t>
            </w:r>
          </w:p>
        </w:tc>
      </w:tr>
      <w:tr>
        <w:tc>
          <w:tcPr>
            <w:tcW w:type="dxa" w:w="831"/>
            <w:vMerge/>
          </w:tcPr>
          <w:p/>
        </w:tc>
        <w:tc>
          <w:tcPr>
            <w:tcW w:type="dxa" w:w="1661"/>
          </w:tcPr>
          <w:p>
            <w:pPr>
              <w:pStyle w:val="null3"/>
            </w:pPr>
            <w:r>
              <w:rPr/>
              <w:t>服务保障方案</w:t>
            </w:r>
          </w:p>
        </w:tc>
        <w:tc>
          <w:tcPr>
            <w:tcW w:type="dxa" w:w="2492"/>
          </w:tcPr>
          <w:p>
            <w:pPr>
              <w:pStyle w:val="null3"/>
            </w:pPr>
            <w:r>
              <w:rPr/>
              <w:t>一、评审内容 针对本项目实际需求提供详细具体可行的服务巡检计划及服务承诺，方案包含：①详细的服务巡检方案，明确保修期限、保修期内的保修内容与范围等内容；②服务团队人员配备，及时高效的服务能力承诺 二、评审标准 1、完整性：方案须全面，对评审内容中的各项要求有详细描述及说明； 2、可实施性：切合本项目实际情况，实施步骤清晰、合理； 3、针对性：方案能够紧扣标段实际情况，内容科学合理。 三、赋分标准（满分6分） ①详细的服务巡检方案，明确保修期限、保修期内的保修内容与范围等内容：每完全满足一项评审标准得1分，满分3分； ②服务团队人员配备，及时高效的服务能力承诺:每完全满足一项评审标准得1分，满分3分；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服务方案、人员表及供应商认为有必要提供的其他内容-2包</w:t>
            </w:r>
          </w:p>
        </w:tc>
      </w:tr>
      <w:tr>
        <w:tc>
          <w:tcPr>
            <w:tcW w:type="dxa" w:w="831"/>
            <w:vMerge/>
          </w:tcPr>
          <w:p/>
        </w:tc>
        <w:tc>
          <w:tcPr>
            <w:tcW w:type="dxa" w:w="1661"/>
          </w:tcPr>
          <w:p>
            <w:pPr>
              <w:pStyle w:val="null3"/>
            </w:pPr>
            <w:r>
              <w:rPr/>
              <w:t>运维能力1</w:t>
            </w:r>
          </w:p>
        </w:tc>
        <w:tc>
          <w:tcPr>
            <w:tcW w:type="dxa" w:w="2492"/>
          </w:tcPr>
          <w:p>
            <w:pPr>
              <w:pStyle w:val="null3"/>
            </w:pPr>
            <w:r>
              <w:rPr/>
              <w:t>1、投标人具有ITSS信息技术服务运行维护标准符合性证书三级得1分，二级得2分，一级得3分，未提供不得分；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服务方案、人员表及供应商认为有必要提供的其他内容-2包</w:t>
            </w:r>
          </w:p>
        </w:tc>
      </w:tr>
      <w:tr>
        <w:tc>
          <w:tcPr>
            <w:tcW w:type="dxa" w:w="831"/>
            <w:vMerge/>
          </w:tcPr>
          <w:p/>
        </w:tc>
        <w:tc>
          <w:tcPr>
            <w:tcW w:type="dxa" w:w="1661"/>
          </w:tcPr>
          <w:p>
            <w:pPr>
              <w:pStyle w:val="null3"/>
            </w:pPr>
            <w:r>
              <w:rPr/>
              <w:t>运维能力2</w:t>
            </w:r>
          </w:p>
        </w:tc>
        <w:tc>
          <w:tcPr>
            <w:tcW w:type="dxa" w:w="2492"/>
          </w:tcPr>
          <w:p>
            <w:pPr>
              <w:pStyle w:val="null3"/>
            </w:pPr>
            <w:r>
              <w:rPr/>
              <w:t>投标人具有信息系统建设和服务能力等级证书CS3及以上资质证书，计3分；CS2资质证书计2分；CS1资质证书计1分，未提供不得分；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服务方案、人员表及供应商认为有必要提供的其他内容-2包</w:t>
            </w:r>
          </w:p>
        </w:tc>
      </w:tr>
      <w:tr>
        <w:tc>
          <w:tcPr>
            <w:tcW w:type="dxa" w:w="831"/>
            <w:vMerge/>
          </w:tcPr>
          <w:p/>
        </w:tc>
        <w:tc>
          <w:tcPr>
            <w:tcW w:type="dxa" w:w="1661"/>
          </w:tcPr>
          <w:p>
            <w:pPr>
              <w:pStyle w:val="null3"/>
            </w:pPr>
            <w:r>
              <w:rPr/>
              <w:t>运维能力3</w:t>
            </w:r>
          </w:p>
        </w:tc>
        <w:tc>
          <w:tcPr>
            <w:tcW w:type="dxa" w:w="2492"/>
          </w:tcPr>
          <w:p>
            <w:pPr>
              <w:pStyle w:val="null3"/>
            </w:pPr>
            <w:r>
              <w:rPr/>
              <w:t>投标人具备ISO/IEC 20000 IT服务管理体系、ISO/IEC 27001信息安全管理体系；以上证书全部提供计2分，缺失任意一项扣1分，扣完为止。</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服务方案、人员表及供应商认为有必要提供的其他内容-2包</w:t>
            </w:r>
          </w:p>
        </w:tc>
      </w:tr>
      <w:tr>
        <w:tc>
          <w:tcPr>
            <w:tcW w:type="dxa" w:w="831"/>
            <w:vMerge/>
          </w:tcPr>
          <w:p/>
        </w:tc>
        <w:tc>
          <w:tcPr>
            <w:tcW w:type="dxa" w:w="1661"/>
          </w:tcPr>
          <w:p>
            <w:pPr>
              <w:pStyle w:val="null3"/>
            </w:pPr>
            <w:r>
              <w:rPr/>
              <w:t>运维能力4</w:t>
            </w:r>
          </w:p>
        </w:tc>
        <w:tc>
          <w:tcPr>
            <w:tcW w:type="dxa" w:w="2492"/>
          </w:tcPr>
          <w:p>
            <w:pPr>
              <w:pStyle w:val="null3"/>
            </w:pPr>
            <w:r>
              <w:rPr/>
              <w:t>投标人具有CCRC信息系统安全运维类证书得1.5分；具有CCRC信息系统安全集成类证书得1.5分，未提供不得分。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服务方案、人员表及供应商认为有必要提供的其他内容-2包</w:t>
            </w:r>
          </w:p>
        </w:tc>
      </w:tr>
      <w:tr>
        <w:tc>
          <w:tcPr>
            <w:tcW w:type="dxa" w:w="831"/>
            <w:vMerge/>
          </w:tcPr>
          <w:p/>
        </w:tc>
        <w:tc>
          <w:tcPr>
            <w:tcW w:type="dxa" w:w="1661"/>
          </w:tcPr>
          <w:p>
            <w:pPr>
              <w:pStyle w:val="null3"/>
            </w:pPr>
            <w:r>
              <w:rPr/>
              <w:t>项目团队运维人员1</w:t>
            </w:r>
          </w:p>
        </w:tc>
        <w:tc>
          <w:tcPr>
            <w:tcW w:type="dxa" w:w="2492"/>
          </w:tcPr>
          <w:p>
            <w:pPr>
              <w:pStyle w:val="null3"/>
            </w:pPr>
            <w:r>
              <w:rPr/>
              <w:t>1、项目组团队配备1名高级项目管理师得2分，具备信息系统项目管理师-中级得1分，初级或无级别不得分，共计2分。不提供不得分；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服务方案、人员表及供应商认为有必要提供的其他内容-2包</w:t>
            </w:r>
          </w:p>
        </w:tc>
      </w:tr>
      <w:tr>
        <w:tc>
          <w:tcPr>
            <w:tcW w:type="dxa" w:w="831"/>
            <w:vMerge/>
          </w:tcPr>
          <w:p/>
        </w:tc>
        <w:tc>
          <w:tcPr>
            <w:tcW w:type="dxa" w:w="1661"/>
          </w:tcPr>
          <w:p>
            <w:pPr>
              <w:pStyle w:val="null3"/>
            </w:pPr>
            <w:r>
              <w:rPr/>
              <w:t>项目团队运维人员2</w:t>
            </w:r>
          </w:p>
        </w:tc>
        <w:tc>
          <w:tcPr>
            <w:tcW w:type="dxa" w:w="2492"/>
          </w:tcPr>
          <w:p>
            <w:pPr>
              <w:pStyle w:val="null3"/>
            </w:pPr>
            <w:r>
              <w:rPr/>
              <w:t>项目组团队成员具备ITSS认证的IT服务项目经理证书，计1分；</w:t>
            </w:r>
          </w:p>
        </w:tc>
        <w:tc>
          <w:tcPr>
            <w:tcW w:type="dxa" w:w="831"/>
          </w:tcPr>
          <w:p>
            <w:pPr>
              <w:pStyle w:val="null3"/>
              <w:jc w:val="right"/>
            </w:pPr>
            <w:r>
              <w:rPr/>
              <w:t>1.0000</w:t>
            </w:r>
          </w:p>
        </w:tc>
        <w:tc>
          <w:tcPr>
            <w:tcW w:type="dxa" w:w="831"/>
          </w:tcPr>
          <w:p>
            <w:pPr>
              <w:pStyle w:val="null3"/>
            </w:pPr>
            <w:r>
              <w:rPr/>
              <w:t>客观</w:t>
            </w:r>
          </w:p>
        </w:tc>
        <w:tc>
          <w:tcPr>
            <w:tcW w:type="dxa" w:w="1661"/>
          </w:tcPr>
          <w:p>
            <w:pPr>
              <w:pStyle w:val="null3"/>
            </w:pPr>
            <w:r>
              <w:rPr/>
              <w:t>服务方案、人员表及供应商认为有必要提供的其他内容-2包</w:t>
            </w:r>
          </w:p>
        </w:tc>
      </w:tr>
      <w:tr>
        <w:tc>
          <w:tcPr>
            <w:tcW w:type="dxa" w:w="831"/>
            <w:vMerge/>
          </w:tcPr>
          <w:p/>
        </w:tc>
        <w:tc>
          <w:tcPr>
            <w:tcW w:type="dxa" w:w="1661"/>
          </w:tcPr>
          <w:p>
            <w:pPr>
              <w:pStyle w:val="null3"/>
            </w:pPr>
            <w:r>
              <w:rPr/>
              <w:t>项目团队运维人员3</w:t>
            </w:r>
          </w:p>
        </w:tc>
        <w:tc>
          <w:tcPr>
            <w:tcW w:type="dxa" w:w="2492"/>
          </w:tcPr>
          <w:p>
            <w:pPr>
              <w:pStyle w:val="null3"/>
            </w:pPr>
            <w:r>
              <w:rPr/>
              <w:t>项目组团队成员具备CISP信息安全工程师认证证书，计1分；</w:t>
            </w:r>
          </w:p>
        </w:tc>
        <w:tc>
          <w:tcPr>
            <w:tcW w:type="dxa" w:w="831"/>
          </w:tcPr>
          <w:p>
            <w:pPr>
              <w:pStyle w:val="null3"/>
              <w:jc w:val="right"/>
            </w:pPr>
            <w:r>
              <w:rPr/>
              <w:t>1.0000</w:t>
            </w:r>
          </w:p>
        </w:tc>
        <w:tc>
          <w:tcPr>
            <w:tcW w:type="dxa" w:w="831"/>
          </w:tcPr>
          <w:p>
            <w:pPr>
              <w:pStyle w:val="null3"/>
            </w:pPr>
            <w:r>
              <w:rPr/>
              <w:t>客观</w:t>
            </w:r>
          </w:p>
        </w:tc>
        <w:tc>
          <w:tcPr>
            <w:tcW w:type="dxa" w:w="1661"/>
          </w:tcPr>
          <w:p>
            <w:pPr>
              <w:pStyle w:val="null3"/>
            </w:pPr>
            <w:r>
              <w:rPr/>
              <w:t>服务方案、人员表及供应商认为有必要提供的其他内容-2包</w:t>
            </w:r>
          </w:p>
        </w:tc>
      </w:tr>
      <w:tr>
        <w:tc>
          <w:tcPr>
            <w:tcW w:type="dxa" w:w="831"/>
            <w:vMerge/>
          </w:tcPr>
          <w:p/>
        </w:tc>
        <w:tc>
          <w:tcPr>
            <w:tcW w:type="dxa" w:w="1661"/>
          </w:tcPr>
          <w:p>
            <w:pPr>
              <w:pStyle w:val="null3"/>
            </w:pPr>
            <w:r>
              <w:rPr/>
              <w:t>项目团队运维人员4</w:t>
            </w:r>
          </w:p>
        </w:tc>
        <w:tc>
          <w:tcPr>
            <w:tcW w:type="dxa" w:w="2492"/>
          </w:tcPr>
          <w:p>
            <w:pPr>
              <w:pStyle w:val="null3"/>
            </w:pPr>
            <w:r>
              <w:rPr/>
              <w:t>项目组团队成员具备网络技术工程师，以HCIE-R&amp;S或H3CIE认证工程师证书为准，每提供1种证书计1分，最高计2分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服务方案、人员表及供应商认为有必要提供的其他内容-2包</w:t>
            </w:r>
          </w:p>
        </w:tc>
      </w:tr>
      <w:tr>
        <w:tc>
          <w:tcPr>
            <w:tcW w:type="dxa" w:w="831"/>
            <w:vMerge/>
          </w:tcPr>
          <w:p/>
        </w:tc>
        <w:tc>
          <w:tcPr>
            <w:tcW w:type="dxa" w:w="1661"/>
          </w:tcPr>
          <w:p>
            <w:pPr>
              <w:pStyle w:val="null3"/>
            </w:pPr>
            <w:r>
              <w:rPr/>
              <w:t>项目团队运维人员5</w:t>
            </w:r>
          </w:p>
        </w:tc>
        <w:tc>
          <w:tcPr>
            <w:tcW w:type="dxa" w:w="2492"/>
          </w:tcPr>
          <w:p>
            <w:pPr>
              <w:pStyle w:val="null3"/>
            </w:pPr>
            <w:r>
              <w:rPr/>
              <w:t>项目组团队配备1名操作系统认证（RHCE认证），得1 分，没有不得分，共计1分。 备注：团队人员须提供2024年在本单位缴纳的任意1个月内的社保证明及相关专业认证证书，同一人员不重复计分。</w:t>
            </w:r>
          </w:p>
        </w:tc>
        <w:tc>
          <w:tcPr>
            <w:tcW w:type="dxa" w:w="831"/>
          </w:tcPr>
          <w:p>
            <w:pPr>
              <w:pStyle w:val="null3"/>
              <w:jc w:val="right"/>
            </w:pPr>
            <w:r>
              <w:rPr/>
              <w:t>1.0000</w:t>
            </w:r>
          </w:p>
        </w:tc>
        <w:tc>
          <w:tcPr>
            <w:tcW w:type="dxa" w:w="831"/>
          </w:tcPr>
          <w:p>
            <w:pPr>
              <w:pStyle w:val="null3"/>
            </w:pPr>
            <w:r>
              <w:rPr/>
              <w:t>客观</w:t>
            </w:r>
          </w:p>
        </w:tc>
        <w:tc>
          <w:tcPr>
            <w:tcW w:type="dxa" w:w="1661"/>
          </w:tcPr>
          <w:p>
            <w:pPr>
              <w:pStyle w:val="null3"/>
            </w:pPr>
            <w:r>
              <w:rPr/>
              <w:t>服务方案、人员表及供应商认为有必要提供的其他内容-2包</w:t>
            </w:r>
          </w:p>
        </w:tc>
      </w:tr>
      <w:tr>
        <w:tc>
          <w:tcPr>
            <w:tcW w:type="dxa" w:w="831"/>
            <w:vMerge/>
          </w:tcPr>
          <w:p/>
        </w:tc>
        <w:tc>
          <w:tcPr>
            <w:tcW w:type="dxa" w:w="1661"/>
          </w:tcPr>
          <w:p>
            <w:pPr>
              <w:pStyle w:val="null3"/>
            </w:pPr>
            <w:r>
              <w:rPr/>
              <w:t>驻场服务1</w:t>
            </w:r>
          </w:p>
        </w:tc>
        <w:tc>
          <w:tcPr>
            <w:tcW w:type="dxa" w:w="2492"/>
          </w:tcPr>
          <w:p>
            <w:pPr>
              <w:pStyle w:val="null3"/>
            </w:pPr>
            <w:r>
              <w:rPr/>
              <w:t>针对医院现状，提供合理的全职驻场服务人员，驻场人员须有3年以上工作经验（提供2024年在本单位缴纳的任意1个月内的社保证明），根据所承诺的驻场人员数量进行打分： 1）投标人仅提供1名全职驻场人员不得分； 2）投标人提供2名全职驻场人员得1分；</w:t>
            </w:r>
          </w:p>
        </w:tc>
        <w:tc>
          <w:tcPr>
            <w:tcW w:type="dxa" w:w="831"/>
          </w:tcPr>
          <w:p>
            <w:pPr>
              <w:pStyle w:val="null3"/>
              <w:jc w:val="right"/>
            </w:pPr>
            <w:r>
              <w:rPr/>
              <w:t>1.0000</w:t>
            </w:r>
          </w:p>
        </w:tc>
        <w:tc>
          <w:tcPr>
            <w:tcW w:type="dxa" w:w="831"/>
          </w:tcPr>
          <w:p>
            <w:pPr>
              <w:pStyle w:val="null3"/>
            </w:pPr>
            <w:r>
              <w:rPr/>
              <w:t>客观</w:t>
            </w:r>
          </w:p>
        </w:tc>
        <w:tc>
          <w:tcPr>
            <w:tcW w:type="dxa" w:w="1661"/>
          </w:tcPr>
          <w:p>
            <w:pPr>
              <w:pStyle w:val="null3"/>
            </w:pPr>
            <w:r>
              <w:rPr/>
              <w:t>服务方案、人员表及供应商认为有必要提供的其他内容-2包</w:t>
            </w:r>
          </w:p>
        </w:tc>
      </w:tr>
      <w:tr>
        <w:tc>
          <w:tcPr>
            <w:tcW w:type="dxa" w:w="831"/>
            <w:vMerge/>
          </w:tcPr>
          <w:p/>
        </w:tc>
        <w:tc>
          <w:tcPr>
            <w:tcW w:type="dxa" w:w="1661"/>
          </w:tcPr>
          <w:p>
            <w:pPr>
              <w:pStyle w:val="null3"/>
            </w:pPr>
            <w:r>
              <w:rPr/>
              <w:t>驻场服务2</w:t>
            </w:r>
          </w:p>
        </w:tc>
        <w:tc>
          <w:tcPr>
            <w:tcW w:type="dxa" w:w="2492"/>
          </w:tcPr>
          <w:p>
            <w:pPr>
              <w:pStyle w:val="null3"/>
            </w:pPr>
            <w:r>
              <w:rPr/>
              <w:t>为了保证驻场服务人员的稳定性，投标方须提供相应的保障方案，需体现明确的项目驻场人员的考勤管理、工作满意度评分表、工作守则等制度，以及与工作绩效挂钩等内容，最多得2分。每有一处缺陷扣0.5分，扣完为止。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服务方案、人员表及供应商认为有必要提供的其他内容-2包</w:t>
            </w:r>
          </w:p>
        </w:tc>
      </w:tr>
      <w:tr>
        <w:tc>
          <w:tcPr>
            <w:tcW w:type="dxa" w:w="831"/>
            <w:vMerge/>
          </w:tcPr>
          <w:p/>
        </w:tc>
        <w:tc>
          <w:tcPr>
            <w:tcW w:type="dxa" w:w="1661"/>
          </w:tcPr>
          <w:p>
            <w:pPr>
              <w:pStyle w:val="null3"/>
            </w:pPr>
            <w:r>
              <w:rPr/>
              <w:t>项目业绩</w:t>
            </w:r>
          </w:p>
        </w:tc>
        <w:tc>
          <w:tcPr>
            <w:tcW w:type="dxa" w:w="2492"/>
          </w:tcPr>
          <w:p>
            <w:pPr>
              <w:pStyle w:val="null3"/>
            </w:pPr>
            <w:r>
              <w:rPr/>
              <w:t>提供 2021 年 1 月 1 日至今类似项目业绩（以合同复印件包含附件加盖公章为准），每个有效业绩得2分，满分10分。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业绩一览表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满足招标文件要求且投标价格最低的投标报价为评标基准价，其价格分为满分。其他投标供应商的价格分统一按照下列公式计算：投标报价得分=（评标基准价/投标报价）×15 符合招标文件规定的小微企业、监狱企业优惠条件的供应商，价格给予10%的扣除，用扣除后的价格参与评审。</w:t>
            </w:r>
          </w:p>
        </w:tc>
        <w:tc>
          <w:tcPr>
            <w:tcW w:type="dxa" w:w="831"/>
          </w:tcPr>
          <w:p>
            <w:pPr>
              <w:pStyle w:val="null3"/>
              <w:jc w:val="right"/>
            </w:pPr>
            <w:r>
              <w:rPr/>
              <w:t>15.0000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详细评审80.0000分</w:t>
            </w:r>
          </w:p>
          <w:p>
            <w:pPr>
              <w:pStyle w:val="null3"/>
            </w:pPr>
            <w:r>
              <w:rPr/>
              <w:t>报价得分20.0000分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技术响应</w:t>
            </w:r>
          </w:p>
        </w:tc>
        <w:tc>
          <w:tcPr>
            <w:tcW w:type="dxa" w:w="2492"/>
          </w:tcPr>
          <w:p>
            <w:pPr>
              <w:pStyle w:val="null3"/>
            </w:pPr>
            <w:r>
              <w:rPr/>
              <w:t>投标人所投项目方案必须明确并逐条响应，并完全满足本项目全部采购数量和要求。其中： （1）全部满足本项目采购数量和要求得20分 （2）如任意一条未满足数量和要求扣2分，扣完为止</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服务方案、人员表及供应商认为有必要提供的其他内容-3包</w:t>
            </w:r>
          </w:p>
          <w:p>
            <w:pPr>
              <w:pStyle w:val="null3"/>
            </w:pPr>
            <w:r>
              <w:rPr/>
              <w:t>商务及技术偏离表</w:t>
            </w:r>
          </w:p>
        </w:tc>
      </w:tr>
      <w:tr>
        <w:tc>
          <w:tcPr>
            <w:tcW w:type="dxa" w:w="831"/>
            <w:vMerge/>
          </w:tcPr>
          <w:p/>
        </w:tc>
        <w:tc>
          <w:tcPr>
            <w:tcW w:type="dxa" w:w="1661"/>
          </w:tcPr>
          <w:p>
            <w:pPr>
              <w:pStyle w:val="null3"/>
            </w:pPr>
            <w:r>
              <w:rPr/>
              <w:t>技术服务方案</w:t>
            </w:r>
          </w:p>
        </w:tc>
        <w:tc>
          <w:tcPr>
            <w:tcW w:type="dxa" w:w="2492"/>
          </w:tcPr>
          <w:p>
            <w:pPr>
              <w:pStyle w:val="null3"/>
            </w:pPr>
            <w:r>
              <w:rPr/>
              <w:t>一、评审内容 针对招标文件的服务内容要求及医院现状，根据投标方运维经验定制详细的技术服务方案（包含基础装修及其他设施、UPS电源、巡检和维护，电气配电、空调和给排水、新风、消防、照明、避雷及接地、综合布线、门禁和视频监控系统），方案包含：①整体维保方案；②免费提供咨询、部件更换、维保周期及日程、维保安全措施；③对系统的软件进行维护、升级等承诺；④对巡检过程中常见问题的分析及处理。 二、评审标准 1、完整性：方案须全面，对评审内容中的各项要求有详细描述及说明； 2、可实施性：切合本项目实际情况，实施步骤清晰、合理； 3、针对性：方案能够紧扣标段实际情况，内容科学合理。 三、赋分标准（满分12分） ①整体维保方案：每完全满足一项评审标准得1分，满分3分； ②免费提供咨询、部件更换、维保周期及日程、维保安全措施:每完全满足一项评审标准得1分，满分3分； ③对系统的软件进行维护、升级等承诺：每完全满足一项评审标准得1分，满分3分。 ④对巡检过程中常见问题的分析及处理：每完全满足一项评审标准得1分，满分3分。</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服务方案、人员表及供应商认为有必要提供的其他内容-3包</w:t>
            </w:r>
          </w:p>
        </w:tc>
      </w:tr>
      <w:tr>
        <w:tc>
          <w:tcPr>
            <w:tcW w:type="dxa" w:w="831"/>
            <w:vMerge/>
          </w:tcPr>
          <w:p/>
        </w:tc>
        <w:tc>
          <w:tcPr>
            <w:tcW w:type="dxa" w:w="1661"/>
          </w:tcPr>
          <w:p>
            <w:pPr>
              <w:pStyle w:val="null3"/>
            </w:pPr>
            <w:r>
              <w:rPr/>
              <w:t>应急方案</w:t>
            </w:r>
          </w:p>
        </w:tc>
        <w:tc>
          <w:tcPr>
            <w:tcW w:type="dxa" w:w="2492"/>
          </w:tcPr>
          <w:p>
            <w:pPr>
              <w:pStyle w:val="null3"/>
            </w:pPr>
            <w:r>
              <w:rPr/>
              <w:t>一、评审内容 结合采购单位实际情况，针对可能出现的突发问题情况，以及在重要时间节点和节假日时，提出应急处理方案。（包含基础装修及其他设施、UPS电源、巡检和维护，电气配电、空调和给排水、新风、消防、照明、避雷及接地、综合布线、门禁和视频监控系统），方案包含：①对可能出现的突发性问题详细的分析判断；②针对问题提出的处理措施；③针对重要时间节点和节假日时，有详细专项的值班方案；④针对重要时间节点和节假日出现问题的应急处理流程方案。 二、评审标准 1、完整性：方案须全面，对评审内容中的各项要求有详细描述及说明； 2、可实施性：切合本项目实际情况，实施步骤清晰、合理； 3、针对性：方案能够紧扣标段实际情况，内容科学合理。 三、赋分标准（满分12分） ①对可能出现的突发性问题详细的分析判断：每完全满足一项评审标准得1分，满分3分； ②针对问题提出的处理措施:每完全满足一项评审标准得1分，满分3分； ③针对重要时间节点和节假日时，有详细专项的值班方案：每完全满足一项评审标准得1分，满分3分。 ④针对重要时间节点和节假日出现问题的应急处理流程方案：每完全满足一项评审标准得1分，满分3分。</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服务方案、人员表及供应商认为有必要提供的其他内容-3包</w:t>
            </w:r>
          </w:p>
        </w:tc>
      </w:tr>
      <w:tr>
        <w:tc>
          <w:tcPr>
            <w:tcW w:type="dxa" w:w="831"/>
            <w:vMerge/>
          </w:tcPr>
          <w:p/>
        </w:tc>
        <w:tc>
          <w:tcPr>
            <w:tcW w:type="dxa" w:w="1661"/>
          </w:tcPr>
          <w:p>
            <w:pPr>
              <w:pStyle w:val="null3"/>
            </w:pPr>
            <w:r>
              <w:rPr/>
              <w:t>优化方案</w:t>
            </w:r>
          </w:p>
        </w:tc>
        <w:tc>
          <w:tcPr>
            <w:tcW w:type="dxa" w:w="2492"/>
          </w:tcPr>
          <w:p>
            <w:pPr>
              <w:pStyle w:val="null3"/>
            </w:pPr>
            <w:r>
              <w:rPr/>
              <w:t>一、评审内容 在满足采购单位对维保要求的基础上，根据UPS、电气配电、新风、消防、防雷和接地使用情况，提出优化方案，方案包含：①日常维保优化方案；②日常预防性优化维护方案；③预防和提升机房及附属设备设施的安全和使用效率的措施。 二、评审标准 1、完整性：方案须全面，对评审内容中的各项要求有详细描述及说明； 2、可实施性：切合本项目实际情况，实施步骤清晰、合理； 3、针对性：方案能够紧扣标段实际情况，内容科学合理。 三、赋分标准（满分9分） ①日常维保优化方案：每完全满足一项评审标准得1分，满分3分； ②日常预防性优化维护方案:每完全满足一项评审标准得1分，满分3分； ③预防和提升机房及附属设备设施的安全和使用效率的措施：每完全满足一项评审标准得1分，满分3分。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服务方案、人员表及供应商认为有必要提供的其他内容-3包</w:t>
            </w:r>
          </w:p>
        </w:tc>
      </w:tr>
      <w:tr>
        <w:tc>
          <w:tcPr>
            <w:tcW w:type="dxa" w:w="831"/>
            <w:vMerge/>
          </w:tcPr>
          <w:p/>
        </w:tc>
        <w:tc>
          <w:tcPr>
            <w:tcW w:type="dxa" w:w="1661"/>
          </w:tcPr>
          <w:p>
            <w:pPr>
              <w:pStyle w:val="null3"/>
            </w:pPr>
            <w:r>
              <w:rPr/>
              <w:t>服务人员管理</w:t>
            </w:r>
          </w:p>
        </w:tc>
        <w:tc>
          <w:tcPr>
            <w:tcW w:type="dxa" w:w="2492"/>
          </w:tcPr>
          <w:p>
            <w:pPr>
              <w:pStyle w:val="null3"/>
            </w:pPr>
            <w:r>
              <w:rPr/>
              <w:t>一、评审内容 供应商提供服务人员管理方案，方案包含：①详细的人员配备，服务人员须有3年以上工作经验（提供2024年在本单位缴纳的任意1个月内的社保证明）；②服务人员保障措施，需体现明确的项目驻场人员的考勤管理、工作满意度评分表、工作守则等制度，并能体现出将制度执行情况与工作绩效挂钩的。 二、评审标准 1、完整性：方案须全面，对评审内容中的各项要求有详细描述及说明； 2、可实施性：切合本项目实际情况，实施步骤清晰、合理； 3、针对性：方案能够紧扣标段实际情况，内容科学合理。 三、赋分标准（满分6分） ①详细的人员配备，服务人员须有3年以上工作经验（提供相关简历证明，劳动合同或社保证明）：每完全满足一项评审标准得1分，满分3分； ②服务人员保障措施，需体现明确的项目驻场人员的考勤管理、工作满意度评分表、工作守则等制度，并能体现出将制度执行情况与工作绩效挂钩的:每完全满足一项评审标准得1分，满分3分；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服务方案、人员表及供应商认为有必要提供的其他内容-3包</w:t>
            </w:r>
          </w:p>
        </w:tc>
      </w:tr>
      <w:tr>
        <w:tc>
          <w:tcPr>
            <w:tcW w:type="dxa" w:w="831"/>
            <w:vMerge/>
          </w:tcPr>
          <w:p/>
        </w:tc>
        <w:tc>
          <w:tcPr>
            <w:tcW w:type="dxa" w:w="1661"/>
          </w:tcPr>
          <w:p>
            <w:pPr>
              <w:pStyle w:val="null3"/>
            </w:pPr>
            <w:r>
              <w:rPr/>
              <w:t>服务团队1</w:t>
            </w:r>
          </w:p>
        </w:tc>
        <w:tc>
          <w:tcPr>
            <w:tcW w:type="dxa" w:w="2492"/>
          </w:tcPr>
          <w:p>
            <w:pPr>
              <w:pStyle w:val="null3"/>
            </w:pPr>
            <w:r>
              <w:rPr/>
              <w:t>供应商服务团队须提供相应人员资质证书及提供团队成员清单，附有效的人员证明材料、人员身份证、人员学历、相关专业）： 1、消防类（2分）：提供注册消防师证书得2分；消防设施操作员证书，得1分；其他类消防证书或没有提供，得0分。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服务方案、人员表及供应商认为有必要提供的其他内容-3包</w:t>
            </w:r>
          </w:p>
        </w:tc>
      </w:tr>
      <w:tr>
        <w:tc>
          <w:tcPr>
            <w:tcW w:type="dxa" w:w="831"/>
            <w:vMerge/>
          </w:tcPr>
          <w:p/>
        </w:tc>
        <w:tc>
          <w:tcPr>
            <w:tcW w:type="dxa" w:w="1661"/>
          </w:tcPr>
          <w:p>
            <w:pPr>
              <w:pStyle w:val="null3"/>
            </w:pPr>
            <w:r>
              <w:rPr/>
              <w:t>服务团队2</w:t>
            </w:r>
          </w:p>
        </w:tc>
        <w:tc>
          <w:tcPr>
            <w:tcW w:type="dxa" w:w="2492"/>
          </w:tcPr>
          <w:p>
            <w:pPr>
              <w:pStyle w:val="null3"/>
            </w:pPr>
            <w:r>
              <w:rPr/>
              <w:t>2、电气配电类（2分）：供应商配备注册电气工程师，得2分；配备电气工程师和智能电气工程师，得1分；配备其他电气类工程师或不配备，得0分。 注：团队人员须提供2024年在本单位缴纳的任意1个月内的社保证明及相关专业认证证书，同一人员不重复计分。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服务方案、人员表及供应商认为有必要提供的其他内容-3包</w:t>
            </w:r>
          </w:p>
        </w:tc>
      </w:tr>
      <w:tr>
        <w:tc>
          <w:tcPr>
            <w:tcW w:type="dxa" w:w="831"/>
            <w:vMerge/>
          </w:tcPr>
          <w:p/>
        </w:tc>
        <w:tc>
          <w:tcPr>
            <w:tcW w:type="dxa" w:w="1661"/>
          </w:tcPr>
          <w:p>
            <w:pPr>
              <w:pStyle w:val="null3"/>
            </w:pPr>
            <w:r>
              <w:rPr/>
              <w:t>运维能力</w:t>
            </w:r>
          </w:p>
        </w:tc>
        <w:tc>
          <w:tcPr>
            <w:tcW w:type="dxa" w:w="2492"/>
          </w:tcPr>
          <w:p>
            <w:pPr>
              <w:pStyle w:val="null3"/>
            </w:pPr>
            <w:r>
              <w:rPr/>
              <w:t>1、供应商具备ISO9001 质量认证管理体系，得1.5分； 2、供应商具备ISO14000环境管理体系认证，得1.5分；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服务方案、人员表及供应商认为有必要提供的其他内容-3包</w:t>
            </w:r>
          </w:p>
        </w:tc>
      </w:tr>
      <w:tr>
        <w:tc>
          <w:tcPr>
            <w:tcW w:type="dxa" w:w="831"/>
            <w:vMerge/>
          </w:tcPr>
          <w:p/>
        </w:tc>
        <w:tc>
          <w:tcPr>
            <w:tcW w:type="dxa" w:w="1661"/>
          </w:tcPr>
          <w:p>
            <w:pPr>
              <w:pStyle w:val="null3"/>
            </w:pPr>
            <w:r>
              <w:rPr/>
              <w:t>履约保证方案</w:t>
            </w:r>
          </w:p>
        </w:tc>
        <w:tc>
          <w:tcPr>
            <w:tcW w:type="dxa" w:w="2492"/>
          </w:tcPr>
          <w:p>
            <w:pPr>
              <w:pStyle w:val="null3"/>
            </w:pPr>
            <w:r>
              <w:rPr/>
              <w:t>一、评审内容 供应商提供详细的履约保证方案，提供技术服务团队，并具有及时高效的服务能力，方案包含：①履约技术服务团队；②及时高效的服务能力的证明及方案。 二、评审标准 1、完整性：方案须全面，对评审内容中的各项要求有详细描述及说明； 2、可实施性：切合本项目实际情况，实施步骤清晰、合理； 3、针对性：方案能够紧扣标段实际情况，内容科学合理。 三、赋分标准（满分6分） ①履约技术服务团队：每完全满足一项评审标准得1分，满分3分； ②及时高效的服务能力的证明及方案:每完全满足一项评审标准得1分，满分3分；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服务方案、人员表及供应商认为有必要提供的其他内容-3包</w:t>
            </w:r>
          </w:p>
        </w:tc>
      </w:tr>
      <w:tr>
        <w:tc>
          <w:tcPr>
            <w:tcW w:type="dxa" w:w="831"/>
            <w:vMerge/>
          </w:tcPr>
          <w:p/>
        </w:tc>
        <w:tc>
          <w:tcPr>
            <w:tcW w:type="dxa" w:w="1661"/>
          </w:tcPr>
          <w:p>
            <w:pPr>
              <w:pStyle w:val="null3"/>
            </w:pPr>
            <w:r>
              <w:rPr/>
              <w:t>项目业绩</w:t>
            </w:r>
          </w:p>
        </w:tc>
        <w:tc>
          <w:tcPr>
            <w:tcW w:type="dxa" w:w="2492"/>
          </w:tcPr>
          <w:p>
            <w:pPr>
              <w:pStyle w:val="null3"/>
            </w:pPr>
            <w:r>
              <w:rPr/>
              <w:t>提供2022年1月1日至今数据机房附属设备设施维护方面的业绩（以合同复印件和服务发票加盖公章为准），每个有效业绩得2分，满分8分。</w:t>
            </w:r>
          </w:p>
        </w:tc>
        <w:tc>
          <w:tcPr>
            <w:tcW w:type="dxa" w:w="831"/>
          </w:tcPr>
          <w:p>
            <w:pPr>
              <w:pStyle w:val="null3"/>
              <w:jc w:val="right"/>
            </w:pPr>
            <w:r>
              <w:rPr/>
              <w:t>8.0000</w:t>
            </w:r>
          </w:p>
        </w:tc>
        <w:tc>
          <w:tcPr>
            <w:tcW w:type="dxa" w:w="831"/>
          </w:tcPr>
          <w:p>
            <w:pPr>
              <w:pStyle w:val="null3"/>
            </w:pPr>
            <w:r>
              <w:rPr/>
              <w:t>客观</w:t>
            </w:r>
          </w:p>
        </w:tc>
        <w:tc>
          <w:tcPr>
            <w:tcW w:type="dxa" w:w="1661"/>
          </w:tcPr>
          <w:p>
            <w:pPr>
              <w:pStyle w:val="null3"/>
            </w:pPr>
            <w:r>
              <w:rPr/>
              <w:t>业绩一览表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满足招标文件要求且投标价格最低的投标报价为评标基准价，其价格分为满分。其他投标供应商的价格分统一按照下列公式计算：投标报价得分=（评标基准价/投标报价）×20 符合招标文件规定的小微企业、监狱企业优惠条件的供应商，价格给予10%的扣除，用扣除后的价格参与评审。</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2、评分标准中要求提供的证明材料须清晰可辨。</w:t>
      </w:r>
    </w:p>
    <w:p>
      <w:pPr>
        <w:pStyle w:val="null3"/>
        <w:ind w:firstLine="480"/>
      </w:pPr>
      <w:r>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（二）评标前，应当将通讯工具或者相关电子设备交由采购组织单位统一保管。</w:t>
      </w:r>
    </w:p>
    <w:p>
      <w:pPr>
        <w:pStyle w:val="null3"/>
        <w:ind w:firstLine="480"/>
      </w:pPr>
      <w:r>
        <w:rPr/>
        <w:t>（三）评标过程中，不得与外界联系，因发生不可预见情况，确实需要与外界联系的， 应当在监督人员监督之下办理。</w:t>
      </w:r>
    </w:p>
    <w:p>
      <w:pPr>
        <w:pStyle w:val="null3"/>
        <w:ind w:firstLine="480"/>
      </w:pPr>
      <w:r>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第6章投标文件格式</w:t>
      </w:r>
    </w:p>
    <w:p>
      <w:pPr>
        <w:pStyle w:val="null3"/>
        <w:outlineLvl w:val="2"/>
      </w:pPr>
      <w:r>
        <w:rPr>
          <w:sz w:val="28"/>
          <w:b/>
        </w:rPr>
        <w:t>6.1投标文件封面格式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详见附件：商务及技术偏离表</w:t>
      </w:r>
    </w:p>
    <w:p>
      <w:pPr>
        <w:pStyle w:val="null3"/>
        <w:ind w:firstLine="960"/>
      </w:pPr>
      <w:r>
        <w:rPr/>
        <w:t>详见附件：服务方案、人员表及供应商认为有必要提供的其他内容-1包</w:t>
      </w:r>
    </w:p>
    <w:p>
      <w:pPr>
        <w:pStyle w:val="null3"/>
        <w:ind w:firstLine="960"/>
      </w:pPr>
      <w:r>
        <w:rPr/>
        <w:t>详见附件：业绩一览表</w:t>
      </w:r>
    </w:p>
    <w:p>
      <w:pPr>
        <w:pStyle w:val="null3"/>
        <w:ind w:firstLine="960"/>
      </w:pPr>
      <w:r>
        <w:rPr/>
        <w:t>详见附件：资格响应表</w:t>
      </w:r>
    </w:p>
    <w:p>
      <w:pPr>
        <w:pStyle w:val="null3"/>
        <w:ind w:firstLine="960"/>
      </w:pPr>
      <w:r>
        <w:rPr/>
        <w:t>详见附件：报价表及分项报价表</w:t>
      </w:r>
    </w:p>
    <w:p>
      <w:pPr>
        <w:pStyle w:val="null3"/>
      </w:pPr>
      <w:r>
        <w:rPr/>
        <w:t>采购包2：</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详见附件：商务及技术偏离表</w:t>
      </w:r>
    </w:p>
    <w:p>
      <w:pPr>
        <w:pStyle w:val="null3"/>
        <w:ind w:firstLine="960"/>
      </w:pPr>
      <w:r>
        <w:rPr/>
        <w:t>详见附件：服务方案、人员表及供应商认为有必要提供的其他内容-2包</w:t>
      </w:r>
    </w:p>
    <w:p>
      <w:pPr>
        <w:pStyle w:val="null3"/>
        <w:ind w:firstLine="960"/>
      </w:pPr>
      <w:r>
        <w:rPr/>
        <w:t>详见附件：业绩一览表</w:t>
      </w:r>
    </w:p>
    <w:p>
      <w:pPr>
        <w:pStyle w:val="null3"/>
        <w:ind w:firstLine="960"/>
      </w:pPr>
      <w:r>
        <w:rPr/>
        <w:t>详见附件：资格响应表</w:t>
      </w:r>
    </w:p>
    <w:p>
      <w:pPr>
        <w:pStyle w:val="null3"/>
        <w:ind w:firstLine="960"/>
      </w:pPr>
      <w:r>
        <w:rPr/>
        <w:t>详见附件：报价表及分项报价表</w:t>
      </w:r>
    </w:p>
    <w:p>
      <w:pPr>
        <w:pStyle w:val="null3"/>
      </w:pPr>
      <w:r>
        <w:rPr/>
        <w:t>采购包3：</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详见附件：商务及技术偏离表</w:t>
      </w:r>
    </w:p>
    <w:p>
      <w:pPr>
        <w:pStyle w:val="null3"/>
        <w:ind w:firstLine="960"/>
      </w:pPr>
      <w:r>
        <w:rPr/>
        <w:t>详见附件：服务方案、人员表及供应商认为有必要提供的其他内容-3包</w:t>
      </w:r>
    </w:p>
    <w:p>
      <w:pPr>
        <w:pStyle w:val="null3"/>
        <w:ind w:firstLine="960"/>
      </w:pPr>
      <w:r>
        <w:rPr/>
        <w:t>详见附件：业绩一览表</w:t>
      </w:r>
    </w:p>
    <w:p>
      <w:pPr>
        <w:pStyle w:val="null3"/>
        <w:ind w:firstLine="960"/>
      </w:pPr>
      <w:r>
        <w:rPr/>
        <w:t>详见附件：资格响应表</w:t>
      </w:r>
    </w:p>
    <w:p>
      <w:pPr>
        <w:pStyle w:val="null3"/>
        <w:ind w:firstLine="960"/>
      </w:pPr>
      <w:r>
        <w:rPr/>
        <w:t>详见附件：报价表及分项报价表</w:t>
      </w:r>
    </w:p>
    <w:p>
      <w:pPr>
        <w:pStyle w:val="null3"/>
      </w:pPr>
      <w:r>
        <w:rPr/>
        <w:t xml:space="preserve"> </w:t>
        <w:br/>
        <w:br w:type="page"/>
      </w:r>
    </w:p>
    <w:p>
      <w:pPr>
        <w:pStyle w:val="null3"/>
        <w:jc w:val="center"/>
        <w:outlineLvl w:val="1"/>
      </w:pPr>
      <w:r>
        <w:rPr>
          <w:sz w:val="36"/>
          <w:b/>
        </w:rPr>
        <w:t>第7章 拟签订采购合同文本</w:t>
      </w:r>
    </w:p>
    <w:p>
      <w:pPr>
        <w:pStyle w:val="null3"/>
      </w:pPr>
      <w:r>
        <w:rPr/>
        <w:t>详见附件：合同（参考）.docx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