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版本号：250110001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2025年度老年人意外伤害保险采购项目</w:t>
      </w:r>
    </w:p>
    <w:p>
      <w:pPr>
        <w:pStyle w:val="null3"/>
        <w:jc w:val="center"/>
        <w:outlineLvl w:val="2"/>
      </w:pPr>
      <w:r>
        <w:rPr>
          <w:sz w:val="28"/>
          <w:b/>
        </w:rPr>
        <w:t>采购项目编号：</w:t>
      </w:r>
      <w:r>
        <w:rPr>
          <w:sz w:val="28"/>
          <w:b/>
        </w:rPr>
        <w:t>SZT2025-SN-QC-ZC-FW-0001</w:t>
      </w:r>
      <w:r>
        <w:br/>
      </w:r>
      <w:r>
        <w:br/>
      </w:r>
      <w:r>
        <w:br/>
      </w:r>
    </w:p>
    <w:p>
      <w:pPr>
        <w:pStyle w:val="null3"/>
        <w:jc w:val="center"/>
        <w:outlineLvl w:val="2"/>
      </w:pPr>
      <w:r>
        <w:rPr>
          <w:sz w:val="28"/>
          <w:b/>
        </w:rPr>
        <w:t>西安市未央区老龄工作发展服务中心</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2025年01月10日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西安市未央区老龄工作发展服务中心</w:t>
      </w:r>
      <w:r>
        <w:rPr/>
        <w:t>委托，拟对</w:t>
      </w:r>
      <w:r>
        <w:rPr/>
        <w:t>2025年度老年人意外伤害保险采购项目</w:t>
      </w:r>
      <w:r>
        <w:rPr/>
        <w:t>采用竞争性磋商采购方式进行采购，兹邀请供应商参加本项目的竞争性磋商。</w:t>
      </w:r>
    </w:p>
    <w:p>
      <w:pPr>
        <w:pStyle w:val="null3"/>
        <w:outlineLvl w:val="2"/>
      </w:pPr>
      <w:r>
        <w:rPr>
          <w:sz w:val="28"/>
          <w:b/>
        </w:rPr>
        <w:t>一、项目编号：</w:t>
      </w:r>
      <w:r>
        <w:rPr>
          <w:sz w:val="28"/>
          <w:b/>
        </w:rPr>
        <w:t>SZT2025-SN-QC-ZC-FW-0001</w:t>
      </w:r>
    </w:p>
    <w:p>
      <w:pPr>
        <w:pStyle w:val="null3"/>
        <w:outlineLvl w:val="2"/>
      </w:pPr>
      <w:r>
        <w:rPr>
          <w:sz w:val="28"/>
          <w:b/>
        </w:rPr>
        <w:t>二、项目名称：</w:t>
      </w:r>
      <w:r>
        <w:rPr>
          <w:sz w:val="28"/>
          <w:b/>
        </w:rPr>
        <w:t>2025年度老年人意外伤害保险采购项目</w:t>
      </w:r>
    </w:p>
    <w:p>
      <w:pPr>
        <w:pStyle w:val="null3"/>
        <w:outlineLvl w:val="2"/>
      </w:pPr>
      <w:r>
        <w:rPr>
          <w:sz w:val="28"/>
          <w:b/>
        </w:rPr>
        <w:t>三、磋商项目简介</w:t>
      </w:r>
    </w:p>
    <w:p>
      <w:pPr>
        <w:pStyle w:val="null3"/>
        <w:ind w:firstLine="480"/>
      </w:pPr>
      <w:r>
        <w:rPr/>
        <w:t>本次采购的2025年老年人意外伤害保险，是由投保人与保险人签订保险合同，在被保险人因遭受外来、突发、非本意、非疾病的事件直接导致老年人身体伤害或死亡时，依照合同约定，给付受益人保险金的一种商业保险。</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1、供应商须具有中国银行保险监督管理委员会颁发的经营保险业务许可证：供应商须具有中国银行保险监督管理委员会颁发的经营保险业务许可证</w:t>
      </w:r>
    </w:p>
    <w:p>
      <w:pPr>
        <w:pStyle w:val="null3"/>
      </w:pPr>
      <w:r>
        <w:rPr/>
        <w:t>2、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3、单位负责人为同一人或者存在直接控股、管理关系的不同单位，不得参加同一项下的政府采购活动。对列入失信被执行人、政府采购严重违法失信行为记录名单的供应商，拒绝参与本项目政府采购活动：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西安市未央区老龄工作发展服务中心</w:t>
      </w:r>
    </w:p>
    <w:p>
      <w:pPr>
        <w:pStyle w:val="null3"/>
      </w:pPr>
      <w:r>
        <w:rPr/>
        <w:t xml:space="preserve"> 地址： </w:t>
      </w:r>
      <w:r>
        <w:rPr/>
        <w:t>未央区未央路109号</w:t>
      </w:r>
    </w:p>
    <w:p>
      <w:pPr>
        <w:pStyle w:val="null3"/>
      </w:pPr>
      <w:r>
        <w:rPr/>
        <w:t xml:space="preserve"> 邮编： </w:t>
      </w:r>
      <w:r>
        <w:rPr/>
        <w:t>710000</w:t>
      </w:r>
    </w:p>
    <w:p>
      <w:pPr>
        <w:pStyle w:val="null3"/>
      </w:pPr>
      <w:r>
        <w:rPr/>
        <w:t xml:space="preserve"> 联系人： </w:t>
      </w:r>
      <w:r>
        <w:rPr/>
        <w:t>王璐</w:t>
      </w:r>
    </w:p>
    <w:p>
      <w:pPr>
        <w:pStyle w:val="null3"/>
      </w:pPr>
      <w:r>
        <w:rPr/>
        <w:t xml:space="preserve"> 联系电话： </w:t>
      </w:r>
      <w:r>
        <w:rPr/>
        <w:t>029-86262897</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连杰、马帅、单博、李娜</w:t>
      </w:r>
    </w:p>
    <w:p>
      <w:pPr>
        <w:pStyle w:val="null3"/>
      </w:pPr>
      <w:r>
        <w:rPr/>
        <w:t xml:space="preserve"> 联系电话： </w:t>
      </w:r>
      <w:r>
        <w:rPr/>
        <w:t>029-88364979-849</w:t>
      </w:r>
    </w:p>
    <w:p>
      <w:pPr>
        <w:pStyle w:val="null3"/>
        <w:outlineLvl w:val="3"/>
      </w:pPr>
      <w:r>
        <w:rPr>
          <w:sz w:val="24"/>
          <w:b/>
        </w:rPr>
        <w:t>采购监督机构：</w:t>
      </w:r>
      <w:r>
        <w:rPr>
          <w:sz w:val="24"/>
          <w:b/>
        </w:rPr>
        <w:t>西安市未央区政府采购管理股</w:t>
      </w:r>
    </w:p>
    <w:p>
      <w:pPr>
        <w:pStyle w:val="null3"/>
        <w:ind w:firstLine="480"/>
      </w:pPr>
      <w:r>
        <w:rPr/>
        <w:t>联系人：</w:t>
      </w:r>
      <w:r>
        <w:rPr/>
        <w:t>西安市未央区财政局政府采购管理科</w:t>
      </w:r>
    </w:p>
    <w:p>
      <w:pPr>
        <w:pStyle w:val="null3"/>
        <w:ind w:firstLine="480"/>
      </w:pPr>
      <w:r>
        <w:rPr/>
        <w:t>联系电话：</w:t>
      </w:r>
      <w:r>
        <w:rPr/>
        <w:t>029-86276259</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采购包1：374,800.00元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代理服务费收费标准：参照《国家计委关于印发&lt;招标代理服务收费管理暂行办法&gt;的通知》（计价格〔2002〕1980号）规定标准收取。由成交供应商支付。此采购代理服务费应计入报价中，但不需要单独开列。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西安市未央区老龄工作发展服务中心</w:t>
      </w:r>
      <w:r>
        <w:rPr/>
        <w:t>和</w:t>
      </w:r>
      <w:r>
        <w:rPr/>
        <w:t>陕西中技招标有限公司</w:t>
      </w:r>
      <w:r>
        <w:rPr/>
        <w:t>享有。对磋商文件中供应商参加本次政府采购活动应当具备的条件，磋商项目技术、服务、商务及其他要求，评审细则及标准由</w:t>
      </w:r>
      <w:r>
        <w:rPr/>
        <w:t>西安市未央区老龄工作发展服务中心</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西安市未央区老龄工作发展服务中心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按采购人要求执行.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次采购的2025年老年人意外伤害保险，是由投保人与保险人签订保险合同，在被保险人因遭受外来、突发、非本意、非疾病的事件直接导致老年人身体伤害或死亡时，依照合同约定，给付受益人保险金的一种商业保险。</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374,800.00</w:t>
      </w:r>
    </w:p>
    <w:p>
      <w:pPr>
        <w:pStyle w:val="null3"/>
      </w:pPr>
      <w:r>
        <w:rPr/>
        <w:t>采购包最高限价（元）: 374,800.00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老年人意外伤害保险</w:t>
            </w:r>
          </w:p>
        </w:tc>
        <w:tc>
          <w:tcPr>
            <w:tcW w:type="dxa" w:w="831"/>
          </w:tcPr>
          <w:p>
            <w:pPr>
              <w:pStyle w:val="null3"/>
              <w:jc w:val="right"/>
            </w:pPr>
            <w:r>
              <w:rPr/>
              <w:t>1.00</w:t>
            </w:r>
          </w:p>
        </w:tc>
        <w:tc>
          <w:tcPr>
            <w:tcW w:type="dxa" w:w="831"/>
          </w:tcPr>
          <w:p>
            <w:pPr>
              <w:pStyle w:val="null3"/>
              <w:jc w:val="right"/>
            </w:pPr>
            <w:r>
              <w:rPr/>
              <w:t>374,800.00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标的名称：老年人意外伤害保险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宋体" w:hAnsi="宋体" w:cs="宋体" w:eastAsia="宋体"/>
                <w:sz w:val="24"/>
              </w:rPr>
              <w:t>一、</w:t>
            </w:r>
            <w:r>
              <w:rPr>
                <w:rFonts w:ascii="宋体" w:hAnsi="宋体" w:cs="宋体" w:eastAsia="宋体"/>
                <w:sz w:val="24"/>
              </w:rPr>
              <w:t>“政府补贴人群”范围</w:t>
            </w:r>
          </w:p>
          <w:p>
            <w:pPr>
              <w:pStyle w:val="null3"/>
              <w:ind w:firstLine="480"/>
              <w:jc w:val="left"/>
            </w:pPr>
            <w:r>
              <w:rPr>
                <w:rFonts w:ascii="宋体" w:hAnsi="宋体" w:cs="宋体" w:eastAsia="宋体"/>
                <w:sz w:val="24"/>
              </w:rPr>
              <w:t>“政府补贴人群”是指本市户籍且在2025年12月31日前满 60周岁及以上享受城乡最低生活保障待遇人员、城乡特困供养人员、享受国家定期抚恤补助优抚对象中居家养老的老人以及2025年12月31日前满80周岁居家养老的老人。</w:t>
            </w:r>
          </w:p>
          <w:p>
            <w:pPr>
              <w:pStyle w:val="null3"/>
              <w:ind w:firstLine="480"/>
              <w:jc w:val="left"/>
            </w:pPr>
            <w:r>
              <w:rPr>
                <w:rFonts w:ascii="宋体" w:hAnsi="宋体" w:cs="宋体" w:eastAsia="宋体"/>
                <w:sz w:val="24"/>
              </w:rPr>
              <w:t>二、保费标准、保险期限和资金来源</w:t>
            </w:r>
          </w:p>
          <w:p>
            <w:pPr>
              <w:pStyle w:val="null3"/>
              <w:ind w:firstLine="480"/>
              <w:jc w:val="left"/>
            </w:pPr>
            <w:r>
              <w:rPr>
                <w:rFonts w:ascii="宋体" w:hAnsi="宋体" w:cs="宋体" w:eastAsia="宋体"/>
                <w:sz w:val="24"/>
              </w:rPr>
              <w:t>1.保费标准：保险费每人20元/份/年。</w:t>
            </w:r>
          </w:p>
          <w:p>
            <w:pPr>
              <w:pStyle w:val="null3"/>
              <w:ind w:firstLine="480"/>
              <w:jc w:val="left"/>
            </w:pPr>
            <w:r>
              <w:rPr>
                <w:rFonts w:ascii="宋体" w:hAnsi="宋体" w:cs="宋体" w:eastAsia="宋体"/>
                <w:sz w:val="24"/>
              </w:rPr>
              <w:t>2.保险期限：2025年</w:t>
            </w:r>
            <w:r>
              <w:rPr>
                <w:rFonts w:ascii="宋体" w:hAnsi="宋体" w:cs="宋体" w:eastAsia="宋体"/>
                <w:sz w:val="24"/>
              </w:rPr>
              <w:t>全年度</w:t>
            </w:r>
            <w:r>
              <w:rPr>
                <w:rFonts w:ascii="宋体" w:hAnsi="宋体" w:cs="宋体" w:eastAsia="宋体"/>
                <w:sz w:val="24"/>
              </w:rPr>
              <w:t>。</w:t>
            </w:r>
          </w:p>
          <w:p>
            <w:pPr>
              <w:pStyle w:val="null3"/>
              <w:ind w:firstLine="480"/>
              <w:jc w:val="left"/>
            </w:pPr>
            <w:r>
              <w:rPr>
                <w:rFonts w:ascii="宋体" w:hAnsi="宋体" w:cs="宋体" w:eastAsia="宋体"/>
                <w:sz w:val="24"/>
              </w:rPr>
              <w:t>3.资金来源：“政府补贴人群”投保所需资金，由市、区县两 级财政或福彩公益金分担。新城区、碑林区、莲湖区、雁塔区、未央区、灞桥区、阎良区、长安区、高陵区、高新区、经开区、浐灞国际港所需资金由市、区按5∶5 比例负担。临潼区、鄠邑区、周至县、蓝田县所需资金由市、区县按8∶2比例负担。西咸新区所需资金由开发区全额负担。市级所需资金由市福彩公益金列支。区县、开发区所需资金 具体列支方式由区县、开发区有关部门共同确定。</w:t>
            </w:r>
          </w:p>
          <w:p>
            <w:pPr>
              <w:pStyle w:val="null3"/>
              <w:ind w:firstLine="480"/>
              <w:jc w:val="left"/>
            </w:pPr>
            <w:r>
              <w:rPr>
                <w:rFonts w:ascii="宋体" w:hAnsi="宋体" w:cs="宋体" w:eastAsia="宋体"/>
                <w:sz w:val="24"/>
              </w:rPr>
              <w:t>三</w:t>
            </w:r>
            <w:r>
              <w:rPr>
                <w:rFonts w:ascii="宋体" w:hAnsi="宋体" w:cs="宋体" w:eastAsia="宋体"/>
                <w:sz w:val="24"/>
              </w:rPr>
              <w:t>.保险范围、责任和金额</w:t>
            </w:r>
          </w:p>
          <w:p>
            <w:pPr>
              <w:pStyle w:val="null3"/>
              <w:ind w:firstLine="480"/>
              <w:jc w:val="left"/>
            </w:pPr>
            <w:r>
              <w:rPr>
                <w:rFonts w:ascii="宋体" w:hAnsi="宋体" w:cs="宋体" w:eastAsia="宋体"/>
                <w:sz w:val="24"/>
              </w:rPr>
              <w:t>（一）各类居家养老服务机构内：</w:t>
            </w:r>
          </w:p>
          <w:p>
            <w:pPr>
              <w:pStyle w:val="null3"/>
              <w:ind w:firstLine="480"/>
              <w:jc w:val="left"/>
            </w:pPr>
            <w:r>
              <w:rPr>
                <w:rFonts w:ascii="宋体" w:hAnsi="宋体" w:cs="宋体" w:eastAsia="宋体"/>
                <w:sz w:val="24"/>
              </w:rPr>
              <w:t>1.意外身故最高赔偿限额60000元/人。</w:t>
            </w:r>
          </w:p>
          <w:p>
            <w:pPr>
              <w:pStyle w:val="null3"/>
              <w:ind w:firstLine="480"/>
              <w:jc w:val="left"/>
            </w:pPr>
            <w:r>
              <w:rPr>
                <w:rFonts w:ascii="宋体" w:hAnsi="宋体" w:cs="宋体" w:eastAsia="宋体"/>
                <w:sz w:val="24"/>
              </w:rPr>
              <w:t>2.意外残疾最高赔偿限额60000元/人。</w:t>
            </w:r>
          </w:p>
          <w:p>
            <w:pPr>
              <w:pStyle w:val="null3"/>
              <w:ind w:firstLine="480"/>
              <w:jc w:val="left"/>
            </w:pPr>
            <w:r>
              <w:rPr>
                <w:rFonts w:ascii="宋体" w:hAnsi="宋体" w:cs="宋体" w:eastAsia="宋体"/>
                <w:sz w:val="24"/>
              </w:rPr>
              <w:t>3.意外伤害医疗费最高赔偿限额10000元/人。</w:t>
            </w:r>
          </w:p>
          <w:p>
            <w:pPr>
              <w:pStyle w:val="null3"/>
              <w:ind w:firstLine="480"/>
              <w:jc w:val="left"/>
            </w:pPr>
            <w:r>
              <w:rPr>
                <w:rFonts w:ascii="宋体" w:hAnsi="宋体" w:cs="宋体" w:eastAsia="宋体"/>
                <w:sz w:val="24"/>
              </w:rPr>
              <w:t>（二）居所、庭院、小区周围广场、道路等日常生活空间；农贸市场、超市、宾馆、饭店等营业性服务场所及上述列明范围外的其他区域：</w:t>
            </w:r>
          </w:p>
          <w:p>
            <w:pPr>
              <w:pStyle w:val="null3"/>
              <w:ind w:firstLine="480"/>
              <w:jc w:val="left"/>
            </w:pPr>
            <w:r>
              <w:rPr>
                <w:rFonts w:ascii="宋体" w:hAnsi="宋体" w:cs="宋体" w:eastAsia="宋体"/>
                <w:sz w:val="24"/>
              </w:rPr>
              <w:t>1.意外身故最高赔偿限额 20000元/人。</w:t>
            </w:r>
          </w:p>
          <w:p>
            <w:pPr>
              <w:pStyle w:val="null3"/>
              <w:ind w:firstLine="480"/>
              <w:jc w:val="left"/>
            </w:pPr>
            <w:r>
              <w:rPr>
                <w:rFonts w:ascii="宋体" w:hAnsi="宋体" w:cs="宋体" w:eastAsia="宋体"/>
                <w:sz w:val="24"/>
              </w:rPr>
              <w:t>2.意外残疾最高赔偿限额 20000元/人。</w:t>
            </w:r>
          </w:p>
          <w:p>
            <w:pPr>
              <w:pStyle w:val="null3"/>
              <w:ind w:firstLine="480"/>
              <w:jc w:val="left"/>
            </w:pPr>
            <w:r>
              <w:rPr>
                <w:rFonts w:ascii="宋体" w:hAnsi="宋体" w:cs="宋体" w:eastAsia="宋体"/>
                <w:sz w:val="24"/>
              </w:rPr>
              <w:t>3.意外伤害医疗费最高赔偿限额3000元/人。</w:t>
            </w:r>
          </w:p>
          <w:p>
            <w:pPr>
              <w:pStyle w:val="null3"/>
              <w:ind w:firstLine="480"/>
              <w:jc w:val="left"/>
            </w:pPr>
            <w:r>
              <w:rPr>
                <w:rFonts w:ascii="宋体" w:hAnsi="宋体" w:cs="宋体" w:eastAsia="宋体"/>
                <w:sz w:val="24"/>
              </w:rPr>
              <w:t>（三）其它：</w:t>
            </w:r>
          </w:p>
          <w:p>
            <w:pPr>
              <w:pStyle w:val="null3"/>
              <w:ind w:firstLine="480"/>
              <w:jc w:val="left"/>
            </w:pPr>
            <w:r>
              <w:rPr>
                <w:rFonts w:ascii="宋体" w:hAnsi="宋体" w:cs="宋体" w:eastAsia="宋体"/>
                <w:sz w:val="24"/>
              </w:rPr>
              <w:t>1.意外伤害住院津贴为30元/天/人/份；全年住院累计最长赔偿80天。</w:t>
            </w:r>
          </w:p>
          <w:p>
            <w:pPr>
              <w:pStyle w:val="null3"/>
              <w:ind w:firstLine="480"/>
              <w:jc w:val="left"/>
            </w:pPr>
            <w:r>
              <w:rPr>
                <w:rFonts w:ascii="宋体" w:hAnsi="宋体" w:cs="宋体" w:eastAsia="宋体"/>
                <w:sz w:val="24"/>
              </w:rPr>
              <w:t>2.意外医疗费免赔额为100元/次。</w:t>
            </w:r>
          </w:p>
          <w:p>
            <w:pPr>
              <w:pStyle w:val="null3"/>
              <w:ind w:firstLine="480"/>
              <w:jc w:val="both"/>
            </w:pPr>
            <w:r>
              <w:rPr>
                <w:rFonts w:ascii="宋体" w:hAnsi="宋体" w:cs="宋体" w:eastAsia="宋体"/>
                <w:sz w:val="24"/>
              </w:rPr>
              <w:t>3.意外医疗费赔付比例：通过医保先行赔付的意外医疗费，剩余部分在医保赔付的范围内保险人同意按照100%赔付；不通过医保直接向保险人赔付的意外医疗费，在医保赔付的范围内保险人同意按照70%赔付。</w:t>
            </w:r>
          </w:p>
          <w:p>
            <w:pPr>
              <w:pStyle w:val="null3"/>
              <w:ind w:firstLine="480"/>
              <w:jc w:val="both"/>
            </w:pPr>
            <w:r>
              <w:rPr>
                <w:rFonts w:ascii="宋体" w:hAnsi="宋体" w:cs="宋体" w:eastAsia="宋体"/>
                <w:sz w:val="24"/>
              </w:rPr>
              <w:t>四</w:t>
            </w:r>
            <w:r>
              <w:rPr>
                <w:rFonts w:ascii="宋体" w:hAnsi="宋体" w:cs="宋体" w:eastAsia="宋体"/>
                <w:sz w:val="24"/>
              </w:rPr>
              <w:t>、服务要求</w:t>
            </w:r>
          </w:p>
          <w:p>
            <w:pPr>
              <w:pStyle w:val="null3"/>
              <w:ind w:firstLine="480"/>
              <w:jc w:val="both"/>
            </w:pPr>
            <w:r>
              <w:rPr>
                <w:rFonts w:ascii="宋体" w:hAnsi="宋体" w:cs="宋体" w:eastAsia="宋体"/>
                <w:sz w:val="24"/>
              </w:rPr>
              <w:t>供应商</w:t>
            </w:r>
            <w:r>
              <w:rPr>
                <w:rFonts w:ascii="宋体" w:hAnsi="宋体" w:cs="宋体" w:eastAsia="宋体"/>
                <w:sz w:val="24"/>
              </w:rPr>
              <w:t>应设定专门的工作机制，做好保险产品的宣传推广，及时为老年人提供咨询、查询、索赔、投诉等服务，保证老年人投保、理赔的顺畅，及时解决保险服务中的问题。</w:t>
            </w:r>
          </w:p>
          <w:p>
            <w:pPr>
              <w:pStyle w:val="null3"/>
              <w:ind w:firstLine="480"/>
              <w:jc w:val="both"/>
            </w:pPr>
            <w:r>
              <w:rPr>
                <w:rFonts w:ascii="宋体" w:hAnsi="宋体" w:cs="宋体" w:eastAsia="宋体"/>
                <w:sz w:val="24"/>
              </w:rPr>
              <w:t>五、其他</w:t>
            </w:r>
          </w:p>
          <w:p>
            <w:pPr>
              <w:pStyle w:val="null3"/>
              <w:ind w:firstLine="480"/>
              <w:jc w:val="both"/>
            </w:pPr>
            <w:r>
              <w:rPr>
                <w:rFonts w:ascii="宋体" w:hAnsi="宋体" w:cs="宋体" w:eastAsia="宋体"/>
                <w:sz w:val="24"/>
              </w:rPr>
              <w:t>1.本项目</w:t>
            </w:r>
            <w:r>
              <w:rPr>
                <w:rFonts w:ascii="宋体" w:hAnsi="宋体" w:cs="宋体" w:eastAsia="宋体"/>
                <w:sz w:val="24"/>
              </w:rPr>
              <w:t>保险费每人</w:t>
            </w:r>
            <w:r>
              <w:rPr>
                <w:rFonts w:ascii="宋体" w:hAnsi="宋体" w:cs="宋体" w:eastAsia="宋体"/>
                <w:sz w:val="24"/>
              </w:rPr>
              <w:t>20元/份/年</w:t>
            </w:r>
            <w:r>
              <w:rPr>
                <w:rFonts w:ascii="宋体" w:hAnsi="宋体" w:cs="宋体" w:eastAsia="宋体"/>
                <w:sz w:val="24"/>
              </w:rPr>
              <w:t>，</w:t>
            </w:r>
            <w:r>
              <w:rPr>
                <w:rFonts w:ascii="宋体" w:hAnsi="宋体" w:cs="宋体" w:eastAsia="宋体"/>
                <w:sz w:val="24"/>
              </w:rPr>
              <w:t>总保险费用根据人数据实结算，结算价达到</w:t>
            </w:r>
            <w:r>
              <w:rPr>
                <w:rFonts w:ascii="宋体" w:hAnsi="宋体" w:cs="宋体" w:eastAsia="宋体"/>
                <w:sz w:val="24"/>
              </w:rPr>
              <w:t>374,800.00元（采购预算）时，合同自动终止。</w:t>
            </w:r>
          </w:p>
          <w:p>
            <w:pPr>
              <w:pStyle w:val="null3"/>
              <w:jc w:val="both"/>
            </w:pPr>
            <w:r>
              <w:rPr>
                <w:rFonts w:ascii="宋体" w:hAnsi="宋体" w:cs="宋体" w:eastAsia="宋体"/>
                <w:sz w:val="24"/>
              </w:rPr>
              <w:t xml:space="preserve">  2.本项目报价为不可竞争报价，报价金额必须为保险费每人20元/份/年，否则按无效磋商处理。</w:t>
            </w:r>
          </w:p>
        </w:tc>
      </w:tr>
    </w:tbl>
    <w:p>
      <w:pPr>
        <w:pStyle w:val="null3"/>
        <w:outlineLvl w:val="2"/>
      </w:pPr>
      <w:r>
        <w:rPr>
          <w:sz w:val="28"/>
          <w:b/>
        </w:rPr>
        <w:t>3.2.3人员配置要求</w:t>
      </w:r>
    </w:p>
    <w:p>
      <w:pPr>
        <w:pStyle w:val="null3"/>
      </w:pPr>
      <w:r>
        <w:rPr/>
        <w:t>采购包1：</w:t>
      </w:r>
    </w:p>
    <w:p>
      <w:pPr>
        <w:pStyle w:val="null3"/>
      </w:pPr>
      <w:r>
        <w:rPr/>
        <w:t>满足项目实施要求.</w:t>
      </w:r>
    </w:p>
    <w:p>
      <w:pPr>
        <w:pStyle w:val="null3"/>
        <w:outlineLvl w:val="2"/>
      </w:pPr>
      <w:r>
        <w:rPr>
          <w:sz w:val="28"/>
          <w:b/>
        </w:rPr>
        <w:t>3.2.4设施设备要求</w:t>
      </w:r>
    </w:p>
    <w:p>
      <w:pPr>
        <w:pStyle w:val="null3"/>
      </w:pPr>
      <w:r>
        <w:rPr/>
        <w:t>采购包1：</w:t>
      </w:r>
    </w:p>
    <w:p>
      <w:pPr>
        <w:pStyle w:val="null3"/>
      </w:pPr>
      <w:r>
        <w:rPr/>
        <w:t>满足项目实施要求.</w:t>
      </w:r>
    </w:p>
    <w:p>
      <w:pPr>
        <w:pStyle w:val="null3"/>
        <w:outlineLvl w:val="2"/>
      </w:pPr>
      <w:r>
        <w:rPr>
          <w:sz w:val="28"/>
          <w:b/>
        </w:rPr>
        <w:t>3.2.5其他要求</w:t>
      </w:r>
    </w:p>
    <w:p>
      <w:pPr>
        <w:pStyle w:val="null3"/>
      </w:pPr>
      <w:r>
        <w:rPr/>
        <w:t>采购包1：</w:t>
      </w:r>
    </w:p>
    <w:p>
      <w:pPr>
        <w:pStyle w:val="null3"/>
      </w:pPr>
      <w:r>
        <w:rPr/>
        <w:t>本项目报价为不可竞争报价，报价金额必须为保险费每人20元/份/年，否则按无效磋商处理。</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2025年全年度</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按采购人要求执行。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合同签订生效后，最终按签订合同总人数据实结算</w:t>
      </w:r>
      <w:r>
        <w:rPr/>
        <w:t xml:space="preserve"> ，达到付款条件起 </w:t>
      </w:r>
      <w:r>
        <w:rPr/>
        <w:t>90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详见采购文件。</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1、为顺利推进政府采购电子化交易平台试点应用工作，供应商需要在线提交所有通过电子化交易平台实施的政府采购项目的响应文件，同时，线下提交响应文件正本 壹 份、副本 贰套、电子版壹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供应商须具有中国银行保险监督管理委员会颁发的经营保险业务许可证</w:t>
            </w:r>
          </w:p>
        </w:tc>
        <w:tc>
          <w:tcPr>
            <w:tcW w:type="dxa" w:w="3322"/>
          </w:tcPr>
          <w:p>
            <w:pPr>
              <w:pStyle w:val="null3"/>
            </w:pPr>
            <w:r>
              <w:rPr/>
              <w:t>供应商须具有中国银行保险监督管理委员会颁发的经营保险业务许可证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3322"/>
          </w:tcPr>
          <w:p>
            <w:pPr>
              <w:pStyle w:val="null3"/>
            </w:pPr>
            <w:r>
              <w:rPr/>
              <w:t>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 磋商报价表及分项报价表</w:t>
            </w:r>
          </w:p>
        </w:tc>
      </w:tr>
      <w:tr>
        <w:tc>
          <w:tcPr>
            <w:tcW w:type="dxa" w:w="831"/>
          </w:tcPr>
          <w:p>
            <w:pPr>
              <w:pStyle w:val="null3"/>
            </w:pPr>
            <w:r>
              <w:rPr/>
              <w:t>2</w:t>
            </w:r>
          </w:p>
        </w:tc>
        <w:tc>
          <w:tcPr>
            <w:tcW w:type="dxa" w:w="2492"/>
          </w:tcPr>
          <w:p>
            <w:pPr>
              <w:pStyle w:val="null3"/>
            </w:pPr>
            <w:r>
              <w:rPr/>
              <w:t>（1）付款方式、服务期限是否完全响应；（2）响应文件有效期是否合格；</w:t>
            </w:r>
          </w:p>
        </w:tc>
        <w:tc>
          <w:tcPr>
            <w:tcW w:type="dxa" w:w="3322"/>
          </w:tcPr>
          <w:p>
            <w:pPr>
              <w:pStyle w:val="null3"/>
            </w:pPr>
            <w:r>
              <w:rPr/>
              <w:t>（1）付款方式、服务期限是否完全响应； （2）响应文件有效期是否合格；</w:t>
            </w:r>
          </w:p>
        </w:tc>
        <w:tc>
          <w:tcPr>
            <w:tcW w:type="dxa" w:w="1661"/>
          </w:tcPr>
          <w:p>
            <w:pPr>
              <w:pStyle w:val="null3"/>
            </w:pPr>
            <w:r>
              <w:rPr/>
              <w:t>商务及服务要求偏离表</w:t>
            </w:r>
          </w:p>
        </w:tc>
      </w:tr>
      <w:tr>
        <w:tc>
          <w:tcPr>
            <w:tcW w:type="dxa" w:w="831"/>
          </w:tcPr>
          <w:p>
            <w:pPr>
              <w:pStyle w:val="null3"/>
            </w:pPr>
            <w:r>
              <w:rPr/>
              <w:t>3</w:t>
            </w:r>
          </w:p>
        </w:tc>
        <w:tc>
          <w:tcPr>
            <w:tcW w:type="dxa" w:w="2492"/>
          </w:tcPr>
          <w:p>
            <w:pPr>
              <w:pStyle w:val="null3"/>
            </w:pPr>
            <w:r>
              <w:rPr/>
              <w:t>服务要求响应性审查</w:t>
            </w:r>
          </w:p>
        </w:tc>
        <w:tc>
          <w:tcPr>
            <w:tcW w:type="dxa" w:w="3322"/>
          </w:tcPr>
          <w:p>
            <w:pPr>
              <w:pStyle w:val="null3"/>
            </w:pPr>
            <w:r>
              <w:rPr/>
              <w:t>磋商响应文件是否满足采购要求</w:t>
            </w:r>
          </w:p>
        </w:tc>
        <w:tc>
          <w:tcPr>
            <w:tcW w:type="dxa" w:w="1661"/>
          </w:tcPr>
          <w:p>
            <w:pPr>
              <w:pStyle w:val="null3"/>
            </w:pPr>
            <w:r>
              <w:rPr/>
              <w:t>商务及服务要求偏离表</w:t>
            </w:r>
          </w:p>
        </w:tc>
      </w:tr>
      <w:tr>
        <w:tc>
          <w:tcPr>
            <w:tcW w:type="dxa" w:w="831"/>
          </w:tcPr>
          <w:p>
            <w:pPr>
              <w:pStyle w:val="null3"/>
            </w:pPr>
            <w:r>
              <w:rPr/>
              <w:t>4</w:t>
            </w:r>
          </w:p>
        </w:tc>
        <w:tc>
          <w:tcPr>
            <w:tcW w:type="dxa" w:w="2492"/>
          </w:tcPr>
          <w:p>
            <w:pPr>
              <w:pStyle w:val="null3"/>
            </w:pPr>
            <w:r>
              <w:rPr/>
              <w:t>磋商文件规定的其他情形</w:t>
            </w:r>
          </w:p>
        </w:tc>
        <w:tc>
          <w:tcPr>
            <w:tcW w:type="dxa" w:w="3322"/>
          </w:tcPr>
          <w:p>
            <w:pPr>
              <w:pStyle w:val="null3"/>
            </w:pPr>
            <w:r>
              <w:rPr/>
              <w:t>符合磋商文件要求</w:t>
            </w:r>
          </w:p>
        </w:tc>
        <w:tc>
          <w:tcPr>
            <w:tcW w:type="dxa" w:w="1661"/>
          </w:tcPr>
          <w:p>
            <w:pPr>
              <w:pStyle w:val="null3"/>
            </w:pPr>
            <w:r>
              <w:rPr/>
              <w:t>商务及服务要求偏离表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w:t>
            </w:r>
          </w:p>
        </w:tc>
        <w:tc>
          <w:tcPr>
            <w:tcW w:type="dxa" w:w="2492"/>
          </w:tcPr>
          <w:p>
            <w:pPr>
              <w:pStyle w:val="null3"/>
            </w:pPr>
            <w:r>
              <w:rPr/>
              <w:t>按照采购人需求，针对本项目制定完整、 具体的服务措施，根据响应程度自主赋分： 服务措施内容符合采购人需求，有针对性，详细、具体得10分；服务措施内容较有针对性，较详细、具体得7分；服务措施内容无针对性且内容简单得3分；有重大缺陷得1分；未提供不得分。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服务方案2</w:t>
            </w:r>
          </w:p>
        </w:tc>
        <w:tc>
          <w:tcPr>
            <w:tcW w:type="dxa" w:w="2492"/>
          </w:tcPr>
          <w:p>
            <w:pPr>
              <w:pStyle w:val="null3"/>
            </w:pPr>
            <w:r>
              <w:rPr/>
              <w:t>具有完整成套得保险理赔措施，根据响应程度自主赋分：保险理赔措施流程详尽合理、方便快捷得10分；基本合理、较方便快捷得7分；流程单一、较缓慢得3分；有重大缺陷得1分；未提供不得分。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服务方案3</w:t>
            </w:r>
          </w:p>
        </w:tc>
        <w:tc>
          <w:tcPr>
            <w:tcW w:type="dxa" w:w="2492"/>
          </w:tcPr>
          <w:p>
            <w:pPr>
              <w:pStyle w:val="null3"/>
            </w:pPr>
            <w:r>
              <w:rPr/>
              <w:t>供应商提供上门和其他便捷理赔服务的，根据供应商描述上门及其他 便捷理赔服务方案。科学、合理、有效，可行性强的得10分；科学、合理、内容可行性较强的得7分；科学、合理、有效，可行性一般的得3分；有重大缺陷得1分；未提供不得分。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服务方案4</w:t>
            </w:r>
          </w:p>
        </w:tc>
        <w:tc>
          <w:tcPr>
            <w:tcW w:type="dxa" w:w="2492"/>
          </w:tcPr>
          <w:p>
            <w:pPr>
              <w:pStyle w:val="null3"/>
            </w:pPr>
            <w:r>
              <w:rPr/>
              <w:t>对责任事故处理有明确的理赔时效，提供相关方案，根据响应程度自主赋分： 方案丰富全面、科学合理 规范得5分；方案一般得3分；有重大缺陷得1分；未提供不得分。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服务方案5</w:t>
            </w:r>
          </w:p>
        </w:tc>
        <w:tc>
          <w:tcPr>
            <w:tcW w:type="dxa" w:w="2492"/>
          </w:tcPr>
          <w:p>
            <w:pPr>
              <w:pStyle w:val="null3"/>
            </w:pPr>
            <w:r>
              <w:rPr/>
              <w:t>对被保险人提供理赔材料有欠缺的协助处理方案，提供相关方案，根据响应程度自主赋分：方案全面、快速可行得2分；方案一般得1分； 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服务方案6</w:t>
            </w:r>
          </w:p>
        </w:tc>
        <w:tc>
          <w:tcPr>
            <w:tcW w:type="dxa" w:w="2492"/>
          </w:tcPr>
          <w:p>
            <w:pPr>
              <w:pStyle w:val="null3"/>
            </w:pPr>
            <w:r>
              <w:rPr/>
              <w:t>供应商有严格的投诉管理制度，根据响应程度自主赋分：制度完善并能严格执行得10分；制度较完善并能严格执行得7分，制度一般且执行力一般得3分；有重大缺陷得1分；未提供不得分。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服务人员配备</w:t>
            </w:r>
          </w:p>
        </w:tc>
        <w:tc>
          <w:tcPr>
            <w:tcW w:type="dxa" w:w="2492"/>
          </w:tcPr>
          <w:p>
            <w:pPr>
              <w:pStyle w:val="null3"/>
            </w:pPr>
            <w:r>
              <w:rPr/>
              <w:t>服务团队人员应包括但不限于承保、理赔、风险管理和协调沟通等不同专业能力和职能的人员，根据团队人员构成情况、人员数量、职责情况进行自主赋分：服务团队人员构成专业全面，职责明确合理得15分；服务团队人员构成较全面，职责较明确合理得10分；服务团队人员专业构成不够全面，职责不清晰得5分；有重大缺陷得1分；未提供服务团队人员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服务承诺</w:t>
            </w:r>
          </w:p>
        </w:tc>
        <w:tc>
          <w:tcPr>
            <w:tcW w:type="dxa" w:w="2492"/>
          </w:tcPr>
          <w:p>
            <w:pPr>
              <w:pStyle w:val="null3"/>
            </w:pPr>
            <w:r>
              <w:rPr/>
              <w:t>供应商针对本项目提供合理可行的服务承诺，承诺开通保险理赔服务绿色通道，能够先行垫付赔款；承诺个别特殊（重大）理赔服务的响应时间，以及后期未能按约履行的赔偿制度；承诺参保人员所有信息数据不得外泄，保密措施具体可行，提供针对本项目其他的服务承诺；服务承诺方案符合采购人需求，有针对性、详细、具体得10分；服务承诺方案较有针对性、详细、具体得7分；服务承诺方案一般得3分；有重大缺陷得1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w:t>
            </w:r>
          </w:p>
        </w:tc>
        <w:tc>
          <w:tcPr>
            <w:tcW w:type="dxa" w:w="2492"/>
          </w:tcPr>
          <w:p>
            <w:pPr>
              <w:pStyle w:val="null3"/>
            </w:pPr>
            <w:r>
              <w:rPr/>
              <w:t>供应商能够定期对采购人进行回访，提供相关服务承诺或方案，根据响应程度自主赋分：提供承诺或方案详细全面且有针对性、满足采购需求得10分；提供承诺或方案基本全面且有针对性、满足采购需求得7分；提供承诺或方案一般得3分；有重大缺陷得1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增值服务</w:t>
            </w:r>
          </w:p>
        </w:tc>
        <w:tc>
          <w:tcPr>
            <w:tcW w:type="dxa" w:w="2492"/>
          </w:tcPr>
          <w:p>
            <w:pPr>
              <w:pStyle w:val="null3"/>
            </w:pPr>
            <w:r>
              <w:rPr/>
              <w:t>供应商需提供具有特色的医疗增值服务，根据其方便、快捷程度，予以评分。科学、合理、有效，可行性强的得5分，科学、合理、有效，可行性强一般得3分；有重大缺陷得1分；未提供不得分。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具有2021年1月1日至今（以合同签订时间为准）类似项目的业绩，响应文件中提供合同复印件加盖公章，每提供一份得1分，最高得3分。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1、经初审合格的磋商响应文件，其磋商报价为有效投标价 2、满足磋商文件实质性要求且报价最低的为评标基准价，其价格分为满分10分。 3、磋商报价得分=（磋商基准价/有效最终磋商报价）×10。 4、投标报价不完整的，不进入投标基准价的计算，本项得0分。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详见附件：磋商报价表及分项报价表</w:t>
      </w:r>
    </w:p>
    <w:p>
      <w:pPr>
        <w:pStyle w:val="null3"/>
        <w:ind w:firstLine="960"/>
      </w:pPr>
      <w:r>
        <w:rPr/>
        <w:t>详见附件：服务方案、人员表及供应商认为有必要提供的其他内容</w:t>
      </w:r>
    </w:p>
    <w:p>
      <w:pPr>
        <w:pStyle w:val="null3"/>
        <w:ind w:firstLine="960"/>
      </w:pPr>
      <w:r>
        <w:rPr/>
        <w:t>详见附件：商务及服务要求偏离表</w:t>
      </w:r>
    </w:p>
    <w:p>
      <w:pPr>
        <w:pStyle w:val="null3"/>
        <w:ind w:firstLine="960"/>
      </w:pPr>
      <w:r>
        <w:rPr/>
        <w:t>详见附件：业绩一览表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