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南院区高低压配电室运维服务</w:t>
      </w:r>
    </w:p>
    <w:p>
      <w:pPr>
        <w:pStyle w:val="null3"/>
        <w:jc w:val="center"/>
        <w:outlineLvl w:val="2"/>
      </w:pPr>
      <w:r>
        <w:rPr>
          <w:sz w:val="28"/>
          <w:b/>
        </w:rPr>
        <w:t>采购项目编号：</w:t>
      </w:r>
      <w:r>
        <w:rPr>
          <w:sz w:val="28"/>
          <w:b/>
        </w:rPr>
        <w:t>SZT2024-SN-XC-ZC-FW-1286</w:t>
      </w:r>
      <w:r>
        <w:br/>
      </w:r>
      <w:r>
        <w:br/>
      </w:r>
      <w:r>
        <w:br/>
      </w:r>
    </w:p>
    <w:p>
      <w:pPr>
        <w:pStyle w:val="null3"/>
        <w:jc w:val="center"/>
        <w:outlineLvl w:val="2"/>
      </w:pPr>
      <w:r>
        <w:rPr>
          <w:sz w:val="28"/>
          <w:b/>
        </w:rPr>
        <w:t>西安市红会医院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2025年01月07日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西安市红会医院</w:t>
      </w:r>
      <w:r>
        <w:rPr/>
        <w:t>委托，拟对</w:t>
      </w:r>
      <w:r>
        <w:rPr/>
        <w:t>南院区高低压配电室运维服务</w:t>
      </w:r>
      <w:r>
        <w:rPr/>
        <w:t>采用竞争性磋商采购方式进行采购，兹邀请供应商参加本项目的竞争性磋商。</w:t>
      </w:r>
    </w:p>
    <w:p>
      <w:pPr>
        <w:pStyle w:val="null3"/>
        <w:outlineLvl w:val="2"/>
      </w:pPr>
      <w:r>
        <w:rPr>
          <w:sz w:val="28"/>
          <w:b/>
        </w:rPr>
        <w:t>一、项目编号：</w:t>
      </w:r>
      <w:r>
        <w:rPr>
          <w:sz w:val="28"/>
          <w:b/>
        </w:rPr>
        <w:t>SZT2024-SN-XC-ZC-FW-1286</w:t>
      </w:r>
    </w:p>
    <w:p>
      <w:pPr>
        <w:pStyle w:val="null3"/>
        <w:outlineLvl w:val="2"/>
      </w:pPr>
      <w:r>
        <w:rPr>
          <w:sz w:val="28"/>
          <w:b/>
        </w:rPr>
        <w:t>二、项目名称：</w:t>
      </w:r>
      <w:r>
        <w:rPr>
          <w:sz w:val="28"/>
          <w:b/>
        </w:rPr>
        <w:t>南院区高低压配电室运维服务</w:t>
      </w:r>
    </w:p>
    <w:p>
      <w:pPr>
        <w:pStyle w:val="null3"/>
        <w:outlineLvl w:val="2"/>
      </w:pPr>
      <w:r>
        <w:rPr>
          <w:sz w:val="28"/>
          <w:b/>
        </w:rPr>
        <w:t>三、磋商项目简介</w:t>
      </w:r>
    </w:p>
    <w:p>
      <w:pPr>
        <w:pStyle w:val="null3"/>
        <w:ind w:firstLine="480"/>
      </w:pPr>
      <w:r>
        <w:rPr/>
        <w:t>西安市红会医院对10kV高低压变配电线路、电气设备进行维修保养。10kV用电与供电部门产权分界点至所有配电室内高压线柜进出线端、变压器低压侧第一个配电柜范围内所有高低压电力设备等，包括21面高压柜、6台干式变压器、1台箱式变压器、1台油侵式变压器内的高低压电气设备及联络电缆、所有控制高低压柜直流监测控制系统、柴油发电机2台，对以上范围内高低压配电设备根据相关标准运行维护管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2、供应商承诺：本项目不接受由西安市红会医院职工及其亲属投资举办的企业参加磋商（提供承诺函）。</w:t>
      </w:r>
    </w:p>
    <w:p>
      <w:pPr>
        <w:pStyle w:val="null3"/>
      </w:pPr>
      <w:r>
        <w:rPr/>
        <w:t>3、供应商要求：需具备有效的“承装（修、试）电力施工许可证”五级或以上资质，并具备有效的安全生产许可证。</w:t>
      </w:r>
    </w:p>
    <w:p>
      <w:pPr>
        <w:pStyle w:val="null3"/>
      </w:pPr>
      <w:r>
        <w:rPr/>
        <w:t>4、关于联合体磋商要求：本项目不接受联合体磋商。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西安市红会医院</w:t>
      </w:r>
    </w:p>
    <w:p>
      <w:pPr>
        <w:pStyle w:val="null3"/>
      </w:pPr>
      <w:r>
        <w:rPr/>
        <w:t xml:space="preserve"> 地址： </w:t>
      </w:r>
      <w:r>
        <w:rPr/>
        <w:t>西安市碑林区南稍门南郭路76号</w:t>
      </w:r>
    </w:p>
    <w:p>
      <w:pPr>
        <w:pStyle w:val="null3"/>
      </w:pPr>
      <w:r>
        <w:rPr/>
        <w:t xml:space="preserve"> 邮编： </w:t>
      </w:r>
      <w:r>
        <w:rPr/>
        <w:t>/</w:t>
      </w:r>
    </w:p>
    <w:p>
      <w:pPr>
        <w:pStyle w:val="null3"/>
      </w:pPr>
      <w:r>
        <w:rPr/>
        <w:t xml:space="preserve"> 联系人： </w:t>
      </w:r>
      <w:r>
        <w:rPr/>
        <w:t>西安市红会医院经办</w:t>
      </w:r>
    </w:p>
    <w:p>
      <w:pPr>
        <w:pStyle w:val="null3"/>
      </w:pPr>
      <w:r>
        <w:rPr/>
        <w:t xml:space="preserve"> 联系电话： </w:t>
      </w:r>
      <w:r>
        <w:rPr/>
        <w:t>029-86520792</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西安市莲湖区高新四路1号高科广场A座1001室</w:t>
      </w:r>
    </w:p>
    <w:p>
      <w:pPr>
        <w:pStyle w:val="null3"/>
      </w:pPr>
      <w:r>
        <w:rPr/>
        <w:t xml:space="preserve"> 邮编： </w:t>
      </w:r>
      <w:r>
        <w:rPr/>
        <w:t>710075</w:t>
      </w:r>
    </w:p>
    <w:p>
      <w:pPr>
        <w:pStyle w:val="null3"/>
      </w:pPr>
      <w:r>
        <w:rPr/>
        <w:t xml:space="preserve"> 联系人： </w:t>
      </w:r>
      <w:r>
        <w:rPr/>
        <w:t>杨艳、李毓菲、单博、李娜</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收取与退还：乙方应当在中标结果发布后五个工作日内将项目履约保证金（中标总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合同约定事宜完成，无息退还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服务类收费标准下浮20%收取。在领取成交通知书时向采购代理机构一次性交纳。 开户名称：陕西中技招标有限公司 开户银行：招商银行西安分行营业部 银行账号：1299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西安市红会医院</w:t>
      </w:r>
      <w:r>
        <w:rPr/>
        <w:t>和</w:t>
      </w:r>
      <w:r>
        <w:rPr/>
        <w:t>陕西中技招标有限公司</w:t>
      </w:r>
      <w:r>
        <w:rPr/>
        <w:t>享有。对磋商文件中供应商参加本次政府采购活动应当具备的条件，磋商项目技术、服务、商务及其他要求，评审细则及标准由</w:t>
      </w:r>
      <w:r>
        <w:rPr/>
        <w:t>西安市红会医院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西安市红会医院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红会医院对10kV高低压变配电线路、电气设备进行维修保养。10kV用电与供电部门产权分界点至所有配电室内高压线柜进出线端、变压器低压侧第一个配电柜范围内所有高低压电力设备等，包括21面高压柜、6台干式变压器、1台箱式变压器、1台油侵式变压器内的高低压电气设备及联络电缆、所有控制高低压柜直流监测控制系统、柴油发电机2台，对以上范围内高低压配电设备根据相关标准运行维护管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680,000.00</w:t>
      </w:r>
    </w:p>
    <w:p>
      <w:pPr>
        <w:pStyle w:val="null3"/>
      </w:pPr>
      <w:r>
        <w:rPr/>
        <w:t>采购包最高限价（元）: 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680000</w:t>
            </w:r>
          </w:p>
        </w:tc>
        <w:tc>
          <w:tcPr>
            <w:tcW w:type="dxa" w:w="831"/>
          </w:tcPr>
          <w:p>
            <w:pPr>
              <w:pStyle w:val="null3"/>
              <w:jc w:val="right"/>
            </w:pPr>
            <w:r>
              <w:rPr/>
              <w:t>1.00</w:t>
            </w:r>
          </w:p>
        </w:tc>
        <w:tc>
          <w:tcPr>
            <w:tcW w:type="dxa" w:w="831"/>
          </w:tcPr>
          <w:p>
            <w:pPr>
              <w:pStyle w:val="null3"/>
              <w:jc w:val="right"/>
            </w:pPr>
            <w:r>
              <w:rPr/>
              <w:t>680,000.00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一、</w:t>
            </w:r>
            <w:r>
              <w:rPr>
                <w:rFonts w:ascii="仿宋" w:hAnsi="仿宋" w:cs="仿宋" w:eastAsia="仿宋"/>
                <w:sz w:val="24"/>
                <w:b/>
              </w:rPr>
              <w:t>服务内容</w:t>
            </w:r>
          </w:p>
          <w:p>
            <w:pPr>
              <w:pStyle w:val="null3"/>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运维范围内设备每月巡检</w:t>
            </w:r>
            <w:r>
              <w:rPr>
                <w:rFonts w:ascii="仿宋" w:hAnsi="仿宋" w:cs="仿宋" w:eastAsia="仿宋"/>
                <w:sz w:val="24"/>
              </w:rPr>
              <w:t>至少</w:t>
            </w:r>
            <w:r>
              <w:rPr>
                <w:rFonts w:ascii="仿宋" w:hAnsi="仿宋" w:cs="仿宋" w:eastAsia="仿宋"/>
                <w:sz w:val="24"/>
              </w:rPr>
              <w:t>2</w:t>
            </w:r>
            <w:r>
              <w:rPr>
                <w:rFonts w:ascii="仿宋" w:hAnsi="仿宋" w:cs="仿宋" w:eastAsia="仿宋"/>
                <w:sz w:val="24"/>
              </w:rPr>
              <w:t>次，</w:t>
            </w:r>
            <w:r>
              <w:rPr>
                <w:rFonts w:ascii="仿宋" w:hAnsi="仿宋" w:cs="仿宋" w:eastAsia="仿宋"/>
                <w:sz w:val="24"/>
              </w:rPr>
              <w:t>全</w:t>
            </w:r>
            <w:r>
              <w:rPr>
                <w:rFonts w:ascii="仿宋" w:hAnsi="仿宋" w:cs="仿宋" w:eastAsia="仿宋"/>
                <w:sz w:val="24"/>
              </w:rPr>
              <w:t>年全面检修</w:t>
            </w:r>
            <w:r>
              <w:rPr>
                <w:rFonts w:ascii="仿宋" w:hAnsi="仿宋" w:cs="仿宋" w:eastAsia="仿宋"/>
                <w:sz w:val="24"/>
              </w:rPr>
              <w:t>大于等于</w:t>
            </w:r>
            <w:r>
              <w:rPr>
                <w:rFonts w:ascii="仿宋" w:hAnsi="仿宋" w:cs="仿宋" w:eastAsia="仿宋"/>
                <w:sz w:val="24"/>
              </w:rPr>
              <w:t>两次，及出具巡视和检修情况分析</w:t>
            </w:r>
            <w:r>
              <w:rPr>
                <w:rFonts w:ascii="仿宋" w:hAnsi="仿宋" w:cs="仿宋" w:eastAsia="仿宋"/>
                <w:sz w:val="24"/>
              </w:rPr>
              <w:t>电子及纸质报告</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运维期间设备出现故障，提供</w:t>
            </w:r>
            <w:r>
              <w:rPr>
                <w:rFonts w:ascii="仿宋" w:hAnsi="仿宋" w:cs="仿宋" w:eastAsia="仿宋"/>
                <w:sz w:val="24"/>
              </w:rPr>
              <w:t>7*24小时抢修服务（不包括</w:t>
            </w:r>
            <w:r>
              <w:rPr>
                <w:rFonts w:ascii="仿宋" w:hAnsi="仿宋" w:cs="仿宋" w:eastAsia="仿宋"/>
                <w:sz w:val="24"/>
              </w:rPr>
              <w:t>特殊</w:t>
            </w:r>
            <w:r>
              <w:rPr>
                <w:rFonts w:ascii="仿宋" w:hAnsi="仿宋" w:cs="仿宋" w:eastAsia="仿宋"/>
                <w:sz w:val="24"/>
              </w:rPr>
              <w:t>抢修产生的材料费），要求</w:t>
            </w:r>
            <w:r>
              <w:rPr>
                <w:rFonts w:ascii="仿宋" w:hAnsi="仿宋" w:cs="仿宋" w:eastAsia="仿宋"/>
                <w:sz w:val="24"/>
              </w:rPr>
              <w:t>30分钟内到达现场抢修直至问题处理完毕。</w:t>
            </w:r>
          </w:p>
          <w:p>
            <w:pPr>
              <w:pStyle w:val="null3"/>
              <w:ind w:firstLine="480"/>
              <w:jc w:val="both"/>
            </w:pPr>
            <w:r>
              <w:rPr>
                <w:rFonts w:ascii="仿宋" w:hAnsi="仿宋" w:cs="仿宋" w:eastAsia="仿宋"/>
                <w:sz w:val="24"/>
              </w:rPr>
              <w:t>（</w:t>
            </w:r>
            <w:r>
              <w:rPr>
                <w:rFonts w:ascii="仿宋" w:hAnsi="仿宋" w:cs="仿宋" w:eastAsia="仿宋"/>
                <w:sz w:val="24"/>
              </w:rPr>
              <w:t>3）针对故障问题出具相应故障分析及设备消缺报告及全年运行报告。</w:t>
            </w:r>
          </w:p>
          <w:p>
            <w:pPr>
              <w:pStyle w:val="null3"/>
              <w:ind w:firstLine="480"/>
              <w:jc w:val="both"/>
            </w:pPr>
            <w:r>
              <w:rPr>
                <w:rFonts w:ascii="仿宋" w:hAnsi="仿宋" w:cs="仿宋" w:eastAsia="仿宋"/>
                <w:sz w:val="24"/>
              </w:rPr>
              <w:t>（</w:t>
            </w:r>
            <w:r>
              <w:rPr>
                <w:rFonts w:ascii="仿宋" w:hAnsi="仿宋" w:cs="仿宋" w:eastAsia="仿宋"/>
                <w:sz w:val="24"/>
              </w:rPr>
              <w:t>4）运维期间对服务区域内的高</w:t>
            </w:r>
            <w:r>
              <w:rPr>
                <w:rFonts w:ascii="仿宋" w:hAnsi="仿宋" w:cs="仿宋" w:eastAsia="仿宋"/>
                <w:sz w:val="24"/>
              </w:rPr>
              <w:t>低</w:t>
            </w:r>
            <w:r>
              <w:rPr>
                <w:rFonts w:ascii="仿宋" w:hAnsi="仿宋" w:cs="仿宋" w:eastAsia="仿宋"/>
                <w:sz w:val="24"/>
              </w:rPr>
              <w:t>压变配电设备</w:t>
            </w:r>
            <w:r>
              <w:rPr>
                <w:rFonts w:ascii="仿宋" w:hAnsi="仿宋" w:cs="仿宋" w:eastAsia="仿宋"/>
                <w:sz w:val="24"/>
              </w:rPr>
              <w:t>、各配电室绝缘地垫</w:t>
            </w:r>
            <w:r>
              <w:rPr>
                <w:rFonts w:ascii="仿宋" w:hAnsi="仿宋" w:cs="仿宋" w:eastAsia="仿宋"/>
                <w:sz w:val="24"/>
              </w:rPr>
              <w:t>及所有工器具依据</w:t>
            </w:r>
            <w:r>
              <w:rPr>
                <w:rFonts w:ascii="仿宋" w:hAnsi="仿宋" w:cs="仿宋" w:eastAsia="仿宋"/>
                <w:sz w:val="24"/>
              </w:rPr>
              <w:t>现行</w:t>
            </w:r>
            <w:r>
              <w:rPr>
                <w:rFonts w:ascii="仿宋" w:hAnsi="仿宋" w:cs="仿宋" w:eastAsia="仿宋"/>
                <w:sz w:val="24"/>
              </w:rPr>
              <w:t>标准执行做预防性试验，并提供有效的试验</w:t>
            </w:r>
            <w:r>
              <w:rPr>
                <w:rFonts w:ascii="仿宋" w:hAnsi="仿宋" w:cs="仿宋" w:eastAsia="仿宋"/>
                <w:sz w:val="24"/>
              </w:rPr>
              <w:t>电子及纸质</w:t>
            </w:r>
            <w:r>
              <w:rPr>
                <w:rFonts w:ascii="仿宋" w:hAnsi="仿宋" w:cs="仿宋" w:eastAsia="仿宋"/>
                <w:sz w:val="24"/>
              </w:rPr>
              <w:t>报告。</w:t>
            </w:r>
          </w:p>
          <w:p>
            <w:pPr>
              <w:pStyle w:val="null3"/>
              <w:ind w:firstLine="480"/>
              <w:jc w:val="both"/>
            </w:pPr>
            <w:r>
              <w:rPr>
                <w:rFonts w:ascii="仿宋" w:hAnsi="仿宋" w:cs="仿宋" w:eastAsia="仿宋"/>
                <w:sz w:val="24"/>
              </w:rPr>
              <w:t>（</w:t>
            </w:r>
            <w:r>
              <w:rPr>
                <w:rFonts w:ascii="仿宋" w:hAnsi="仿宋" w:cs="仿宋" w:eastAsia="仿宋"/>
                <w:sz w:val="24"/>
              </w:rPr>
              <w:t>5）根据医院要求建立标准化配电室相关的制度及操作流程。</w:t>
            </w:r>
          </w:p>
          <w:p>
            <w:pPr>
              <w:pStyle w:val="null3"/>
              <w:ind w:firstLine="480"/>
              <w:jc w:val="both"/>
            </w:pPr>
            <w:r>
              <w:rPr>
                <w:rFonts w:ascii="仿宋" w:hAnsi="仿宋" w:cs="仿宋" w:eastAsia="仿宋"/>
                <w:sz w:val="24"/>
              </w:rPr>
              <w:t>（</w:t>
            </w:r>
            <w:r>
              <w:rPr>
                <w:rFonts w:ascii="仿宋" w:hAnsi="仿宋" w:cs="仿宋" w:eastAsia="仿宋"/>
                <w:sz w:val="24"/>
              </w:rPr>
              <w:t>6）所有巡视、试验、故障处理及电气操作应保障现场专业人员数量不少于2人。</w:t>
            </w:r>
          </w:p>
          <w:p>
            <w:pPr>
              <w:pStyle w:val="null3"/>
              <w:ind w:firstLine="480"/>
              <w:jc w:val="both"/>
            </w:pPr>
            <w:r>
              <w:rPr>
                <w:rFonts w:ascii="仿宋" w:hAnsi="仿宋" w:cs="仿宋" w:eastAsia="仿宋"/>
                <w:sz w:val="24"/>
              </w:rPr>
              <w:t>（</w:t>
            </w:r>
            <w:r>
              <w:rPr>
                <w:rFonts w:ascii="仿宋" w:hAnsi="仿宋" w:cs="仿宋" w:eastAsia="仿宋"/>
                <w:sz w:val="24"/>
              </w:rPr>
              <w:t>7）配合</w:t>
            </w:r>
            <w:r>
              <w:rPr>
                <w:rFonts w:ascii="仿宋" w:hAnsi="仿宋" w:cs="仿宋" w:eastAsia="仿宋"/>
                <w:sz w:val="24"/>
              </w:rPr>
              <w:t>采购人</w:t>
            </w:r>
            <w:r>
              <w:rPr>
                <w:rFonts w:ascii="仿宋" w:hAnsi="仿宋" w:cs="仿宋" w:eastAsia="仿宋"/>
                <w:sz w:val="24"/>
              </w:rPr>
              <w:t>完成全年</w:t>
            </w:r>
            <w:r>
              <w:rPr>
                <w:rFonts w:ascii="仿宋" w:hAnsi="仿宋" w:cs="仿宋" w:eastAsia="仿宋"/>
                <w:sz w:val="24"/>
              </w:rPr>
              <w:t>大于</w:t>
            </w:r>
            <w:r>
              <w:rPr>
                <w:rFonts w:ascii="仿宋" w:hAnsi="仿宋" w:cs="仿宋" w:eastAsia="仿宋"/>
                <w:sz w:val="24"/>
              </w:rPr>
              <w:t>两次</w:t>
            </w:r>
            <w:r>
              <w:rPr>
                <w:rFonts w:ascii="仿宋" w:hAnsi="仿宋" w:cs="仿宋" w:eastAsia="仿宋"/>
                <w:sz w:val="24"/>
              </w:rPr>
              <w:t>的检修计划。</w:t>
            </w:r>
          </w:p>
          <w:p>
            <w:pPr>
              <w:pStyle w:val="null3"/>
              <w:ind w:firstLine="480"/>
              <w:jc w:val="both"/>
            </w:pPr>
            <w:r>
              <w:rPr>
                <w:rFonts w:ascii="仿宋" w:hAnsi="仿宋" w:cs="仿宋" w:eastAsia="仿宋"/>
                <w:sz w:val="24"/>
              </w:rPr>
              <w:t>（</w:t>
            </w:r>
            <w:r>
              <w:rPr>
                <w:rFonts w:ascii="仿宋" w:hAnsi="仿宋" w:cs="仿宋" w:eastAsia="仿宋"/>
                <w:sz w:val="24"/>
              </w:rPr>
              <w:t>8）实时掌握全院用电能耗情况，对电源进线、出线回路的进行高精度电能消耗计量，并进行统计、分析；使设备优化运行，降低维护成本；</w:t>
            </w:r>
          </w:p>
          <w:p>
            <w:pPr>
              <w:pStyle w:val="null3"/>
              <w:ind w:firstLine="480"/>
              <w:jc w:val="both"/>
            </w:pPr>
            <w:r>
              <w:rPr>
                <w:rFonts w:ascii="仿宋" w:hAnsi="仿宋" w:cs="仿宋" w:eastAsia="仿宋"/>
                <w:sz w:val="24"/>
              </w:rPr>
              <w:t>（</w:t>
            </w:r>
            <w:r>
              <w:rPr>
                <w:rFonts w:ascii="仿宋" w:hAnsi="仿宋" w:cs="仿宋" w:eastAsia="仿宋"/>
                <w:sz w:val="24"/>
              </w:rPr>
              <w:t>9）要求人员</w:t>
            </w:r>
            <w:r>
              <w:rPr>
                <w:rFonts w:ascii="仿宋" w:hAnsi="仿宋" w:cs="仿宋" w:eastAsia="仿宋"/>
                <w:sz w:val="24"/>
              </w:rPr>
              <w:t>每班</w:t>
            </w:r>
            <w:r>
              <w:rPr>
                <w:rFonts w:ascii="仿宋" w:hAnsi="仿宋" w:cs="仿宋" w:eastAsia="仿宋"/>
                <w:sz w:val="24"/>
              </w:rPr>
              <w:t>不少于</w:t>
            </w:r>
            <w:r>
              <w:rPr>
                <w:rFonts w:ascii="仿宋" w:hAnsi="仿宋" w:cs="仿宋" w:eastAsia="仿宋"/>
                <w:sz w:val="24"/>
              </w:rPr>
              <w:t>2人</w:t>
            </w:r>
            <w:r>
              <w:rPr>
                <w:rFonts w:ascii="仿宋" w:hAnsi="仿宋" w:cs="仿宋" w:eastAsia="仿宋"/>
                <w:sz w:val="24"/>
              </w:rPr>
              <w:t>驻场；</w:t>
            </w:r>
            <w:r>
              <w:rPr>
                <w:rFonts w:ascii="仿宋" w:hAnsi="仿宋" w:cs="仿宋" w:eastAsia="仿宋"/>
                <w:sz w:val="24"/>
              </w:rPr>
              <w:t>（</w:t>
            </w:r>
            <w:r>
              <w:rPr>
                <w:rFonts w:ascii="仿宋" w:hAnsi="仿宋" w:cs="仿宋" w:eastAsia="仿宋"/>
                <w:sz w:val="24"/>
              </w:rPr>
              <w:t>具有相关专业资质</w:t>
            </w:r>
            <w:r>
              <w:rPr>
                <w:rFonts w:ascii="仿宋" w:hAnsi="仿宋" w:cs="仿宋" w:eastAsia="仿宋"/>
                <w:sz w:val="24"/>
              </w:rPr>
              <w:t>）</w:t>
            </w:r>
            <w:r>
              <w:rPr>
                <w:rFonts w:ascii="仿宋" w:hAnsi="仿宋" w:cs="仿宋" w:eastAsia="仿宋"/>
                <w:sz w:val="24"/>
              </w:rPr>
              <w:t>应急各用一人。</w:t>
            </w:r>
          </w:p>
          <w:p>
            <w:pPr>
              <w:pStyle w:val="null3"/>
              <w:ind w:firstLine="480"/>
              <w:jc w:val="both"/>
            </w:pPr>
            <w:r>
              <w:rPr>
                <w:rFonts w:ascii="仿宋" w:hAnsi="仿宋" w:cs="仿宋" w:eastAsia="仿宋"/>
                <w:sz w:val="24"/>
              </w:rPr>
              <w:t>（</w:t>
            </w:r>
            <w:r>
              <w:rPr>
                <w:rFonts w:ascii="仿宋" w:hAnsi="仿宋" w:cs="仿宋" w:eastAsia="仿宋"/>
                <w:sz w:val="24"/>
              </w:rPr>
              <w:t>10）对现有</w:t>
            </w:r>
            <w:r>
              <w:rPr>
                <w:rFonts w:ascii="仿宋" w:hAnsi="仿宋" w:cs="仿宋" w:eastAsia="仿宋"/>
                <w:sz w:val="24"/>
              </w:rPr>
              <w:t>柴油发电机</w:t>
            </w:r>
            <w:r>
              <w:rPr>
                <w:rFonts w:ascii="仿宋" w:hAnsi="仿宋" w:cs="仿宋" w:eastAsia="仿宋"/>
                <w:sz w:val="24"/>
              </w:rPr>
              <w:t>2台维护。</w:t>
            </w:r>
          </w:p>
          <w:p>
            <w:pPr>
              <w:pStyle w:val="null3"/>
              <w:ind w:firstLine="480"/>
              <w:jc w:val="both"/>
            </w:pPr>
            <w:r>
              <w:rPr>
                <w:rFonts w:ascii="仿宋" w:hAnsi="仿宋" w:cs="仿宋" w:eastAsia="仿宋"/>
                <w:sz w:val="24"/>
              </w:rPr>
              <w:t>（</w:t>
            </w:r>
            <w:r>
              <w:rPr>
                <w:rFonts w:ascii="仿宋" w:hAnsi="仿宋" w:cs="仿宋" w:eastAsia="仿宋"/>
                <w:sz w:val="24"/>
              </w:rPr>
              <w:t>11）每月定期对人员进行安全培训及考核评价并提供记录留存。</w:t>
            </w:r>
          </w:p>
          <w:p>
            <w:pPr>
              <w:pStyle w:val="null3"/>
              <w:ind w:firstLine="480"/>
              <w:jc w:val="both"/>
            </w:pPr>
            <w:r>
              <w:rPr>
                <w:rFonts w:ascii="仿宋" w:hAnsi="仿宋" w:cs="仿宋" w:eastAsia="仿宋"/>
                <w:sz w:val="24"/>
              </w:rPr>
              <w:t>（</w:t>
            </w:r>
            <w:r>
              <w:rPr>
                <w:rFonts w:ascii="仿宋" w:hAnsi="仿宋" w:cs="仿宋" w:eastAsia="仿宋"/>
                <w:sz w:val="24"/>
              </w:rPr>
              <w:t>12）维</w:t>
            </w:r>
            <w:r>
              <w:rPr>
                <w:rFonts w:ascii="仿宋" w:hAnsi="仿宋" w:cs="仿宋" w:eastAsia="仿宋"/>
                <w:sz w:val="24"/>
              </w:rPr>
              <w:t>修单</w:t>
            </w:r>
            <w:r>
              <w:rPr>
                <w:rFonts w:ascii="仿宋" w:hAnsi="仿宋" w:cs="仿宋" w:eastAsia="仿宋"/>
                <w:sz w:val="24"/>
              </w:rPr>
              <w:t>件</w:t>
            </w:r>
            <w:r>
              <w:rPr>
                <w:rFonts w:ascii="仿宋" w:hAnsi="仿宋" w:cs="仿宋" w:eastAsia="仿宋"/>
                <w:sz w:val="24"/>
              </w:rPr>
              <w:t>材料费用超过</w:t>
            </w:r>
            <w:r>
              <w:rPr>
                <w:rFonts w:ascii="仿宋" w:hAnsi="仿宋" w:cs="仿宋" w:eastAsia="仿宋"/>
                <w:sz w:val="24"/>
              </w:rPr>
              <w:t>1000元的，材料费由采购人承担；不足1000元的（含1000元），由中标服务商承担。</w:t>
            </w:r>
          </w:p>
          <w:p>
            <w:pPr>
              <w:pStyle w:val="null3"/>
              <w:ind w:firstLine="480"/>
              <w:jc w:val="both"/>
            </w:pPr>
            <w:r>
              <w:rPr>
                <w:rFonts w:ascii="仿宋" w:hAnsi="仿宋" w:cs="仿宋" w:eastAsia="仿宋"/>
                <w:sz w:val="24"/>
              </w:rPr>
              <w:t>三、</w:t>
            </w:r>
            <w:r>
              <w:rPr>
                <w:rFonts w:ascii="仿宋" w:hAnsi="仿宋" w:cs="仿宋" w:eastAsia="仿宋"/>
                <w:sz w:val="24"/>
              </w:rPr>
              <w:t>技术要求</w:t>
            </w:r>
          </w:p>
          <w:p>
            <w:pPr>
              <w:pStyle w:val="null3"/>
              <w:ind w:firstLine="480"/>
              <w:jc w:val="both"/>
            </w:pPr>
            <w:r>
              <w:rPr>
                <w:rFonts w:ascii="仿宋" w:hAnsi="仿宋" w:cs="仿宋" w:eastAsia="仿宋"/>
                <w:sz w:val="24"/>
              </w:rPr>
              <w:t>确保医院</w:t>
            </w:r>
            <w:r>
              <w:rPr>
                <w:rFonts w:ascii="仿宋" w:hAnsi="仿宋" w:cs="仿宋" w:eastAsia="仿宋"/>
                <w:sz w:val="24"/>
              </w:rPr>
              <w:t>10</w:t>
            </w:r>
            <w:r>
              <w:rPr>
                <w:rFonts w:ascii="仿宋" w:hAnsi="仿宋" w:cs="仿宋" w:eastAsia="仿宋"/>
                <w:sz w:val="24"/>
              </w:rPr>
              <w:t>kV</w:t>
            </w:r>
            <w:r>
              <w:rPr>
                <w:rFonts w:ascii="仿宋" w:hAnsi="仿宋" w:cs="仿宋" w:eastAsia="仿宋"/>
                <w:sz w:val="24"/>
              </w:rPr>
              <w:t>高低压变配电线路、电气设备安全平稳运行，能精确诊断排除故障，及时维修</w:t>
            </w:r>
            <w:r>
              <w:rPr>
                <w:rFonts w:ascii="仿宋" w:hAnsi="仿宋" w:cs="仿宋" w:eastAsia="仿宋"/>
                <w:sz w:val="24"/>
              </w:rPr>
              <w:t>。</w:t>
            </w:r>
          </w:p>
          <w:p>
            <w:pPr>
              <w:pStyle w:val="null3"/>
              <w:ind w:firstLine="480"/>
              <w:jc w:val="both"/>
            </w:pPr>
            <w:r>
              <w:rPr>
                <w:rFonts w:ascii="仿宋" w:hAnsi="仿宋" w:cs="仿宋" w:eastAsia="仿宋"/>
                <w:sz w:val="24"/>
              </w:rPr>
              <w:t>四、服务要求</w:t>
            </w:r>
          </w:p>
          <w:p>
            <w:pPr>
              <w:pStyle w:val="null3"/>
              <w:ind w:firstLine="480"/>
              <w:jc w:val="both"/>
            </w:pPr>
            <w:r>
              <w:rPr>
                <w:rFonts w:ascii="仿宋" w:hAnsi="仿宋" w:cs="仿宋" w:eastAsia="仿宋"/>
                <w:sz w:val="24"/>
              </w:rPr>
              <w:t>医院</w:t>
            </w:r>
            <w:r>
              <w:rPr>
                <w:rFonts w:ascii="仿宋" w:hAnsi="仿宋" w:cs="仿宋" w:eastAsia="仿宋"/>
                <w:sz w:val="24"/>
              </w:rPr>
              <w:t>10</w:t>
            </w:r>
            <w:r>
              <w:rPr>
                <w:rFonts w:ascii="仿宋" w:hAnsi="仿宋" w:cs="仿宋" w:eastAsia="仿宋"/>
                <w:sz w:val="24"/>
              </w:rPr>
              <w:t>kV</w:t>
            </w:r>
            <w:r>
              <w:rPr>
                <w:rFonts w:ascii="仿宋" w:hAnsi="仿宋" w:cs="仿宋" w:eastAsia="仿宋"/>
                <w:sz w:val="24"/>
              </w:rPr>
              <w:t>用电与供电部门产权分界点至所有配电室内高、低压线柜进出线端、变压器低压侧第一个配电柜范围内所有高低压电力设备等，包括</w:t>
            </w:r>
            <w:r>
              <w:rPr>
                <w:rFonts w:ascii="仿宋" w:hAnsi="仿宋" w:cs="仿宋" w:eastAsia="仿宋"/>
                <w:sz w:val="24"/>
              </w:rPr>
              <w:t>21面高压柜、6台干式变压器、1台箱式变压器、1台油侵式变压器内的高低压电气设备及联络电缆、所有控制高低压柜直流监测控制系统</w:t>
            </w:r>
            <w:r>
              <w:rPr>
                <w:rFonts w:ascii="仿宋" w:hAnsi="仿宋" w:cs="仿宋" w:eastAsia="仿宋"/>
                <w:sz w:val="24"/>
              </w:rPr>
              <w:t>、柴油发电机</w:t>
            </w:r>
            <w:r>
              <w:rPr>
                <w:rFonts w:ascii="仿宋" w:hAnsi="仿宋" w:cs="仿宋" w:eastAsia="仿宋"/>
                <w:sz w:val="24"/>
              </w:rPr>
              <w:t>2台</w:t>
            </w:r>
            <w:r>
              <w:rPr>
                <w:rFonts w:ascii="仿宋" w:hAnsi="仿宋" w:cs="仿宋" w:eastAsia="仿宋"/>
                <w:sz w:val="24"/>
              </w:rPr>
              <w:t>等，对以上范围内高低压配电设备由维保方根据相关标准代运行维护管理。</w:t>
            </w:r>
          </w:p>
          <w:p>
            <w:pPr>
              <w:pStyle w:val="null3"/>
              <w:ind w:firstLine="480"/>
              <w:jc w:val="both"/>
            </w:pPr>
            <w:r>
              <w:rPr>
                <w:rFonts w:ascii="仿宋" w:hAnsi="仿宋" w:cs="仿宋" w:eastAsia="仿宋"/>
                <w:sz w:val="24"/>
              </w:rPr>
              <w:t>二、商务要求</w:t>
            </w:r>
          </w:p>
          <w:p>
            <w:pPr>
              <w:pStyle w:val="null3"/>
              <w:ind w:firstLine="480"/>
              <w:jc w:val="both"/>
            </w:pPr>
            <w:r>
              <w:rPr>
                <w:rFonts w:ascii="仿宋" w:hAnsi="仿宋" w:cs="仿宋" w:eastAsia="仿宋"/>
                <w:sz w:val="24"/>
              </w:rPr>
              <w:t>（一）服务期限</w:t>
            </w:r>
          </w:p>
          <w:p>
            <w:pPr>
              <w:pStyle w:val="null3"/>
              <w:ind w:firstLine="480"/>
              <w:jc w:val="both"/>
            </w:pPr>
            <w:r>
              <w:rPr>
                <w:rFonts w:ascii="仿宋" w:hAnsi="仿宋" w:cs="仿宋" w:eastAsia="仿宋"/>
                <w:sz w:val="24"/>
              </w:rPr>
              <w:t>合同期限为</w:t>
            </w:r>
            <w:r>
              <w:rPr>
                <w:rFonts w:ascii="仿宋" w:hAnsi="仿宋" w:cs="仿宋" w:eastAsia="仿宋"/>
                <w:sz w:val="24"/>
              </w:rPr>
              <w:t>1年，</w:t>
            </w:r>
            <w:r>
              <w:rPr>
                <w:rFonts w:ascii="仿宋" w:hAnsi="仿宋" w:cs="仿宋" w:eastAsia="仿宋"/>
                <w:sz w:val="24"/>
              </w:rPr>
              <w:t>具体以签订合同时间为准</w:t>
            </w:r>
            <w:r>
              <w:rPr>
                <w:rFonts w:ascii="仿宋" w:hAnsi="仿宋" w:cs="仿宋" w:eastAsia="仿宋"/>
                <w:sz w:val="24"/>
              </w:rPr>
              <w:t>。</w:t>
            </w:r>
          </w:p>
          <w:p>
            <w:pPr>
              <w:pStyle w:val="null3"/>
              <w:ind w:firstLine="480"/>
              <w:jc w:val="both"/>
            </w:pPr>
            <w:r>
              <w:rPr>
                <w:rFonts w:ascii="仿宋" w:hAnsi="仿宋" w:cs="仿宋" w:eastAsia="仿宋"/>
                <w:sz w:val="24"/>
              </w:rPr>
              <w:t>（二）款项结算</w:t>
            </w:r>
          </w:p>
          <w:p>
            <w:pPr>
              <w:pStyle w:val="null3"/>
              <w:ind w:firstLine="480"/>
              <w:jc w:val="both"/>
            </w:pPr>
            <w:r>
              <w:rPr>
                <w:rFonts w:ascii="仿宋" w:hAnsi="仿宋" w:cs="仿宋" w:eastAsia="仿宋"/>
                <w:sz w:val="24"/>
              </w:rPr>
              <w:t>1、合同总金额：</w:t>
            </w:r>
            <w:r>
              <w:rPr>
                <w:rFonts w:ascii="仿宋" w:hAnsi="仿宋" w:cs="仿宋" w:eastAsia="仿宋"/>
                <w:sz w:val="24"/>
              </w:rPr>
              <w:t>以签订合同金额为准</w:t>
            </w:r>
          </w:p>
          <w:p>
            <w:pPr>
              <w:pStyle w:val="null3"/>
              <w:ind w:firstLine="480"/>
              <w:jc w:val="both"/>
            </w:pPr>
            <w:r>
              <w:rPr>
                <w:rFonts w:ascii="仿宋" w:hAnsi="仿宋" w:cs="仿宋" w:eastAsia="仿宋"/>
                <w:sz w:val="24"/>
              </w:rPr>
              <w:t>2、付款方式：</w:t>
            </w:r>
            <w:r>
              <w:rPr>
                <w:rFonts w:ascii="仿宋" w:hAnsi="仿宋" w:cs="仿宋" w:eastAsia="仿宋"/>
                <w:sz w:val="24"/>
              </w:rPr>
              <w:t>为服务期开始分四次支付。</w:t>
            </w:r>
          </w:p>
          <w:p>
            <w:pPr>
              <w:pStyle w:val="null3"/>
              <w:ind w:firstLine="480"/>
              <w:jc w:val="both"/>
            </w:pPr>
            <w:r>
              <w:rPr>
                <w:rFonts w:ascii="仿宋" w:hAnsi="仿宋" w:cs="仿宋" w:eastAsia="仿宋"/>
                <w:sz w:val="24"/>
              </w:rPr>
              <w:t>3、</w:t>
            </w:r>
            <w:r>
              <w:rPr>
                <w:rFonts w:ascii="仿宋" w:hAnsi="仿宋" w:cs="仿宋" w:eastAsia="仿宋"/>
                <w:sz w:val="24"/>
              </w:rPr>
              <w:t>履约保证金收取与退还</w:t>
            </w:r>
            <w:r>
              <w:rPr>
                <w:rFonts w:ascii="仿宋" w:hAnsi="仿宋" w:cs="仿宋" w:eastAsia="仿宋"/>
                <w:sz w:val="24"/>
              </w:rPr>
              <w:t>:</w:t>
            </w:r>
            <w:r>
              <w:rPr>
                <w:rFonts w:ascii="仿宋" w:hAnsi="仿宋" w:cs="仿宋" w:eastAsia="仿宋"/>
                <w:sz w:val="24"/>
              </w:rPr>
              <w:t>供应商</w:t>
            </w:r>
            <w:r>
              <w:rPr>
                <w:rFonts w:ascii="仿宋" w:hAnsi="仿宋" w:cs="仿宋" w:eastAsia="仿宋"/>
                <w:sz w:val="24"/>
              </w:rPr>
              <w:t>应当在中标通知书领取后五个工作日内将项目履约保证金（合同总金额的</w:t>
            </w:r>
            <w:r>
              <w:rPr>
                <w:rFonts w:ascii="仿宋" w:hAnsi="仿宋" w:cs="仿宋" w:eastAsia="仿宋"/>
                <w:sz w:val="24"/>
              </w:rPr>
              <w:t>5％）缴纳至</w:t>
            </w:r>
            <w:r>
              <w:rPr>
                <w:rFonts w:ascii="仿宋" w:hAnsi="仿宋" w:cs="仿宋" w:eastAsia="仿宋"/>
                <w:sz w:val="24"/>
              </w:rPr>
              <w:t>采购人</w:t>
            </w:r>
            <w:r>
              <w:rPr>
                <w:rFonts w:ascii="仿宋" w:hAnsi="仿宋" w:cs="仿宋" w:eastAsia="仿宋"/>
                <w:sz w:val="24"/>
              </w:rPr>
              <w:t>财务科，未按照招标文件要求按时足额缴纳履约保证金的，</w:t>
            </w:r>
            <w:r>
              <w:rPr>
                <w:rFonts w:ascii="仿宋" w:hAnsi="仿宋" w:cs="仿宋" w:eastAsia="仿宋"/>
                <w:sz w:val="24"/>
              </w:rPr>
              <w:t>采购人</w:t>
            </w:r>
            <w:r>
              <w:rPr>
                <w:rFonts w:ascii="仿宋" w:hAnsi="仿宋" w:cs="仿宋" w:eastAsia="仿宋"/>
                <w:sz w:val="24"/>
              </w:rPr>
              <w:t>将取消</w:t>
            </w:r>
            <w:r>
              <w:rPr>
                <w:rFonts w:ascii="仿宋" w:hAnsi="仿宋" w:cs="仿宋" w:eastAsia="仿宋"/>
                <w:sz w:val="24"/>
              </w:rPr>
              <w:t>供应商</w:t>
            </w:r>
            <w:r>
              <w:rPr>
                <w:rFonts w:ascii="仿宋" w:hAnsi="仿宋" w:cs="仿宋" w:eastAsia="仿宋"/>
                <w:sz w:val="24"/>
              </w:rPr>
              <w:t>中标资格，且无需承担任何责任。合同约定事宜完成，验收合格后，无息退还履约保证金。</w:t>
            </w:r>
          </w:p>
          <w:p>
            <w:pPr>
              <w:pStyle w:val="null3"/>
              <w:ind w:firstLine="480"/>
              <w:jc w:val="both"/>
            </w:pPr>
            <w:r>
              <w:rPr>
                <w:rFonts w:ascii="仿宋" w:hAnsi="仿宋" w:cs="仿宋" w:eastAsia="仿宋"/>
                <w:sz w:val="24"/>
              </w:rPr>
              <w:t>（三）具体支付时间和金额为：</w:t>
            </w:r>
          </w:p>
          <w:p>
            <w:pPr>
              <w:pStyle w:val="null3"/>
              <w:jc w:val="both"/>
            </w:pPr>
            <w:r>
              <w:rPr>
                <w:rFonts w:ascii="仿宋" w:hAnsi="仿宋" w:cs="仿宋" w:eastAsia="仿宋"/>
                <w:sz w:val="24"/>
              </w:rPr>
              <w:t>按照季度付款，每季度服务完成并经甲方验收合格后的次月</w:t>
            </w:r>
            <w:r>
              <w:rPr>
                <w:rFonts w:ascii="仿宋" w:hAnsi="仿宋" w:cs="仿宋" w:eastAsia="仿宋"/>
                <w:sz w:val="24"/>
              </w:rPr>
              <w:t>15号前支付合同金额的25%。。</w:t>
            </w:r>
          </w:p>
        </w:tc>
      </w:tr>
    </w:tbl>
    <w:p>
      <w:pPr>
        <w:pStyle w:val="null3"/>
        <w:outlineLvl w:val="2"/>
      </w:pPr>
      <w:r>
        <w:rPr>
          <w:sz w:val="28"/>
          <w:b/>
        </w:rPr>
        <w:t>3.2.3人员配置要求</w:t>
      </w:r>
    </w:p>
    <w:p>
      <w:pPr>
        <w:pStyle w:val="null3"/>
      </w:pPr>
      <w:r>
        <w:rPr/>
        <w:t>采购包1：</w:t>
      </w:r>
    </w:p>
    <w:p>
      <w:pPr>
        <w:pStyle w:val="null3"/>
      </w:pPr>
      <w:r>
        <w:rPr/>
        <w:t>详见服务内容</w:t>
      </w:r>
    </w:p>
    <w:p>
      <w:pPr>
        <w:pStyle w:val="null3"/>
        <w:outlineLvl w:val="2"/>
      </w:pPr>
      <w:r>
        <w:rPr>
          <w:sz w:val="28"/>
          <w:b/>
        </w:rPr>
        <w:t>3.2.4设施设备要求</w:t>
      </w:r>
    </w:p>
    <w:p>
      <w:pPr>
        <w:pStyle w:val="null3"/>
      </w:pPr>
      <w:r>
        <w:rPr/>
        <w:t>采购包1：</w:t>
      </w:r>
    </w:p>
    <w:p>
      <w:pPr>
        <w:pStyle w:val="null3"/>
      </w:pPr>
      <w:r>
        <w:rPr/>
        <w:t>详见服务内容</w:t>
      </w:r>
    </w:p>
    <w:p>
      <w:pPr>
        <w:pStyle w:val="null3"/>
        <w:outlineLvl w:val="2"/>
      </w:pPr>
      <w:r>
        <w:rPr>
          <w:sz w:val="28"/>
          <w:b/>
        </w:rPr>
        <w:t>3.2.5其他要求</w:t>
      </w:r>
    </w:p>
    <w:p>
      <w:pPr>
        <w:pStyle w:val="null3"/>
      </w:pPr>
      <w:r>
        <w:rPr/>
        <w:t>采购包1：</w:t>
      </w:r>
    </w:p>
    <w:p>
      <w:pPr>
        <w:pStyle w:val="null3"/>
      </w:pPr>
      <w:r>
        <w:rPr/>
        <w:t>详见服务内容</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（一）维保完成后，由甲乙双方共同验收，甲方填写验收合格并作为对乙方服务的认可。 （二）乙方向甲方提交设备维修过程中的相关资料及换下的故障配件。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按照季度付款，每季度服务完成并经甲方验收合格后的次月15号前支付合同金额的25%</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按照季度付款，每季度服务完成并经甲方验收合格后的次月15号前支付合同金额的25%</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按照季度付款，每季度服务完成并经甲方验收合格后的次月15号前支付合同金额的25%</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按照季度付款，每季度服务完成并经甲方验收合格后的次月15号前支付合同金额的25%</w:t>
      </w:r>
      <w:r>
        <w:rPr/>
        <w:t xml:space="preserve"> ，达到付款条件起 </w:t>
      </w:r>
      <w:r>
        <w:rPr/>
        <w:t>15</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一、违约责任 （一）按《中华人民共和国政府采购法》、《中华人民共和国民法典》中的相关条款执行。 （二）因乙方的违约行为给甲方造成的全部损失由乙方承担全部赔偿责任。。 （三）乙方未按合同要求维修设备或维修质量不能满足合同约定的服务要求，甲方有权解除合同，合同自书面解除通知书到达乙方之时解除，乙方向甲方支付合同总价款30%的违约金。 （四）乙方应严格遵守本合同约定的义务，如乙方在合同服务期内出现超过2次违反本合同义务的情形（不可抗力除外）即视为乙方恶意违约，此时甲方有权解除本合同，合同自甲方书面通知到达乙方时解除，乙方向甲方支付合同总价款30% 的违约金。。 二、合同争议解决的方式 因本维保合同产生的或者与其相关的所有请求、分歧或争议，包括关于本维保合同存在、效力、终止或履行，或者与本维保合同履行安排有关的任何问题（以下称“争议”），由甲乙双方当事人协商解决，协商不成的依法向甲方所在地人民法院提起诉讼。</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本项目根据《中小企业划型标准规定》标的类型划分为其他未列明行业。根据《中小企业划型标准规定》其他未列明行业。从业人员300人以下的为中小微型企业。其中，从业人员100人及以上的为中型企业;从业人员10人及以上的为小型企业;从业人员10人以下的为微型企业。 3.成交供应商在领取成交通知书时提供3套纸质投标文件（1正2副），纸质版投标文件应与线上电子投标文件保持一致并加盖公章。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 2023 年度财务审计报告或开标前12个月内银行资信证明或财政部门认可的政府采购专业担保机构出具的投标担保函）； 3、具有履行合同所必需的设备和专业技术能力的书面声明（格式详见附件）； 4、具有依法缴纳税收和社会保障资金的良好记录（提供开标前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 2023 年度财务审计报告或开标前12个月内银行资信证明或财政部门认可的政府采购专业担保机构出具的投标担保函）。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供应商承诺</w:t>
            </w:r>
          </w:p>
        </w:tc>
        <w:tc>
          <w:tcPr>
            <w:tcW w:type="dxa" w:w="3322"/>
          </w:tcPr>
          <w:p>
            <w:pPr>
              <w:pStyle w:val="null3"/>
            </w:pPr>
            <w:r>
              <w:rPr/>
              <w:t>本项目不接受由西安市红会医院职工及其亲属投资举办的企业参加磋商（提供承诺函）。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供应商要求</w:t>
            </w:r>
          </w:p>
        </w:tc>
        <w:tc>
          <w:tcPr>
            <w:tcW w:type="dxa" w:w="3322"/>
          </w:tcPr>
          <w:p>
            <w:pPr>
              <w:pStyle w:val="null3"/>
            </w:pPr>
            <w:r>
              <w:rPr/>
              <w:t>需具备有效的“承装（修、试）电力施工许可证”五级或以上资质，并具备有效的安全生产许可证。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供应商参加政府采购活动承诺书 分项报价表 标的清单 报价表 磋商报价表 陕西省政府采购供货商拒绝政府采购领域商业贿赂承诺书</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响应文件的签字盖章是否合格</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供应商报价</w:t>
            </w:r>
          </w:p>
        </w:tc>
        <w:tc>
          <w:tcPr>
            <w:tcW w:type="dxa" w:w="3322"/>
          </w:tcPr>
          <w:p>
            <w:pPr>
              <w:pStyle w:val="null3"/>
            </w:pPr>
            <w:r>
              <w:rPr/>
              <w:t>供应商报价未超出采购预算及最高限价</w:t>
            </w:r>
          </w:p>
        </w:tc>
        <w:tc>
          <w:tcPr>
            <w:tcW w:type="dxa" w:w="1661"/>
          </w:tcPr>
          <w:p>
            <w:pPr>
              <w:pStyle w:val="null3"/>
            </w:pPr>
            <w:r>
              <w:rPr/>
              <w:t>标的清单 报价表 磋商报价表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供应商针对服务内容制定科学合理的服务方案（包含（①设备每月巡检②设备出现故障的抢修服务③对故障问题的分析及全年报告④依据标准对设备做预防性试验并出具报告⑤建立标准化配电室相关的制度及操作流程⑥配合采购人完成全年大于两次的检修计划⑦对全员用电统计分析并优化⑧对现有发电机进行维护⑨人员培训） 1.每一项服务方案内容准确、重点突出、完整齐全的得4分； 2.每一项服务方案内容基本准确、具有重点、基本完整的得3分； 3.每一项服务方案内容基本准确、完整的得2分 服务方案内容略准确，重点不突出、内容有缺失的得1分； 4.未提供服务方案得0分。</w:t>
            </w:r>
          </w:p>
        </w:tc>
        <w:tc>
          <w:tcPr>
            <w:tcW w:type="dxa" w:w="831"/>
          </w:tcPr>
          <w:p>
            <w:pPr>
              <w:pStyle w:val="null3"/>
              <w:jc w:val="right"/>
            </w:pPr>
            <w:r>
              <w:rPr/>
              <w:t>36.0000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人员配备</w:t>
            </w:r>
          </w:p>
        </w:tc>
        <w:tc>
          <w:tcPr>
            <w:tcW w:type="dxa" w:w="2492"/>
          </w:tcPr>
          <w:p>
            <w:pPr>
              <w:pStyle w:val="null3"/>
            </w:pPr>
            <w:r>
              <w:rPr/>
              <w:t>1.供应商针对本项目的提供详细的人员配备方案，团队组织结构合理，职责分明，人员数量充足，且提供详细的证明资料，得8分； 2.供应商针对本项目提供完整的人员配备方案，团队组织结构合理，职责分明，人员数量满足要求，提供部分证明资料得6分； 3.供应商提供人员配备方案，团队组织结构合理，人员基本满足要求，提供的证明材料单一得4分； 4.供应商提供人员配备方案简单得2分； 5.未提供得0分。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维修单件材料费用承诺</w:t>
            </w:r>
          </w:p>
        </w:tc>
        <w:tc>
          <w:tcPr>
            <w:tcW w:type="dxa" w:w="2492"/>
          </w:tcPr>
          <w:p>
            <w:pPr>
              <w:pStyle w:val="null3"/>
            </w:pPr>
            <w:r>
              <w:rPr/>
              <w:t>1.供应商按照采购需求维修单件材料费用出具详细的承诺，并能优于采购人要求得3分； 2.供应商按照采购需求维修单件材料费用出具详细的承诺，满足采购人要求得2分； 3.承诺不符合要求或未提供得0分。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维护报告</w:t>
            </w:r>
          </w:p>
        </w:tc>
        <w:tc>
          <w:tcPr>
            <w:tcW w:type="dxa" w:w="2492"/>
          </w:tcPr>
          <w:p>
            <w:pPr>
              <w:pStyle w:val="null3"/>
            </w:pPr>
            <w:r>
              <w:rPr/>
              <w:t>供应商按照采购需求提供维护报告。 1.服务方案全面、详细、服务报告形式多样，科学合理、规范，可操作性强，得8分； 2.服务方案较为合理、规范，服务报告能够符合要求，具有一定操作性，得6分； 3.服务方案较为合理，服务报告单一，具有操作性，得4分； 4.服务方案简单，得2分； 5.服务方案不合理或未提供得0分。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专业维修工具</w:t>
            </w:r>
          </w:p>
        </w:tc>
        <w:tc>
          <w:tcPr>
            <w:tcW w:type="dxa" w:w="2492"/>
          </w:tcPr>
          <w:p>
            <w:pPr>
              <w:pStyle w:val="null3"/>
            </w:pPr>
            <w:r>
              <w:rPr/>
              <w:t>1.供应商具备丰富的专业维修工具,能够保证项目顺利实施，提供详细、全面的设备购入发票、图片等相关证明材料得6分； 2.供应商具备完善的专业维修工具,能够保证项目顺利实施，提供部分设备购入发票、图片等相关证明材料得4分； 3.供应商具备专业维修工具,基本能够保证项目顺利实施得2分； 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1.供应商提供详细全面、切实可行的质量承诺及保证措施、计划，能够保证项目的顺利实施得6分； 2.供应商提供完整的质量承诺及保证措施、计划，能够确保项目顺利实施得4分； 3.供应商提供的质量承诺及保证措施、计划简单得2分； 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服务承诺</w:t>
            </w:r>
          </w:p>
        </w:tc>
        <w:tc>
          <w:tcPr>
            <w:tcW w:type="dxa" w:w="2492"/>
          </w:tcPr>
          <w:p>
            <w:pPr>
              <w:pStyle w:val="null3"/>
            </w:pPr>
            <w:r>
              <w:rPr/>
              <w:t>1.供应商针对本项目提供详细的服务承诺（包含应急预案、维修后续服务等），服务承诺内容合理，贴合本项目情况得8分； 2.供应商提供完整的服务承诺（包含应急预案、维修后续服务等），服务承诺内容合理得6分； 3.供应商提供的服务承诺内容合理得6分； 4.供应商提供的服务承诺较简单得2分； 5.未提供得0分。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供应商提供2021年1月1日以来同类维保案例业绩证明,每个得 2 分，最多提供5份，最高得 10 分。 注：提供每份完整合同并加盖公章。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1.满足磋商文件实质性要求且最后报价最低的供应商价格为投标基准价，其价格分为满分15分。 2.投标报价得分=（投标基准价/投标报价）×15。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详见附件：资格证明文件</w:t>
      </w:r>
    </w:p>
    <w:p>
      <w:pPr>
        <w:pStyle w:val="null3"/>
        <w:ind w:firstLine="960"/>
      </w:pPr>
      <w:r>
        <w:rPr/>
        <w:t>详见附件：供应商参加政府采购活动承诺书</w:t>
      </w:r>
    </w:p>
    <w:p>
      <w:pPr>
        <w:pStyle w:val="null3"/>
        <w:ind w:firstLine="960"/>
      </w:pPr>
      <w:r>
        <w:rPr/>
        <w:t>详见附件：陕西省政府采购供货商拒绝政府采购领域商业贿赂承诺书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