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476DC">
      <w:pPr>
        <w:spacing w:line="360" w:lineRule="auto"/>
        <w:ind w:firstLine="1680" w:firstLineChars="600"/>
        <w:rPr>
          <w:rFonts w:ascii="宋体" w:hAnsi="宋体" w:cs="仿宋"/>
          <w:sz w:val="28"/>
          <w:szCs w:val="28"/>
        </w:rPr>
      </w:pPr>
    </w:p>
    <w:p w14:paraId="7DE0F35F">
      <w:pPr>
        <w:spacing w:line="360" w:lineRule="auto"/>
        <w:rPr>
          <w:rFonts w:ascii="宋体" w:hAnsi="宋体" w:cs="仿宋"/>
          <w:sz w:val="28"/>
          <w:szCs w:val="28"/>
        </w:rPr>
      </w:pPr>
    </w:p>
    <w:p w14:paraId="78B3BBF5">
      <w:pPr>
        <w:tabs>
          <w:tab w:val="left" w:pos="5670"/>
        </w:tabs>
        <w:autoSpaceDE w:val="0"/>
        <w:autoSpaceDN w:val="0"/>
        <w:adjustRightInd w:val="0"/>
        <w:spacing w:line="360" w:lineRule="auto"/>
        <w:jc w:val="center"/>
        <w:rPr>
          <w:rFonts w:ascii="宋体" w:hAnsi="宋体" w:cs="宋体"/>
          <w:b/>
          <w:bCs/>
          <w:sz w:val="48"/>
          <w:szCs w:val="44"/>
          <w:lang w:val="zh-CN"/>
        </w:rPr>
      </w:pPr>
    </w:p>
    <w:p w14:paraId="136EE727">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陕西中医药大学附属医院</w:t>
      </w:r>
    </w:p>
    <w:p w14:paraId="32F18602">
      <w:pPr>
        <w:ind w:left="-105" w:leftChars="-50" w:right="-105" w:rightChars="-50"/>
        <w:jc w:val="center"/>
        <w:rPr>
          <w:rFonts w:hint="eastAsia" w:ascii="宋体" w:hAnsi="宋体" w:eastAsia="宋体"/>
          <w:b/>
          <w:sz w:val="48"/>
          <w:szCs w:val="48"/>
          <w:lang w:eastAsia="zh-CN"/>
        </w:rPr>
      </w:pPr>
      <w:r>
        <w:rPr>
          <w:rFonts w:hint="eastAsia" w:ascii="宋体" w:hAnsi="宋体"/>
          <w:b/>
          <w:sz w:val="48"/>
          <w:szCs w:val="48"/>
          <w:lang w:eastAsia="zh-CN"/>
        </w:rPr>
        <w:t>关于微创针刀镜配套设备及手术器械的采购项目</w:t>
      </w:r>
    </w:p>
    <w:p w14:paraId="2D84D7FA">
      <w:pPr>
        <w:spacing w:line="360" w:lineRule="auto"/>
        <w:ind w:firstLine="1084" w:firstLineChars="300"/>
        <w:jc w:val="center"/>
        <w:rPr>
          <w:rFonts w:ascii="宋体" w:hAnsi="宋体" w:cs="仿宋"/>
          <w:b/>
          <w:bCs/>
          <w:sz w:val="36"/>
          <w:szCs w:val="36"/>
        </w:rPr>
      </w:pPr>
    </w:p>
    <w:p w14:paraId="66ADACE9">
      <w:pPr>
        <w:tabs>
          <w:tab w:val="left" w:pos="5670"/>
        </w:tabs>
        <w:autoSpaceDE w:val="0"/>
        <w:autoSpaceDN w:val="0"/>
        <w:adjustRightInd w:val="0"/>
        <w:spacing w:line="360" w:lineRule="auto"/>
        <w:jc w:val="center"/>
        <w:rPr>
          <w:rFonts w:ascii="宋体" w:hAnsi="宋体" w:cs="宋体"/>
          <w:b/>
          <w:bCs/>
          <w:sz w:val="48"/>
          <w:szCs w:val="44"/>
          <w:lang w:val="zh-CN"/>
        </w:rPr>
      </w:pPr>
    </w:p>
    <w:p w14:paraId="5DD25202">
      <w:pPr>
        <w:tabs>
          <w:tab w:val="left" w:pos="5670"/>
        </w:tabs>
        <w:autoSpaceDE w:val="0"/>
        <w:autoSpaceDN w:val="0"/>
        <w:adjustRightInd w:val="0"/>
        <w:spacing w:line="360" w:lineRule="auto"/>
        <w:jc w:val="center"/>
        <w:rPr>
          <w:rFonts w:ascii="宋体" w:hAnsi="宋体" w:cs="宋体"/>
          <w:b/>
          <w:bCs/>
          <w:sz w:val="48"/>
          <w:szCs w:val="44"/>
          <w:lang w:val="zh-CN"/>
        </w:rPr>
      </w:pPr>
    </w:p>
    <w:p w14:paraId="67027AE5">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采购合同</w:t>
      </w:r>
    </w:p>
    <w:p w14:paraId="2B3D2D31">
      <w:pPr>
        <w:spacing w:line="360" w:lineRule="auto"/>
        <w:ind w:firstLine="720" w:firstLineChars="300"/>
        <w:rPr>
          <w:rFonts w:ascii="宋体" w:hAnsi="宋体" w:cs="仿宋"/>
          <w:sz w:val="24"/>
        </w:rPr>
      </w:pPr>
    </w:p>
    <w:p w14:paraId="24B8A782">
      <w:pPr>
        <w:spacing w:line="360" w:lineRule="auto"/>
        <w:ind w:firstLine="720" w:firstLineChars="300"/>
        <w:rPr>
          <w:rFonts w:ascii="宋体" w:hAnsi="宋体" w:cs="仿宋"/>
          <w:sz w:val="24"/>
        </w:rPr>
      </w:pPr>
    </w:p>
    <w:p w14:paraId="37F3D5E6">
      <w:pPr>
        <w:spacing w:line="360" w:lineRule="auto"/>
        <w:ind w:firstLine="720" w:firstLineChars="300"/>
        <w:rPr>
          <w:rFonts w:ascii="宋体" w:hAnsi="宋体" w:cs="仿宋"/>
          <w:sz w:val="24"/>
        </w:rPr>
      </w:pPr>
    </w:p>
    <w:p w14:paraId="6D2C6F9E">
      <w:pPr>
        <w:spacing w:line="360" w:lineRule="auto"/>
        <w:ind w:firstLine="720" w:firstLineChars="300"/>
        <w:rPr>
          <w:rFonts w:ascii="宋体" w:hAnsi="宋体" w:cs="仿宋"/>
          <w:sz w:val="24"/>
        </w:rPr>
      </w:pPr>
    </w:p>
    <w:p w14:paraId="1398D322">
      <w:pPr>
        <w:spacing w:line="360" w:lineRule="auto"/>
        <w:rPr>
          <w:rFonts w:ascii="宋体" w:hAnsi="宋体" w:cs="仿宋"/>
          <w:sz w:val="24"/>
        </w:rPr>
      </w:pPr>
    </w:p>
    <w:p w14:paraId="0EEF6270">
      <w:pPr>
        <w:spacing w:line="360" w:lineRule="auto"/>
        <w:ind w:firstLine="720" w:firstLineChars="300"/>
        <w:rPr>
          <w:rFonts w:ascii="宋体" w:hAnsi="宋体" w:cs="仿宋"/>
          <w:sz w:val="24"/>
        </w:rPr>
      </w:pPr>
    </w:p>
    <w:p w14:paraId="6EE3F626">
      <w:pPr>
        <w:spacing w:line="360" w:lineRule="auto"/>
        <w:ind w:firstLine="720" w:firstLineChars="300"/>
        <w:rPr>
          <w:rFonts w:ascii="宋体" w:hAnsi="宋体" w:cs="仿宋"/>
          <w:sz w:val="24"/>
        </w:rPr>
      </w:pPr>
    </w:p>
    <w:p w14:paraId="5A70D758">
      <w:pPr>
        <w:spacing w:line="360" w:lineRule="auto"/>
        <w:ind w:firstLine="720" w:firstLineChars="300"/>
        <w:rPr>
          <w:rFonts w:ascii="宋体" w:hAnsi="宋体" w:cs="仿宋"/>
          <w:sz w:val="24"/>
        </w:rPr>
      </w:pPr>
      <w:r>
        <w:rPr>
          <w:rFonts w:hint="eastAsia" w:ascii="宋体" w:hAnsi="宋体" w:cs="仿宋"/>
          <w:sz w:val="24"/>
        </w:rPr>
        <w:t xml:space="preserve">         合同编号：</w:t>
      </w:r>
    </w:p>
    <w:p w14:paraId="7C41F122">
      <w:pPr>
        <w:spacing w:line="360" w:lineRule="auto"/>
        <w:ind w:firstLine="720" w:firstLineChars="300"/>
        <w:rPr>
          <w:rFonts w:ascii="宋体" w:hAnsi="宋体" w:cs="仿宋"/>
          <w:sz w:val="24"/>
        </w:rPr>
      </w:pPr>
      <w:r>
        <w:rPr>
          <w:rFonts w:hint="eastAsia" w:ascii="宋体" w:hAnsi="宋体" w:cs="仿宋"/>
          <w:sz w:val="24"/>
        </w:rPr>
        <w:t xml:space="preserve">         签约地点：</w:t>
      </w:r>
    </w:p>
    <w:p w14:paraId="642BFC79">
      <w:pPr>
        <w:spacing w:line="360" w:lineRule="auto"/>
        <w:ind w:firstLine="720" w:firstLineChars="300"/>
        <w:rPr>
          <w:rFonts w:ascii="宋体" w:hAnsi="宋体" w:cs="仿宋"/>
          <w:sz w:val="24"/>
        </w:rPr>
      </w:pPr>
      <w:r>
        <w:rPr>
          <w:rFonts w:hint="eastAsia" w:ascii="宋体" w:hAnsi="宋体" w:cs="仿宋"/>
          <w:sz w:val="24"/>
        </w:rPr>
        <w:t xml:space="preserve">         甲    方：陕西中医药大学附属医院</w:t>
      </w:r>
      <w:r>
        <w:rPr>
          <w:rFonts w:ascii="宋体" w:hAnsi="宋体" w:cs="仿宋"/>
          <w:sz w:val="24"/>
        </w:rPr>
        <w:t xml:space="preserve"> </w:t>
      </w:r>
    </w:p>
    <w:p w14:paraId="21A09151">
      <w:pPr>
        <w:spacing w:line="360" w:lineRule="auto"/>
        <w:ind w:firstLine="720" w:firstLineChars="300"/>
        <w:rPr>
          <w:rFonts w:hint="eastAsia" w:ascii="宋体" w:hAnsi="宋体" w:cs="仿宋"/>
          <w:sz w:val="24"/>
        </w:rPr>
      </w:pPr>
      <w:r>
        <w:rPr>
          <w:rFonts w:hint="eastAsia" w:ascii="宋体" w:hAnsi="宋体" w:cs="仿宋"/>
          <w:sz w:val="24"/>
        </w:rPr>
        <w:t xml:space="preserve">         乙    方：</w:t>
      </w:r>
    </w:p>
    <w:p w14:paraId="537D1487">
      <w:pPr>
        <w:spacing w:line="360" w:lineRule="auto"/>
        <w:ind w:firstLine="720" w:firstLineChars="300"/>
        <w:rPr>
          <w:rFonts w:ascii="宋体" w:hAnsi="宋体" w:cs="仿宋"/>
          <w:sz w:val="24"/>
        </w:rPr>
      </w:pPr>
      <w:r>
        <w:rPr>
          <w:rFonts w:hint="eastAsia" w:ascii="宋体" w:hAnsi="宋体" w:cs="仿宋"/>
          <w:sz w:val="24"/>
        </w:rPr>
        <w:t xml:space="preserve">         签约日期：      年     月    日</w:t>
      </w:r>
    </w:p>
    <w:p w14:paraId="144C7FE9">
      <w:pPr>
        <w:rPr>
          <w:rFonts w:ascii="宋体" w:hAnsi="宋体"/>
        </w:rPr>
      </w:pPr>
    </w:p>
    <w:p w14:paraId="70151DC4">
      <w:pPr>
        <w:spacing w:line="360" w:lineRule="auto"/>
        <w:jc w:val="center"/>
        <w:rPr>
          <w:rFonts w:ascii="宋体" w:hAnsi="宋体" w:cs="仿宋"/>
          <w:b/>
          <w:bCs/>
          <w:sz w:val="32"/>
          <w:szCs w:val="32"/>
        </w:rPr>
      </w:pPr>
      <w:r>
        <w:rPr>
          <w:rFonts w:hint="eastAsia" w:ascii="宋体" w:hAnsi="宋体" w:cs="仿宋"/>
          <w:b/>
          <w:bCs/>
          <w:sz w:val="32"/>
          <w:szCs w:val="32"/>
        </w:rPr>
        <w:br w:type="page"/>
      </w:r>
      <w:r>
        <w:rPr>
          <w:rFonts w:hint="eastAsia" w:ascii="宋体" w:hAnsi="宋体" w:cs="仿宋"/>
          <w:b/>
          <w:bCs/>
          <w:sz w:val="32"/>
          <w:szCs w:val="32"/>
        </w:rPr>
        <w:t>采购合同</w:t>
      </w:r>
    </w:p>
    <w:p w14:paraId="1086FE82">
      <w:pPr>
        <w:spacing w:line="400" w:lineRule="exact"/>
        <w:ind w:right="-298"/>
        <w:jc w:val="center"/>
        <w:rPr>
          <w:rFonts w:ascii="宋体" w:hAnsi="宋体"/>
          <w:sz w:val="24"/>
        </w:rPr>
      </w:pPr>
      <w:r>
        <w:rPr>
          <w:rFonts w:hint="eastAsia" w:ascii="宋体" w:hAnsi="宋体"/>
          <w:sz w:val="24"/>
        </w:rPr>
        <w:t xml:space="preserve">        </w:t>
      </w:r>
    </w:p>
    <w:p w14:paraId="0A06F9A9">
      <w:pPr>
        <w:spacing w:line="360" w:lineRule="auto"/>
        <w:rPr>
          <w:rFonts w:ascii="宋体" w:hAnsi="宋体" w:cs="仿宋"/>
          <w:sz w:val="24"/>
        </w:rPr>
      </w:pPr>
      <w:r>
        <w:rPr>
          <w:rFonts w:hint="eastAsia" w:ascii="宋体" w:hAnsi="宋体" w:cs="仿宋"/>
          <w:sz w:val="24"/>
        </w:rPr>
        <w:t>甲方（需方）：陕西中医药大学附属医院</w:t>
      </w:r>
    </w:p>
    <w:p w14:paraId="1A771F01">
      <w:pPr>
        <w:spacing w:line="360" w:lineRule="auto"/>
        <w:rPr>
          <w:rFonts w:ascii="宋体" w:hAnsi="宋体" w:cs="仿宋"/>
          <w:sz w:val="24"/>
          <w:lang w:val="zh-CN"/>
        </w:rPr>
      </w:pPr>
      <w:r>
        <w:rPr>
          <w:rFonts w:hint="eastAsia" w:ascii="宋体" w:hAnsi="宋体" w:cs="仿宋"/>
          <w:sz w:val="24"/>
        </w:rPr>
        <w:t>乙方（供方）：</w:t>
      </w:r>
    </w:p>
    <w:p w14:paraId="6E6814F7">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甲方与乙方依据《中华人民共和国民法典》及其他有关法律法规，遵循平等、自愿、公平和诚实信用的原则，就下述项目范围和相关服务事项达成一致意见，订立本合同。</w:t>
      </w:r>
    </w:p>
    <w:p w14:paraId="27A528EC">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一、合同内容</w:t>
      </w:r>
    </w:p>
    <w:p w14:paraId="3DB169D7">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1.乙方承诺保证完全按照招标、投标文件、合同约定提供合同设备、技术服务和质量保证期服务并修补缺陷。</w:t>
      </w:r>
    </w:p>
    <w:p w14:paraId="2619A799">
      <w:pPr>
        <w:pStyle w:val="2"/>
        <w:spacing w:line="520" w:lineRule="exact"/>
        <w:ind w:firstLine="480" w:firstLineChars="200"/>
        <w:rPr>
          <w:rFonts w:hint="eastAsia" w:ascii="宋体" w:hAnsi="宋体" w:eastAsia="宋体" w:cs="宋体"/>
          <w:color w:val="000000"/>
          <w:kern w:val="0"/>
          <w:sz w:val="24"/>
          <w:szCs w:val="24"/>
          <w:highlight w:val="none"/>
          <w:lang w:eastAsia="zh-CN"/>
        </w:rPr>
      </w:pPr>
      <w:r>
        <w:rPr>
          <w:rFonts w:hint="eastAsia" w:ascii="宋体" w:hAnsi="宋体" w:eastAsia="宋体" w:cs="宋体"/>
          <w:color w:val="000000"/>
          <w:kern w:val="0"/>
          <w:sz w:val="24"/>
          <w:szCs w:val="24"/>
          <w:highlight w:val="none"/>
        </w:rPr>
        <w:t>2.标的清单</w:t>
      </w:r>
      <w:r>
        <w:rPr>
          <w:rFonts w:hint="eastAsia" w:ascii="宋体" w:hAnsi="宋体" w:eastAsia="宋体" w:cs="宋体"/>
          <w:color w:val="000000"/>
          <w:kern w:val="0"/>
          <w:sz w:val="24"/>
          <w:szCs w:val="24"/>
          <w:highlight w:val="none"/>
          <w:lang w:eastAsia="zh-CN"/>
        </w:rPr>
        <w:t>：</w:t>
      </w:r>
    </w:p>
    <w:tbl>
      <w:tblPr>
        <w:tblStyle w:val="4"/>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7849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noWrap w:val="0"/>
            <w:vAlign w:val="top"/>
          </w:tcPr>
          <w:p w14:paraId="35A79D4E">
            <w:pPr>
              <w:pStyle w:val="2"/>
              <w:tabs>
                <w:tab w:val="clear" w:pos="4153"/>
              </w:tabs>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序号</w:t>
            </w:r>
          </w:p>
        </w:tc>
        <w:tc>
          <w:tcPr>
            <w:tcW w:w="1860" w:type="dxa"/>
            <w:noWrap w:val="0"/>
            <w:vAlign w:val="top"/>
          </w:tcPr>
          <w:p w14:paraId="4B47EF65">
            <w:pPr>
              <w:pStyle w:val="2"/>
              <w:tabs>
                <w:tab w:val="clear" w:pos="4153"/>
              </w:tabs>
              <w:spacing w:line="520" w:lineRule="exact"/>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设备名称</w:t>
            </w:r>
          </w:p>
        </w:tc>
        <w:tc>
          <w:tcPr>
            <w:tcW w:w="1245" w:type="dxa"/>
            <w:noWrap w:val="0"/>
            <w:vAlign w:val="top"/>
          </w:tcPr>
          <w:p w14:paraId="358DC3B2">
            <w:pPr>
              <w:pStyle w:val="2"/>
              <w:tabs>
                <w:tab w:val="clear" w:pos="4153"/>
              </w:tabs>
              <w:spacing w:line="520" w:lineRule="exact"/>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规格型号</w:t>
            </w:r>
          </w:p>
        </w:tc>
        <w:tc>
          <w:tcPr>
            <w:tcW w:w="1635" w:type="dxa"/>
            <w:noWrap w:val="0"/>
            <w:vAlign w:val="top"/>
          </w:tcPr>
          <w:p w14:paraId="1B29CC55">
            <w:pPr>
              <w:pStyle w:val="2"/>
              <w:spacing w:line="520" w:lineRule="exact"/>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生产厂家</w:t>
            </w:r>
          </w:p>
        </w:tc>
        <w:tc>
          <w:tcPr>
            <w:tcW w:w="1320" w:type="dxa"/>
            <w:noWrap w:val="0"/>
            <w:vAlign w:val="top"/>
          </w:tcPr>
          <w:p w14:paraId="39D0CC77">
            <w:pPr>
              <w:pStyle w:val="2"/>
              <w:spacing w:line="520" w:lineRule="exact"/>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数量</w:t>
            </w:r>
          </w:p>
        </w:tc>
        <w:tc>
          <w:tcPr>
            <w:tcW w:w="1005" w:type="dxa"/>
            <w:noWrap w:val="0"/>
            <w:vAlign w:val="top"/>
          </w:tcPr>
          <w:p w14:paraId="59F1BABA">
            <w:pPr>
              <w:pStyle w:val="2"/>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单价（元）</w:t>
            </w:r>
          </w:p>
        </w:tc>
        <w:tc>
          <w:tcPr>
            <w:tcW w:w="1185" w:type="dxa"/>
            <w:noWrap w:val="0"/>
            <w:vAlign w:val="top"/>
          </w:tcPr>
          <w:p w14:paraId="4A9CD309">
            <w:pPr>
              <w:pStyle w:val="2"/>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总金额（元）</w:t>
            </w:r>
          </w:p>
        </w:tc>
        <w:tc>
          <w:tcPr>
            <w:tcW w:w="1020" w:type="dxa"/>
            <w:noWrap w:val="0"/>
            <w:vAlign w:val="top"/>
          </w:tcPr>
          <w:p w14:paraId="3FB9AED7">
            <w:pPr>
              <w:pStyle w:val="2"/>
              <w:spacing w:line="520" w:lineRule="exact"/>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备注</w:t>
            </w:r>
          </w:p>
        </w:tc>
      </w:tr>
      <w:tr w14:paraId="39A3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noWrap w:val="0"/>
            <w:vAlign w:val="top"/>
          </w:tcPr>
          <w:p w14:paraId="0CDBDF29">
            <w:pPr>
              <w:pStyle w:val="2"/>
              <w:tabs>
                <w:tab w:val="clear" w:pos="4153"/>
              </w:tabs>
              <w:spacing w:line="360" w:lineRule="exact"/>
              <w:jc w:val="center"/>
              <w:rPr>
                <w:rFonts w:hint="eastAsia" w:ascii="宋体" w:hAnsi="宋体" w:eastAsia="宋体" w:cs="宋体"/>
                <w:color w:val="000000"/>
                <w:sz w:val="24"/>
                <w:szCs w:val="24"/>
                <w:highlight w:val="none"/>
              </w:rPr>
            </w:pPr>
          </w:p>
        </w:tc>
        <w:tc>
          <w:tcPr>
            <w:tcW w:w="1860" w:type="dxa"/>
            <w:noWrap w:val="0"/>
            <w:vAlign w:val="center"/>
          </w:tcPr>
          <w:p w14:paraId="3CCEA1F7">
            <w:pPr>
              <w:pStyle w:val="2"/>
              <w:tabs>
                <w:tab w:val="clear" w:pos="4153"/>
              </w:tabs>
              <w:spacing w:line="360" w:lineRule="exact"/>
              <w:jc w:val="center"/>
              <w:rPr>
                <w:rFonts w:hint="eastAsia" w:ascii="宋体" w:hAnsi="宋体" w:eastAsia="宋体" w:cs="宋体"/>
                <w:color w:val="000000"/>
                <w:sz w:val="24"/>
                <w:szCs w:val="24"/>
                <w:highlight w:val="none"/>
              </w:rPr>
            </w:pPr>
          </w:p>
        </w:tc>
        <w:tc>
          <w:tcPr>
            <w:tcW w:w="1245" w:type="dxa"/>
            <w:noWrap w:val="0"/>
            <w:vAlign w:val="center"/>
          </w:tcPr>
          <w:p w14:paraId="053B9F3B">
            <w:pPr>
              <w:adjustRightInd w:val="0"/>
              <w:snapToGrid w:val="0"/>
              <w:spacing w:line="360" w:lineRule="exact"/>
              <w:jc w:val="center"/>
              <w:rPr>
                <w:rFonts w:hint="eastAsia" w:ascii="宋体" w:hAnsi="宋体" w:eastAsia="宋体" w:cs="宋体"/>
                <w:color w:val="000000"/>
                <w:sz w:val="24"/>
                <w:szCs w:val="24"/>
                <w:highlight w:val="none"/>
              </w:rPr>
            </w:pPr>
          </w:p>
        </w:tc>
        <w:tc>
          <w:tcPr>
            <w:tcW w:w="1635" w:type="dxa"/>
            <w:noWrap w:val="0"/>
            <w:vAlign w:val="top"/>
          </w:tcPr>
          <w:p w14:paraId="4153C774">
            <w:pPr>
              <w:pStyle w:val="2"/>
              <w:spacing w:line="360" w:lineRule="exact"/>
              <w:jc w:val="center"/>
              <w:rPr>
                <w:rFonts w:hint="eastAsia" w:ascii="宋体" w:hAnsi="宋体" w:eastAsia="宋体" w:cs="宋体"/>
                <w:color w:val="000000"/>
                <w:sz w:val="24"/>
                <w:szCs w:val="24"/>
                <w:highlight w:val="none"/>
              </w:rPr>
            </w:pPr>
          </w:p>
        </w:tc>
        <w:tc>
          <w:tcPr>
            <w:tcW w:w="1320" w:type="dxa"/>
            <w:noWrap w:val="0"/>
            <w:vAlign w:val="center"/>
          </w:tcPr>
          <w:p w14:paraId="0F235E15">
            <w:pPr>
              <w:adjustRightInd w:val="0"/>
              <w:snapToGrid w:val="0"/>
              <w:spacing w:line="360" w:lineRule="exact"/>
              <w:jc w:val="center"/>
              <w:rPr>
                <w:rFonts w:hint="eastAsia" w:ascii="宋体" w:hAnsi="宋体" w:eastAsia="宋体" w:cs="宋体"/>
                <w:color w:val="000000"/>
                <w:sz w:val="24"/>
                <w:szCs w:val="24"/>
                <w:highlight w:val="none"/>
              </w:rPr>
            </w:pPr>
          </w:p>
        </w:tc>
        <w:tc>
          <w:tcPr>
            <w:tcW w:w="1005" w:type="dxa"/>
            <w:noWrap w:val="0"/>
            <w:vAlign w:val="center"/>
          </w:tcPr>
          <w:p w14:paraId="2E25A4E3">
            <w:pPr>
              <w:adjustRightInd w:val="0"/>
              <w:snapToGrid w:val="0"/>
              <w:spacing w:line="360" w:lineRule="exact"/>
              <w:jc w:val="center"/>
              <w:rPr>
                <w:rFonts w:hint="eastAsia" w:ascii="宋体" w:hAnsi="宋体" w:eastAsia="宋体" w:cs="宋体"/>
                <w:color w:val="000000"/>
                <w:sz w:val="24"/>
                <w:szCs w:val="24"/>
                <w:highlight w:val="none"/>
              </w:rPr>
            </w:pPr>
          </w:p>
        </w:tc>
        <w:tc>
          <w:tcPr>
            <w:tcW w:w="1185" w:type="dxa"/>
            <w:noWrap w:val="0"/>
            <w:vAlign w:val="center"/>
          </w:tcPr>
          <w:p w14:paraId="6D37F788">
            <w:pPr>
              <w:adjustRightInd w:val="0"/>
              <w:snapToGrid w:val="0"/>
              <w:spacing w:line="360" w:lineRule="exact"/>
              <w:jc w:val="center"/>
              <w:rPr>
                <w:rFonts w:hint="eastAsia" w:ascii="宋体" w:hAnsi="宋体" w:eastAsia="宋体" w:cs="宋体"/>
                <w:color w:val="000000"/>
                <w:sz w:val="24"/>
                <w:szCs w:val="24"/>
                <w:highlight w:val="none"/>
              </w:rPr>
            </w:pPr>
          </w:p>
        </w:tc>
        <w:tc>
          <w:tcPr>
            <w:tcW w:w="1020" w:type="dxa"/>
            <w:noWrap w:val="0"/>
            <w:vAlign w:val="top"/>
          </w:tcPr>
          <w:p w14:paraId="4C83D7E5">
            <w:pPr>
              <w:pStyle w:val="2"/>
              <w:spacing w:line="360" w:lineRule="exact"/>
              <w:jc w:val="center"/>
              <w:rPr>
                <w:rFonts w:hint="eastAsia" w:ascii="宋体" w:hAnsi="宋体" w:eastAsia="宋体" w:cs="宋体"/>
                <w:color w:val="000000"/>
                <w:sz w:val="24"/>
                <w:szCs w:val="24"/>
                <w:highlight w:val="none"/>
              </w:rPr>
            </w:pPr>
          </w:p>
        </w:tc>
      </w:tr>
      <w:tr w14:paraId="2493A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noWrap w:val="0"/>
            <w:vAlign w:val="top"/>
          </w:tcPr>
          <w:p w14:paraId="40E09EAF">
            <w:pPr>
              <w:pStyle w:val="2"/>
              <w:tabs>
                <w:tab w:val="clear" w:pos="4153"/>
              </w:tabs>
              <w:spacing w:line="360" w:lineRule="exact"/>
              <w:jc w:val="center"/>
              <w:rPr>
                <w:rFonts w:hint="eastAsia" w:ascii="宋体" w:hAnsi="宋体" w:eastAsia="宋体" w:cs="宋体"/>
                <w:color w:val="000000"/>
                <w:sz w:val="24"/>
                <w:szCs w:val="24"/>
                <w:highlight w:val="none"/>
              </w:rPr>
            </w:pPr>
          </w:p>
        </w:tc>
        <w:tc>
          <w:tcPr>
            <w:tcW w:w="1860" w:type="dxa"/>
            <w:noWrap w:val="0"/>
            <w:vAlign w:val="center"/>
          </w:tcPr>
          <w:p w14:paraId="4A2F30C8">
            <w:pPr>
              <w:pStyle w:val="2"/>
              <w:tabs>
                <w:tab w:val="clear" w:pos="4153"/>
              </w:tabs>
              <w:spacing w:line="360" w:lineRule="exact"/>
              <w:jc w:val="center"/>
              <w:rPr>
                <w:rFonts w:hint="eastAsia" w:ascii="宋体" w:hAnsi="宋体" w:eastAsia="宋体" w:cs="宋体"/>
                <w:color w:val="000000"/>
                <w:sz w:val="24"/>
                <w:szCs w:val="24"/>
                <w:highlight w:val="none"/>
              </w:rPr>
            </w:pPr>
          </w:p>
        </w:tc>
        <w:tc>
          <w:tcPr>
            <w:tcW w:w="1245" w:type="dxa"/>
            <w:noWrap w:val="0"/>
            <w:vAlign w:val="center"/>
          </w:tcPr>
          <w:p w14:paraId="695940E5">
            <w:pPr>
              <w:adjustRightInd w:val="0"/>
              <w:snapToGrid w:val="0"/>
              <w:spacing w:line="360" w:lineRule="exact"/>
              <w:jc w:val="center"/>
              <w:rPr>
                <w:rFonts w:hint="eastAsia" w:ascii="宋体" w:hAnsi="宋体" w:eastAsia="宋体" w:cs="宋体"/>
                <w:color w:val="000000"/>
                <w:sz w:val="24"/>
                <w:szCs w:val="24"/>
                <w:highlight w:val="none"/>
              </w:rPr>
            </w:pPr>
          </w:p>
        </w:tc>
        <w:tc>
          <w:tcPr>
            <w:tcW w:w="1635" w:type="dxa"/>
            <w:noWrap w:val="0"/>
            <w:vAlign w:val="top"/>
          </w:tcPr>
          <w:p w14:paraId="5FC2FE0B">
            <w:pPr>
              <w:pStyle w:val="2"/>
              <w:spacing w:line="360" w:lineRule="exact"/>
              <w:jc w:val="center"/>
              <w:rPr>
                <w:rFonts w:hint="eastAsia" w:ascii="宋体" w:hAnsi="宋体" w:eastAsia="宋体" w:cs="宋体"/>
                <w:color w:val="000000"/>
                <w:sz w:val="24"/>
                <w:szCs w:val="24"/>
                <w:highlight w:val="none"/>
              </w:rPr>
            </w:pPr>
          </w:p>
        </w:tc>
        <w:tc>
          <w:tcPr>
            <w:tcW w:w="1320" w:type="dxa"/>
            <w:noWrap w:val="0"/>
            <w:vAlign w:val="center"/>
          </w:tcPr>
          <w:p w14:paraId="4785DA1A">
            <w:pPr>
              <w:adjustRightInd w:val="0"/>
              <w:snapToGrid w:val="0"/>
              <w:spacing w:line="360" w:lineRule="exact"/>
              <w:jc w:val="center"/>
              <w:rPr>
                <w:rFonts w:hint="eastAsia" w:ascii="宋体" w:hAnsi="宋体" w:eastAsia="宋体" w:cs="宋体"/>
                <w:color w:val="000000"/>
                <w:sz w:val="24"/>
                <w:szCs w:val="24"/>
                <w:highlight w:val="none"/>
              </w:rPr>
            </w:pPr>
          </w:p>
        </w:tc>
        <w:tc>
          <w:tcPr>
            <w:tcW w:w="1005" w:type="dxa"/>
            <w:noWrap w:val="0"/>
            <w:vAlign w:val="center"/>
          </w:tcPr>
          <w:p w14:paraId="2DFE2E38">
            <w:pPr>
              <w:adjustRightInd w:val="0"/>
              <w:snapToGrid w:val="0"/>
              <w:spacing w:line="360" w:lineRule="exact"/>
              <w:jc w:val="center"/>
              <w:rPr>
                <w:rFonts w:hint="eastAsia" w:ascii="宋体" w:hAnsi="宋体" w:eastAsia="宋体" w:cs="宋体"/>
                <w:color w:val="000000"/>
                <w:sz w:val="24"/>
                <w:szCs w:val="24"/>
                <w:highlight w:val="none"/>
              </w:rPr>
            </w:pPr>
          </w:p>
        </w:tc>
        <w:tc>
          <w:tcPr>
            <w:tcW w:w="1185" w:type="dxa"/>
            <w:noWrap w:val="0"/>
            <w:vAlign w:val="center"/>
          </w:tcPr>
          <w:p w14:paraId="4175A5CA">
            <w:pPr>
              <w:adjustRightInd w:val="0"/>
              <w:snapToGrid w:val="0"/>
              <w:spacing w:line="360" w:lineRule="exact"/>
              <w:jc w:val="center"/>
              <w:rPr>
                <w:rFonts w:hint="eastAsia" w:ascii="宋体" w:hAnsi="宋体" w:eastAsia="宋体" w:cs="宋体"/>
                <w:color w:val="000000"/>
                <w:sz w:val="24"/>
                <w:szCs w:val="24"/>
                <w:highlight w:val="none"/>
              </w:rPr>
            </w:pPr>
          </w:p>
        </w:tc>
        <w:tc>
          <w:tcPr>
            <w:tcW w:w="1020" w:type="dxa"/>
            <w:noWrap w:val="0"/>
            <w:vAlign w:val="top"/>
          </w:tcPr>
          <w:p w14:paraId="399276DA">
            <w:pPr>
              <w:pStyle w:val="2"/>
              <w:spacing w:line="360" w:lineRule="exact"/>
              <w:jc w:val="center"/>
              <w:rPr>
                <w:rFonts w:hint="eastAsia" w:ascii="宋体" w:hAnsi="宋体" w:eastAsia="宋体" w:cs="宋体"/>
                <w:color w:val="000000"/>
                <w:sz w:val="24"/>
                <w:szCs w:val="24"/>
                <w:highlight w:val="none"/>
              </w:rPr>
            </w:pPr>
          </w:p>
        </w:tc>
      </w:tr>
      <w:tr w14:paraId="4692E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noWrap w:val="0"/>
            <w:vAlign w:val="top"/>
          </w:tcPr>
          <w:p w14:paraId="4CF35099">
            <w:pPr>
              <w:pStyle w:val="2"/>
              <w:tabs>
                <w:tab w:val="clear" w:pos="4153"/>
              </w:tabs>
              <w:spacing w:line="360" w:lineRule="exact"/>
              <w:jc w:val="center"/>
              <w:rPr>
                <w:rFonts w:hint="eastAsia" w:ascii="宋体" w:hAnsi="宋体" w:eastAsia="宋体" w:cs="宋体"/>
                <w:color w:val="000000"/>
                <w:sz w:val="24"/>
                <w:szCs w:val="24"/>
                <w:highlight w:val="none"/>
              </w:rPr>
            </w:pPr>
          </w:p>
        </w:tc>
        <w:tc>
          <w:tcPr>
            <w:tcW w:w="1860" w:type="dxa"/>
            <w:noWrap w:val="0"/>
            <w:vAlign w:val="center"/>
          </w:tcPr>
          <w:p w14:paraId="6F30EAF5">
            <w:pPr>
              <w:pStyle w:val="2"/>
              <w:tabs>
                <w:tab w:val="clear" w:pos="4153"/>
              </w:tabs>
              <w:spacing w:line="360" w:lineRule="exact"/>
              <w:jc w:val="center"/>
              <w:rPr>
                <w:rFonts w:hint="eastAsia" w:ascii="宋体" w:hAnsi="宋体" w:eastAsia="宋体" w:cs="宋体"/>
                <w:color w:val="000000"/>
                <w:sz w:val="24"/>
                <w:szCs w:val="24"/>
                <w:highlight w:val="none"/>
              </w:rPr>
            </w:pPr>
          </w:p>
        </w:tc>
        <w:tc>
          <w:tcPr>
            <w:tcW w:w="1245" w:type="dxa"/>
            <w:noWrap w:val="0"/>
            <w:vAlign w:val="center"/>
          </w:tcPr>
          <w:p w14:paraId="5A58CF78">
            <w:pPr>
              <w:adjustRightInd w:val="0"/>
              <w:snapToGrid w:val="0"/>
              <w:spacing w:line="360" w:lineRule="exact"/>
              <w:jc w:val="center"/>
              <w:rPr>
                <w:rFonts w:hint="eastAsia" w:ascii="宋体" w:hAnsi="宋体" w:eastAsia="宋体" w:cs="宋体"/>
                <w:color w:val="000000"/>
                <w:sz w:val="24"/>
                <w:szCs w:val="24"/>
                <w:highlight w:val="none"/>
              </w:rPr>
            </w:pPr>
          </w:p>
        </w:tc>
        <w:tc>
          <w:tcPr>
            <w:tcW w:w="1635" w:type="dxa"/>
            <w:noWrap w:val="0"/>
            <w:vAlign w:val="top"/>
          </w:tcPr>
          <w:p w14:paraId="10C123D9">
            <w:pPr>
              <w:pStyle w:val="2"/>
              <w:spacing w:line="360" w:lineRule="exact"/>
              <w:jc w:val="center"/>
              <w:rPr>
                <w:rFonts w:hint="eastAsia" w:ascii="宋体" w:hAnsi="宋体" w:eastAsia="宋体" w:cs="宋体"/>
                <w:color w:val="000000"/>
                <w:sz w:val="24"/>
                <w:szCs w:val="24"/>
                <w:highlight w:val="none"/>
              </w:rPr>
            </w:pPr>
          </w:p>
        </w:tc>
        <w:tc>
          <w:tcPr>
            <w:tcW w:w="1320" w:type="dxa"/>
            <w:noWrap w:val="0"/>
            <w:vAlign w:val="center"/>
          </w:tcPr>
          <w:p w14:paraId="0722CF56">
            <w:pPr>
              <w:adjustRightInd w:val="0"/>
              <w:snapToGrid w:val="0"/>
              <w:spacing w:line="360" w:lineRule="exact"/>
              <w:jc w:val="center"/>
              <w:rPr>
                <w:rFonts w:hint="eastAsia" w:ascii="宋体" w:hAnsi="宋体" w:eastAsia="宋体" w:cs="宋体"/>
                <w:color w:val="000000"/>
                <w:sz w:val="24"/>
                <w:szCs w:val="24"/>
                <w:highlight w:val="none"/>
              </w:rPr>
            </w:pPr>
          </w:p>
        </w:tc>
        <w:tc>
          <w:tcPr>
            <w:tcW w:w="1005" w:type="dxa"/>
            <w:noWrap w:val="0"/>
            <w:vAlign w:val="center"/>
          </w:tcPr>
          <w:p w14:paraId="1C47CAD4">
            <w:pPr>
              <w:adjustRightInd w:val="0"/>
              <w:snapToGrid w:val="0"/>
              <w:spacing w:line="360" w:lineRule="exact"/>
              <w:jc w:val="center"/>
              <w:rPr>
                <w:rFonts w:hint="eastAsia" w:ascii="宋体" w:hAnsi="宋体" w:eastAsia="宋体" w:cs="宋体"/>
                <w:color w:val="000000"/>
                <w:sz w:val="24"/>
                <w:szCs w:val="24"/>
                <w:highlight w:val="none"/>
              </w:rPr>
            </w:pPr>
          </w:p>
        </w:tc>
        <w:tc>
          <w:tcPr>
            <w:tcW w:w="1185" w:type="dxa"/>
            <w:noWrap w:val="0"/>
            <w:vAlign w:val="center"/>
          </w:tcPr>
          <w:p w14:paraId="13171DEE">
            <w:pPr>
              <w:adjustRightInd w:val="0"/>
              <w:snapToGrid w:val="0"/>
              <w:spacing w:line="360" w:lineRule="exact"/>
              <w:jc w:val="center"/>
              <w:rPr>
                <w:rFonts w:hint="eastAsia" w:ascii="宋体" w:hAnsi="宋体" w:eastAsia="宋体" w:cs="宋体"/>
                <w:color w:val="000000"/>
                <w:sz w:val="24"/>
                <w:szCs w:val="24"/>
                <w:highlight w:val="none"/>
              </w:rPr>
            </w:pPr>
          </w:p>
        </w:tc>
        <w:tc>
          <w:tcPr>
            <w:tcW w:w="1020" w:type="dxa"/>
            <w:noWrap w:val="0"/>
            <w:vAlign w:val="top"/>
          </w:tcPr>
          <w:p w14:paraId="1212CDA5">
            <w:pPr>
              <w:pStyle w:val="2"/>
              <w:spacing w:line="360" w:lineRule="exact"/>
              <w:jc w:val="center"/>
              <w:rPr>
                <w:rFonts w:hint="eastAsia" w:ascii="宋体" w:hAnsi="宋体" w:eastAsia="宋体" w:cs="宋体"/>
                <w:color w:val="000000"/>
                <w:sz w:val="24"/>
                <w:szCs w:val="24"/>
                <w:highlight w:val="none"/>
              </w:rPr>
            </w:pPr>
          </w:p>
        </w:tc>
      </w:tr>
      <w:tr w14:paraId="2F006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noWrap w:val="0"/>
            <w:vAlign w:val="center"/>
          </w:tcPr>
          <w:p w14:paraId="39E2B2F9">
            <w:pPr>
              <w:pStyle w:val="2"/>
              <w:tabs>
                <w:tab w:val="left" w:pos="3087"/>
                <w:tab w:val="clear" w:pos="4153"/>
              </w:tabs>
              <w:jc w:val="both"/>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合计：大写：                          元整，小写：￥        元。</w:t>
            </w:r>
          </w:p>
        </w:tc>
      </w:tr>
    </w:tbl>
    <w:p w14:paraId="197E369D">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二、合同价款</w:t>
      </w:r>
    </w:p>
    <w:p w14:paraId="45CEC92E">
      <w:pPr>
        <w:spacing w:line="520" w:lineRule="exact"/>
        <w:ind w:firstLine="480" w:firstLineChars="200"/>
        <w:rPr>
          <w:rFonts w:hint="eastAsia" w:ascii="宋体" w:hAnsi="宋体" w:eastAsia="宋体" w:cs="宋体"/>
          <w:color w:val="000000"/>
          <w:kern w:val="28"/>
          <w:sz w:val="24"/>
          <w:szCs w:val="24"/>
          <w:highlight w:val="none"/>
        </w:rPr>
      </w:pPr>
      <w:r>
        <w:rPr>
          <w:rFonts w:hint="eastAsia" w:ascii="宋体" w:hAnsi="宋体" w:eastAsia="宋体" w:cs="宋体"/>
          <w:color w:val="000000"/>
          <w:sz w:val="24"/>
          <w:szCs w:val="24"/>
          <w:highlight w:val="none"/>
        </w:rPr>
        <w:t>1.合同总价款为：人民币（大写）</w:t>
      </w:r>
      <w:r>
        <w:rPr>
          <w:rFonts w:hint="eastAsia" w:ascii="宋体" w:hAnsi="宋体" w:eastAsia="宋体" w:cs="宋体"/>
          <w:color w:val="000000"/>
          <w:sz w:val="24"/>
          <w:szCs w:val="24"/>
          <w:highlight w:val="none"/>
          <w:u w:val="single"/>
        </w:rPr>
        <w:t xml:space="preserve">          元</w:t>
      </w:r>
      <w:r>
        <w:rPr>
          <w:rFonts w:hint="eastAsia" w:ascii="宋体" w:hAnsi="宋体" w:eastAsia="宋体" w:cs="宋体"/>
          <w:color w:val="000000"/>
          <w:sz w:val="24"/>
          <w:szCs w:val="24"/>
          <w:highlight w:val="none"/>
        </w:rPr>
        <w:t>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元）。</w:t>
      </w:r>
    </w:p>
    <w:p w14:paraId="73817AB6">
      <w:pPr>
        <w:autoSpaceDE w:val="0"/>
        <w:autoSpaceDN w:val="0"/>
        <w:adjustRightInd w:val="0"/>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2.合同总价含税。合同总价为完成本次项目所要求的货物、服务且验收合格的所有费用，包括：货物费、运输费（含保险费）、仓储保管费、安装调试费、检测验收费、人员培训费、税金等其他一切相关费用。</w:t>
      </w:r>
    </w:p>
    <w:p w14:paraId="7DF2475B">
      <w:pPr>
        <w:adjustRightInd w:val="0"/>
        <w:snapToGrid w:val="0"/>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3.合同总价一次性包死，不受市场价格变化因素的影响。</w:t>
      </w:r>
    </w:p>
    <w:p w14:paraId="5595531D">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三、款项结算与支付方式</w:t>
      </w:r>
    </w:p>
    <w:p w14:paraId="54032EAB">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kern w:val="28"/>
          <w:sz w:val="24"/>
          <w:szCs w:val="24"/>
          <w:highlight w:val="none"/>
        </w:rPr>
        <w:t>合同款项支付全部通过银行转账</w:t>
      </w:r>
      <w:r>
        <w:rPr>
          <w:rFonts w:hint="eastAsia" w:ascii="宋体" w:hAnsi="宋体" w:eastAsia="宋体" w:cs="宋体"/>
          <w:color w:val="000000"/>
          <w:sz w:val="24"/>
          <w:szCs w:val="24"/>
          <w:highlight w:val="none"/>
        </w:rPr>
        <w:t>，由甲方以人民币结算。</w:t>
      </w:r>
      <w:r>
        <w:rPr>
          <w:rFonts w:hint="eastAsia" w:ascii="宋体" w:hAnsi="宋体" w:eastAsia="宋体" w:cs="宋体"/>
          <w:color w:val="000000"/>
          <w:kern w:val="28"/>
          <w:sz w:val="24"/>
          <w:szCs w:val="24"/>
          <w:highlight w:val="none"/>
        </w:rPr>
        <w:t>乙方应于甲方第</w:t>
      </w:r>
      <w:r>
        <w:rPr>
          <w:rFonts w:hint="eastAsia" w:ascii="宋体" w:hAnsi="宋体" w:eastAsia="宋体" w:cs="宋体"/>
          <w:color w:val="000000"/>
          <w:kern w:val="28"/>
          <w:sz w:val="24"/>
          <w:szCs w:val="24"/>
          <w:highlight w:val="none"/>
          <w:lang w:eastAsia="zh-CN"/>
        </w:rPr>
        <w:t>一</w:t>
      </w:r>
      <w:r>
        <w:rPr>
          <w:rFonts w:hint="eastAsia" w:ascii="宋体" w:hAnsi="宋体" w:eastAsia="宋体" w:cs="宋体"/>
          <w:color w:val="000000"/>
          <w:kern w:val="28"/>
          <w:sz w:val="24"/>
          <w:szCs w:val="24"/>
          <w:highlight w:val="none"/>
        </w:rPr>
        <w:t>次付款前，按照国家相关规定向甲方提供与合同价款总额</w:t>
      </w:r>
      <w:r>
        <w:rPr>
          <w:rFonts w:hint="eastAsia" w:ascii="宋体" w:hAnsi="宋体" w:eastAsia="宋体" w:cs="宋体"/>
          <w:color w:val="000000"/>
          <w:sz w:val="24"/>
          <w:szCs w:val="24"/>
          <w:highlight w:val="none"/>
        </w:rPr>
        <w:t>相等</w:t>
      </w:r>
      <w:r>
        <w:rPr>
          <w:rFonts w:hint="eastAsia" w:ascii="宋体" w:hAnsi="宋体" w:eastAsia="宋体" w:cs="宋体"/>
          <w:color w:val="000000"/>
          <w:kern w:val="28"/>
          <w:sz w:val="24"/>
          <w:szCs w:val="24"/>
          <w:highlight w:val="none"/>
        </w:rPr>
        <w:t>的正式增值税发票，</w:t>
      </w:r>
      <w:r>
        <w:rPr>
          <w:rFonts w:hint="eastAsia" w:ascii="宋体" w:hAnsi="宋体" w:eastAsia="宋体" w:cs="宋体"/>
          <w:color w:val="000000"/>
          <w:sz w:val="24"/>
          <w:szCs w:val="24"/>
          <w:highlight w:val="none"/>
          <w:lang w:eastAsia="zh-Hans"/>
        </w:rPr>
        <w:t>乙方</w:t>
      </w:r>
      <w:r>
        <w:rPr>
          <w:rFonts w:hint="eastAsia" w:ascii="宋体" w:hAnsi="宋体" w:eastAsia="宋体" w:cs="宋体"/>
          <w:color w:val="000000"/>
          <w:sz w:val="24"/>
          <w:szCs w:val="24"/>
          <w:highlight w:val="none"/>
        </w:rPr>
        <w:t>延期提供发票或提供的发票不符合</w:t>
      </w:r>
      <w:r>
        <w:rPr>
          <w:rFonts w:hint="eastAsia" w:ascii="宋体" w:hAnsi="宋体" w:eastAsia="宋体" w:cs="宋体"/>
          <w:color w:val="000000"/>
          <w:sz w:val="24"/>
          <w:szCs w:val="24"/>
          <w:highlight w:val="none"/>
          <w:lang w:eastAsia="zh-Hans"/>
        </w:rPr>
        <w:t>甲方</w:t>
      </w:r>
      <w:r>
        <w:rPr>
          <w:rFonts w:hint="eastAsia" w:ascii="宋体" w:hAnsi="宋体" w:eastAsia="宋体" w:cs="宋体"/>
          <w:color w:val="000000"/>
          <w:sz w:val="24"/>
          <w:szCs w:val="24"/>
          <w:highlight w:val="none"/>
        </w:rPr>
        <w:t>要求的，</w:t>
      </w:r>
      <w:r>
        <w:rPr>
          <w:rFonts w:hint="eastAsia" w:ascii="宋体" w:hAnsi="宋体" w:eastAsia="宋体" w:cs="宋体"/>
          <w:color w:val="000000"/>
          <w:sz w:val="24"/>
          <w:szCs w:val="24"/>
          <w:highlight w:val="none"/>
          <w:lang w:eastAsia="zh-Hans"/>
        </w:rPr>
        <w:t>甲方</w:t>
      </w:r>
      <w:r>
        <w:rPr>
          <w:rFonts w:hint="eastAsia" w:ascii="宋体" w:hAnsi="宋体" w:eastAsia="宋体" w:cs="宋体"/>
          <w:color w:val="000000"/>
          <w:sz w:val="24"/>
          <w:szCs w:val="24"/>
          <w:highlight w:val="none"/>
        </w:rPr>
        <w:t>有权拒付合同款项且不承担任何法律责任。</w:t>
      </w:r>
    </w:p>
    <w:p w14:paraId="409B9870">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b w:val="0"/>
          <w:bCs/>
          <w:color w:val="000000"/>
          <w:sz w:val="24"/>
          <w:szCs w:val="24"/>
          <w:highlight w:val="none"/>
        </w:rPr>
        <w:t>款项</w:t>
      </w:r>
      <w:r>
        <w:rPr>
          <w:rFonts w:hint="eastAsia" w:ascii="宋体" w:hAnsi="宋体" w:eastAsia="宋体" w:cs="宋体"/>
          <w:b w:val="0"/>
          <w:bCs/>
          <w:color w:val="000000"/>
          <w:kern w:val="28"/>
          <w:sz w:val="24"/>
          <w:szCs w:val="24"/>
          <w:highlight w:val="none"/>
        </w:rPr>
        <w:t>结</w:t>
      </w:r>
      <w:r>
        <w:rPr>
          <w:rFonts w:hint="eastAsia" w:ascii="宋体" w:hAnsi="宋体" w:eastAsia="宋体" w:cs="宋体"/>
          <w:color w:val="000000"/>
          <w:kern w:val="28"/>
          <w:sz w:val="24"/>
          <w:szCs w:val="24"/>
          <w:highlight w:val="none"/>
        </w:rPr>
        <w:t>算方式。</w:t>
      </w:r>
    </w:p>
    <w:p w14:paraId="5CC76ED3">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1、验收合格后一个月内支付合同款的60% ，达到付款条件起 30 日内，支付合同总金额的 60.00%。</w:t>
      </w:r>
    </w:p>
    <w:p w14:paraId="5F5A716B">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2、验收合格后三个月后支付合同款的30% ，达到付款条件起 30 日内，支付合同总金额的 30.00%。</w:t>
      </w:r>
    </w:p>
    <w:p w14:paraId="08F90D6E">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3、验收合格、正常使用满一年后支付合同款的5% ，达到付款条件起 30 日内，支付合同总金额的 5.00%。</w:t>
      </w:r>
    </w:p>
    <w:p w14:paraId="2E64B133">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4、用满三年后，支付合同总金额的5% ，达到付款条件起 30 日内，支付合同总金额的 5.00%。</w:t>
      </w:r>
    </w:p>
    <w:p w14:paraId="62771B06">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四、交货期、交货地点</w:t>
      </w:r>
    </w:p>
    <w:p w14:paraId="0822A7CA">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1.交货期（包含安装、调试时间）：合同签订后</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个日历天内交付甲方并经甲方验收合格（若因甲方场地原因造成不能按时交货，乙方可延长供货期）。根据使用需要，甲方如需提前或推迟收货，乙方应无条件配合，不得收取仓储费等任何费用。</w:t>
      </w:r>
    </w:p>
    <w:p w14:paraId="0DA55C28">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2.交付地点：陕西中医药大学附属医院。</w:t>
      </w:r>
    </w:p>
    <w:p w14:paraId="6906FC86">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五、双方的权利与义务</w:t>
      </w:r>
    </w:p>
    <w:p w14:paraId="3A6150CE">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1.甲方的权利与义务。</w:t>
      </w:r>
    </w:p>
    <w:p w14:paraId="36AD0939">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（1）甲方有权要求</w:t>
      </w:r>
      <w:r>
        <w:rPr>
          <w:rFonts w:hint="eastAsia" w:ascii="宋体" w:hAnsi="宋体" w:eastAsia="宋体" w:cs="宋体"/>
          <w:color w:val="000000"/>
          <w:sz w:val="24"/>
          <w:szCs w:val="24"/>
          <w:highlight w:val="none"/>
        </w:rPr>
        <w:t>监督、参与项目执行的整个过程（包括实施方案的设计、安装调试、产品验收、售后服务、使用培训等），为乙方提供必要的工作条件，</w:t>
      </w:r>
      <w:r>
        <w:rPr>
          <w:rFonts w:hint="eastAsia" w:ascii="宋体" w:hAnsi="宋体" w:eastAsia="宋体" w:cs="宋体"/>
          <w:bCs/>
          <w:color w:val="000000"/>
          <w:sz w:val="24"/>
          <w:szCs w:val="24"/>
          <w:highlight w:val="none"/>
        </w:rPr>
        <w:t>并现场配合。</w:t>
      </w:r>
    </w:p>
    <w:p w14:paraId="213994E2">
      <w:pPr>
        <w:spacing w:line="520" w:lineRule="exact"/>
        <w:ind w:firstLine="480" w:firstLineChars="200"/>
        <w:rPr>
          <w:rFonts w:hint="eastAsia" w:ascii="宋体" w:hAnsi="宋体" w:eastAsia="宋体" w:cs="宋体"/>
          <w:color w:val="000000"/>
          <w:kern w:val="28"/>
          <w:sz w:val="24"/>
          <w:szCs w:val="24"/>
          <w:highlight w:val="none"/>
        </w:rPr>
      </w:pPr>
      <w:r>
        <w:rPr>
          <w:rFonts w:hint="eastAsia" w:ascii="宋体" w:hAnsi="宋体" w:eastAsia="宋体" w:cs="宋体"/>
          <w:color w:val="000000"/>
          <w:kern w:val="0"/>
          <w:sz w:val="24"/>
          <w:szCs w:val="24"/>
          <w:highlight w:val="none"/>
        </w:rPr>
        <w:t>（2）甲方有权要求</w:t>
      </w:r>
      <w:r>
        <w:rPr>
          <w:rFonts w:hint="eastAsia" w:ascii="宋体" w:hAnsi="宋体" w:eastAsia="宋体" w:cs="宋体"/>
          <w:color w:val="000000"/>
          <w:kern w:val="28"/>
          <w:sz w:val="24"/>
          <w:szCs w:val="24"/>
          <w:highlight w:val="none"/>
        </w:rPr>
        <w:t>乙方供货的项目内容符合国家相关规范，符合国家验收标准，能够通过国家验收。</w:t>
      </w:r>
    </w:p>
    <w:p w14:paraId="6FA1FD2F">
      <w:pPr>
        <w:spacing w:line="520" w:lineRule="exact"/>
        <w:ind w:firstLine="480" w:firstLineChars="200"/>
        <w:rPr>
          <w:rFonts w:hint="eastAsia" w:ascii="宋体" w:hAnsi="宋体" w:eastAsia="宋体" w:cs="宋体"/>
          <w:bCs/>
          <w:color w:val="00000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28"/>
          <w:sz w:val="24"/>
          <w:szCs w:val="24"/>
          <w:highlight w:val="none"/>
        </w:rPr>
        <w:t>甲方有权要求乙方配合甲方完成所采购项目内容的预验收以及正式验收工作。</w:t>
      </w:r>
    </w:p>
    <w:p w14:paraId="33D05E7D">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（4）甲方有权要求对乙方提供的产品所涉及的第三方权利进行免责。因产品侵权导致的一切纠纷及赔偿责任均由乙方承担，给甲方造成损失的，甲方有权向乙方进行追偿。</w:t>
      </w:r>
    </w:p>
    <w:p w14:paraId="1B606DA2">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（5）按照合同约定支付乙方各阶段合同款项。</w:t>
      </w:r>
    </w:p>
    <w:p w14:paraId="368005AD">
      <w:pPr>
        <w:spacing w:line="520" w:lineRule="exact"/>
        <w:ind w:firstLine="480" w:firstLineChars="200"/>
        <w:rPr>
          <w:rFonts w:hint="eastAsia" w:ascii="宋体" w:hAnsi="宋体" w:eastAsia="宋体" w:cs="宋体"/>
          <w:color w:val="000000"/>
          <w:kern w:val="28"/>
          <w:sz w:val="24"/>
          <w:szCs w:val="24"/>
          <w:highlight w:val="none"/>
        </w:rPr>
      </w:pPr>
      <w:r>
        <w:rPr>
          <w:rFonts w:hint="eastAsia" w:ascii="宋体" w:hAnsi="宋体" w:eastAsia="宋体" w:cs="宋体"/>
          <w:color w:val="000000"/>
          <w:kern w:val="0"/>
          <w:sz w:val="24"/>
          <w:szCs w:val="24"/>
          <w:highlight w:val="none"/>
        </w:rPr>
        <w:t>（6）</w:t>
      </w:r>
      <w:r>
        <w:rPr>
          <w:rFonts w:hint="eastAsia" w:ascii="宋体" w:hAnsi="宋体" w:eastAsia="宋体" w:cs="宋体"/>
          <w:color w:val="000000"/>
          <w:kern w:val="28"/>
          <w:sz w:val="24"/>
          <w:szCs w:val="24"/>
          <w:highlight w:val="none"/>
        </w:rPr>
        <w:t>乙方不能按甲方要求及时供货，甲方有权依据本合同第十一条第1款之约定单方解除本合同。解除合同的同时，甲方有权利另行招标，或与评标报告中排名第二的供应商签订新的供货合同。</w:t>
      </w:r>
    </w:p>
    <w:p w14:paraId="74D200D4">
      <w:pPr>
        <w:spacing w:line="520" w:lineRule="exact"/>
        <w:ind w:firstLine="480" w:firstLineChars="200"/>
        <w:rPr>
          <w:rFonts w:hint="eastAsia" w:ascii="宋体" w:hAnsi="宋体" w:eastAsia="宋体" w:cs="宋体"/>
          <w:color w:val="000000"/>
          <w:kern w:val="28"/>
          <w:sz w:val="24"/>
          <w:szCs w:val="24"/>
          <w:highlight w:val="none"/>
        </w:rPr>
      </w:pPr>
      <w:r>
        <w:rPr>
          <w:rFonts w:hint="eastAsia" w:ascii="宋体" w:hAnsi="宋体" w:eastAsia="宋体" w:cs="宋体"/>
          <w:color w:val="000000"/>
          <w:kern w:val="0"/>
          <w:sz w:val="24"/>
          <w:szCs w:val="24"/>
          <w:highlight w:val="none"/>
        </w:rPr>
        <w:t>（7）</w:t>
      </w:r>
      <w:r>
        <w:rPr>
          <w:rFonts w:hint="eastAsia" w:ascii="宋体" w:hAnsi="宋体" w:eastAsia="宋体" w:cs="宋体"/>
          <w:color w:val="000000"/>
          <w:kern w:val="28"/>
          <w:sz w:val="24"/>
          <w:szCs w:val="24"/>
          <w:highlight w:val="none"/>
        </w:rPr>
        <w:t>因乙方原因供货延误，给甲方造成损失或被第三方要求索赔的，乙方应全额承担。</w:t>
      </w:r>
    </w:p>
    <w:p w14:paraId="48B3A8F7">
      <w:pPr>
        <w:autoSpaceDE w:val="0"/>
        <w:autoSpaceDN w:val="0"/>
        <w:adjustRightInd w:val="0"/>
        <w:spacing w:line="520" w:lineRule="exact"/>
        <w:ind w:firstLine="480" w:firstLineChars="200"/>
        <w:rPr>
          <w:rFonts w:hint="eastAsia" w:ascii="宋体" w:hAnsi="宋体" w:eastAsia="宋体" w:cs="宋体"/>
          <w:color w:val="000000"/>
          <w:kern w:val="28"/>
          <w:sz w:val="24"/>
          <w:szCs w:val="24"/>
          <w:highlight w:val="none"/>
        </w:rPr>
      </w:pPr>
      <w:r>
        <w:rPr>
          <w:rFonts w:hint="eastAsia" w:ascii="宋体" w:hAnsi="宋体" w:eastAsia="宋体" w:cs="宋体"/>
          <w:color w:val="000000"/>
          <w:kern w:val="28"/>
          <w:sz w:val="24"/>
          <w:szCs w:val="24"/>
          <w:highlight w:val="none"/>
        </w:rPr>
        <w:t>2.乙方的权利与义务。</w:t>
      </w:r>
    </w:p>
    <w:p w14:paraId="2919E13C">
      <w:pPr>
        <w:autoSpaceDE w:val="0"/>
        <w:autoSpaceDN w:val="0"/>
        <w:adjustRightInd w:val="0"/>
        <w:spacing w:line="520" w:lineRule="exact"/>
        <w:ind w:firstLine="480" w:firstLineChars="200"/>
        <w:rPr>
          <w:rFonts w:hint="eastAsia" w:ascii="宋体" w:hAnsi="宋体" w:eastAsia="宋体" w:cs="宋体"/>
          <w:bCs/>
          <w:color w:val="000000"/>
          <w:sz w:val="24"/>
          <w:szCs w:val="24"/>
          <w:highlight w:val="none"/>
        </w:rPr>
      </w:pPr>
      <w:r>
        <w:rPr>
          <w:rFonts w:hint="eastAsia" w:ascii="宋体" w:hAnsi="宋体" w:eastAsia="宋体" w:cs="宋体"/>
          <w:color w:val="000000"/>
          <w:kern w:val="0"/>
          <w:sz w:val="24"/>
          <w:szCs w:val="24"/>
          <w:highlight w:val="none"/>
        </w:rPr>
        <w:t>（1）</w:t>
      </w:r>
      <w:r>
        <w:rPr>
          <w:rFonts w:hint="eastAsia" w:ascii="宋体" w:hAnsi="宋体" w:eastAsia="宋体" w:cs="宋体"/>
          <w:color w:val="000000"/>
          <w:kern w:val="28"/>
          <w:sz w:val="24"/>
          <w:szCs w:val="24"/>
          <w:highlight w:val="none"/>
        </w:rPr>
        <w:t>乙方</w:t>
      </w:r>
      <w:r>
        <w:rPr>
          <w:rFonts w:hint="eastAsia" w:ascii="宋体" w:hAnsi="宋体" w:eastAsia="宋体" w:cs="宋体"/>
          <w:color w:val="000000"/>
          <w:sz w:val="24"/>
          <w:szCs w:val="24"/>
          <w:highlight w:val="none"/>
        </w:rPr>
        <w:t>按照合同约定时间、地点，按时、按质交付甲方所采购设备以及配套资料，并将设备配送到甲方指定地点。货物配送到达甲方指定地点安装验收前，风险责任由乙方承担。</w:t>
      </w:r>
    </w:p>
    <w:p w14:paraId="3A3D99B4">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（2）乙方负责配合甲方按合同约定时间完成本合同所涉及产品的现场安装、调试、验收工作，为甲方提供设备交接所需要的一切文件和手续，并保证产品质量。</w:t>
      </w:r>
    </w:p>
    <w:p w14:paraId="3761EEAF">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（3）乙方</w:t>
      </w:r>
      <w:r>
        <w:rPr>
          <w:rFonts w:hint="eastAsia" w:ascii="宋体" w:hAnsi="宋体" w:eastAsia="宋体" w:cs="宋体"/>
          <w:color w:val="000000"/>
          <w:sz w:val="24"/>
          <w:szCs w:val="24"/>
          <w:highlight w:val="none"/>
        </w:rPr>
        <w:t>负责做好项目的售后服务以及后续支持工作，对所供应设备的实际操作人员开展免费培训。</w:t>
      </w:r>
    </w:p>
    <w:p w14:paraId="0799FA75">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（4）</w:t>
      </w:r>
      <w:r>
        <w:rPr>
          <w:rFonts w:hint="eastAsia" w:ascii="宋体" w:hAnsi="宋体" w:eastAsia="宋体" w:cs="宋体"/>
          <w:color w:val="000000"/>
          <w:sz w:val="24"/>
          <w:szCs w:val="24"/>
          <w:highlight w:val="none"/>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4FC394D7">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（5）</w:t>
      </w:r>
      <w:r>
        <w:rPr>
          <w:rFonts w:hint="eastAsia" w:ascii="宋体" w:hAnsi="宋体" w:eastAsia="宋体" w:cs="宋体"/>
          <w:color w:val="000000"/>
          <w:sz w:val="24"/>
          <w:szCs w:val="24"/>
          <w:highlight w:val="none"/>
        </w:rPr>
        <w:t>项目中所涉及的所有相关政府部门审批手续全部由乙方协调办理，且支付全部相关费用，甲方不再办理其相关手续及支付任何相关费用。</w:t>
      </w:r>
    </w:p>
    <w:p w14:paraId="2C721A93">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六、质量要求</w:t>
      </w:r>
    </w:p>
    <w:p w14:paraId="3E205544">
      <w:pPr>
        <w:pStyle w:val="2"/>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1.质量要求：设备安装调试作业达到合格标准且满足甲方需求，并办理完毕所有政府行政审批手续，正常投入使用。</w:t>
      </w:r>
    </w:p>
    <w:p w14:paraId="3E53EBB0">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14:paraId="1B83D4B6">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3.各种货物有良好的外观，适合各种安装场所的使用。除合同另有规定外，乙方提供的全部货物，均应按标准保护措施进行包装，并确保货物安全无损运抵甲方指定地点。</w:t>
      </w:r>
    </w:p>
    <w:p w14:paraId="55810F58">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4646D7B4">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14:paraId="1EEFF4B6">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七、运输及风险</w:t>
      </w:r>
    </w:p>
    <w:p w14:paraId="1F6430AE">
      <w:pPr>
        <w:pStyle w:val="2"/>
        <w:spacing w:line="52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合同中所有设备的运输、转运、仓储、保管、装卸、培训的组织等工作均由乙方组织实施，</w:t>
      </w:r>
      <w:r>
        <w:rPr>
          <w:rFonts w:hint="eastAsia" w:ascii="宋体" w:hAnsi="宋体" w:eastAsia="宋体" w:cs="宋体"/>
          <w:sz w:val="24"/>
          <w:szCs w:val="24"/>
        </w:rPr>
        <w:t>货物验收合格前</w:t>
      </w:r>
      <w:r>
        <w:rPr>
          <w:rFonts w:hint="eastAsia" w:ascii="宋体" w:hAnsi="宋体" w:eastAsia="宋体" w:cs="宋体"/>
          <w:kern w:val="0"/>
          <w:sz w:val="24"/>
          <w:szCs w:val="24"/>
        </w:rPr>
        <w:t>由乙方承担风险及全部费用</w:t>
      </w:r>
      <w:r>
        <w:rPr>
          <w:rFonts w:hint="eastAsia" w:ascii="宋体" w:hAnsi="宋体" w:eastAsia="宋体" w:cs="宋体"/>
          <w:sz w:val="24"/>
          <w:szCs w:val="24"/>
        </w:rPr>
        <w:t>。</w:t>
      </w:r>
    </w:p>
    <w:p w14:paraId="755D8A50">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八、货物验收</w:t>
      </w:r>
    </w:p>
    <w:p w14:paraId="7B6D2B6E">
      <w:pPr>
        <w:pStyle w:val="7"/>
        <w:autoSpaceDN w:val="0"/>
        <w:spacing w:line="520" w:lineRule="exact"/>
        <w:ind w:firstLine="5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1.设备安装、调试和运行符合国家和医院标准要求，乙方安装、调试完毕后，先试运行一个月，之后由乙方书面申请甲方进行验收。</w:t>
      </w:r>
    </w:p>
    <w:p w14:paraId="2D4318AB">
      <w:pPr>
        <w:pStyle w:val="7"/>
        <w:autoSpaceDN w:val="0"/>
        <w:spacing w:line="520" w:lineRule="exact"/>
        <w:ind w:firstLine="5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2.甲方根据合同要求对产品进行验收、确认产品的产地、规格、型号和数量。验收依据为合同约定、招标文件，投标文件，澄清表（函），投标确定的验收标准和国内相应的标准、规范。验收地点在设备安装地。</w:t>
      </w:r>
    </w:p>
    <w:p w14:paraId="43BA18FC">
      <w:pPr>
        <w:pStyle w:val="7"/>
        <w:autoSpaceDN w:val="0"/>
        <w:spacing w:line="520" w:lineRule="exact"/>
        <w:ind w:firstLine="5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3.验收合格后，填写产品验收单，并向甲方提交产品所包含的所有资料，以便甲方日后管理和维护。在运行期间如果设备不能达到最优状态适当延长运行调试时间，直到设备达到最优状态。</w:t>
      </w:r>
    </w:p>
    <w:p w14:paraId="1D8DA67B">
      <w:pPr>
        <w:pStyle w:val="7"/>
        <w:autoSpaceDN w:val="0"/>
        <w:spacing w:line="520" w:lineRule="exact"/>
        <w:ind w:firstLine="5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经甲方验收不合格的，乙方应在7个工作日内重新调试维修或者换货。如乙方未在约定期限重新调试维修或者换货，或者经乙方重新调试维修或者换货，甲方再次验收仍然不合格的，甲方有权解除合同，乙方应向甲方支付货款20%的违约金。</w:t>
      </w:r>
    </w:p>
    <w:p w14:paraId="1ED629DC">
      <w:pPr>
        <w:pStyle w:val="7"/>
        <w:autoSpaceDN w:val="0"/>
        <w:spacing w:line="520" w:lineRule="exact"/>
        <w:ind w:firstLine="5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5.如乙方对验收结果有异议的，经乙方书面申请，双方共同确定第三方进行鉴定。</w:t>
      </w:r>
    </w:p>
    <w:p w14:paraId="6EAF416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6.验收依据：</w:t>
      </w:r>
    </w:p>
    <w:p w14:paraId="05872CD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（1）本合同及合同附件、补充协议。</w:t>
      </w:r>
    </w:p>
    <w:p w14:paraId="58388BD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（2）国家相应的标准、规范。</w:t>
      </w:r>
    </w:p>
    <w:p w14:paraId="735C8F1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（3）招标文件、投标文件、澄清表（函）（如有）。</w:t>
      </w:r>
    </w:p>
    <w:p w14:paraId="280DD280">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九、保密条款</w:t>
      </w:r>
    </w:p>
    <w:p w14:paraId="1C9749F7">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sz w:val="24"/>
          <w:szCs w:val="24"/>
        </w:rPr>
        <w:t>双方承诺，除非法律另有规定或双</w:t>
      </w:r>
      <w:r>
        <w:rPr>
          <w:rFonts w:hint="eastAsia" w:ascii="宋体" w:hAnsi="宋体" w:eastAsia="宋体" w:cs="宋体"/>
          <w:kern w:val="28"/>
          <w:sz w:val="24"/>
          <w:szCs w:val="24"/>
        </w:rPr>
        <w:t>方一致同意，任何一方不得将本协议的内容向第三方透露，否则，应向对方承担相应的违约责任。</w:t>
      </w:r>
    </w:p>
    <w:p w14:paraId="7883E90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1.双方同意在本合同期限内及之后：</w:t>
      </w:r>
    </w:p>
    <w:p w14:paraId="1F41888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（1）只为本合同目的而使用属于对方的保密资料；</w:t>
      </w:r>
    </w:p>
    <w:p w14:paraId="1A61451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（2）在未得到对方书面同意之前，不将对方的保密资料披露给第三方；</w:t>
      </w:r>
    </w:p>
    <w:p w14:paraId="7FA2885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（3）如果披露方要求，接受方应立即将任何被要求退还的保密资料退还给披露方。</w:t>
      </w:r>
    </w:p>
    <w:p w14:paraId="6A981F58">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6F11543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（1）为公众所知的；</w:t>
      </w:r>
    </w:p>
    <w:p w14:paraId="333644C5">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（2）接受方通过没有保密义务的独立渠道合法获得的资料；</w:t>
      </w:r>
    </w:p>
    <w:p w14:paraId="6580BE3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（3）接受方在本合同保密条款签订之前已经知道的资料；</w:t>
      </w:r>
    </w:p>
    <w:p w14:paraId="417EA6B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（4）因法律行为（包括诉讼、仲裁等行为）和执行国家政策的需要进行披露的资料。</w:t>
      </w:r>
    </w:p>
    <w:p w14:paraId="22D467DD">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十、售后服务</w:t>
      </w:r>
    </w:p>
    <w:p w14:paraId="2409C1CC">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rPr>
        <w:t>质量保修范围和保修期：质保时间不少于三年。产品使用过程中出现故障，供应商电话随时响应，4小时内到场维修，维修工时超过48小时应提供备用设备。</w:t>
      </w:r>
    </w:p>
    <w:p w14:paraId="40EB9442">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十一、违约责任</w:t>
      </w:r>
    </w:p>
    <w:p w14:paraId="30F9D1CE">
      <w:pPr>
        <w:autoSpaceDE w:val="0"/>
        <w:autoSpaceDN w:val="0"/>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4DF738E6">
      <w:pPr>
        <w:autoSpaceDE w:val="0"/>
        <w:autoSpaceDN w:val="0"/>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65225C52">
      <w:pPr>
        <w:autoSpaceDE w:val="0"/>
        <w:autoSpaceDN w:val="0"/>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3.质量保证期内因产品质量问题，乙方未按合同规定及时进行维修、更换，甲方可自行组织人员进行维修、更换，因此造成的相关责任、费用由乙方全部承担。</w:t>
      </w:r>
    </w:p>
    <w:p w14:paraId="74CDF27A">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4.乙方对材料不按招标文件要求，擅自更换，除恢复原招标产品外，应承担更换部分价款30%的违约金。</w:t>
      </w:r>
    </w:p>
    <w:p w14:paraId="65970C0F">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5.乙方如对材料以次充好，除全部按要求恢复外，应承担此部分价款30%的违约金。</w:t>
      </w:r>
    </w:p>
    <w:p w14:paraId="74C74F03">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6.如由于产品质量原因，不能通过验收，乙方除按规定无偿更换外，应承担所涉及产品总价款的30%违约金。</w:t>
      </w:r>
    </w:p>
    <w:p w14:paraId="1D614448">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1B5BB96B">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8.根据《中华人民共和国民法典》、《中华人民共和国政府采购法》、《中华人民共和国产品质量法》的相关条款和本合同约定，乙方未全面履行合同义务或者发生</w:t>
      </w:r>
      <w:r>
        <w:rPr>
          <w:rFonts w:hint="eastAsia" w:ascii="宋体" w:hAnsi="宋体" w:eastAsia="宋体" w:cs="宋体"/>
          <w:color w:val="000000"/>
          <w:sz w:val="24"/>
          <w:szCs w:val="24"/>
          <w:highlight w:val="none"/>
        </w:rPr>
        <w:t>违约，甲方有权终止合同，依法向乙方进行经济索赔，并报请政府采购监督管理机关对乙方进行相应的行政处罚。</w:t>
      </w:r>
    </w:p>
    <w:p w14:paraId="3FB76E3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十二、争议解决</w:t>
      </w:r>
    </w:p>
    <w:p w14:paraId="2E9189B9">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合同各方应本着诚信的态度及共同合作的精神，通过协商及谈判来努力解决由本合同而产生的或</w:t>
      </w:r>
      <w:r>
        <w:rPr>
          <w:rFonts w:hint="eastAsia" w:ascii="宋体" w:hAnsi="宋体" w:eastAsia="宋体" w:cs="宋体"/>
          <w:kern w:val="28"/>
          <w:sz w:val="24"/>
          <w:szCs w:val="24"/>
        </w:rPr>
        <w:t>与本合同有关（包括本合同项下某一特定货物买卖合同）的任何争议及不同意见。协商、谈判不能解决的，任何一方有权向</w:t>
      </w:r>
      <w:r>
        <w:rPr>
          <w:rFonts w:hint="eastAsia" w:ascii="宋体" w:hAnsi="宋体" w:eastAsia="宋体" w:cs="宋体"/>
          <w:sz w:val="24"/>
          <w:szCs w:val="24"/>
        </w:rPr>
        <w:t>甲方所在地人民法院起诉解决。</w:t>
      </w:r>
    </w:p>
    <w:p w14:paraId="50DFCEDB">
      <w:pPr>
        <w:numPr>
          <w:ilvl w:val="0"/>
          <w:numId w:val="1"/>
        </w:num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w:t>
      </w:r>
    </w:p>
    <w:p w14:paraId="4A6C4D39">
      <w:pPr>
        <w:spacing w:line="520" w:lineRule="exact"/>
        <w:ind w:firstLine="480" w:firstLineChars="200"/>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如发生不可抗力或政策因素，双方互不要求对方承担责任，具体解决方案商定</w:t>
      </w:r>
      <w:r>
        <w:rPr>
          <w:rFonts w:hint="eastAsia" w:ascii="宋体" w:hAnsi="宋体" w:eastAsia="宋体" w:cs="宋体"/>
          <w:color w:val="000000"/>
          <w:kern w:val="0"/>
          <w:sz w:val="24"/>
          <w:szCs w:val="24"/>
          <w:highlight w:val="none"/>
          <w:lang w:eastAsia="zh-CN"/>
        </w:rPr>
        <w:t>如下：</w:t>
      </w:r>
    </w:p>
    <w:p w14:paraId="00DB4A77">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B4688CB">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34E9C59">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3.如不可抗力时间延续90天以上的，各方通过协商达成在合理的时间内继续履行合同，或部分履行合同，或终止合同的履行。</w:t>
      </w:r>
    </w:p>
    <w:p w14:paraId="3ACD07F9">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4.一方迟延履行后发生不可抗力的，不能免除责任。</w:t>
      </w:r>
    </w:p>
    <w:p w14:paraId="1B63C1C0">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十四、通知和合同修改</w:t>
      </w:r>
    </w:p>
    <w:p w14:paraId="5CDF8B1A">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本合同项下任何一方向对方发出的通知、信件、数据电文等，应当发送至本合同首部约定的地址、联系人和通信终端。</w:t>
      </w:r>
    </w:p>
    <w:p w14:paraId="28C9CD15">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一方当事人变更名称、地址、联系人或通信终端的，应当在变更后3日内及时书面通知对方当事人，对方当事人实际收到变更通知前的送达仍为有效送达，电子送达与书面送达具有同等法律效力。</w:t>
      </w:r>
    </w:p>
    <w:p w14:paraId="4D428CFD">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69C4433C">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2F942D28">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3DC1D8BB">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十五、合同文件及解释</w:t>
      </w:r>
    </w:p>
    <w:p w14:paraId="2D31D2C7">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本合同与下列文件一起构成合同文件：</w:t>
      </w:r>
    </w:p>
    <w:p w14:paraId="0629BA8D">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（1）本项目招标文件、技术标准、规范、项目相关的补疑、答疑等文件；</w:t>
      </w:r>
    </w:p>
    <w:p w14:paraId="68E5ACD2">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（2）本项目投标文件；</w:t>
      </w:r>
    </w:p>
    <w:p w14:paraId="2F3FE39C">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（3）投标函及投标函附录；</w:t>
      </w:r>
    </w:p>
    <w:p w14:paraId="6383D54A">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（4）双方另行签订的补充协议及其他合同文件。</w:t>
      </w:r>
    </w:p>
    <w:p w14:paraId="4AA5369A">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上述合同文件互相补充和解释。如果合同文件之间存在矛盾或不一致之处，</w:t>
      </w:r>
      <w:r>
        <w:rPr>
          <w:rFonts w:hint="eastAsia" w:ascii="宋体" w:hAnsi="宋体" w:eastAsia="宋体" w:cs="宋体"/>
          <w:color w:val="000000"/>
          <w:kern w:val="0"/>
          <w:sz w:val="24"/>
          <w:szCs w:val="24"/>
          <w:highlight w:val="none"/>
        </w:rPr>
        <w:t>以有利于保护甲方利益的条款为准</w:t>
      </w:r>
      <w:r>
        <w:rPr>
          <w:rFonts w:hint="eastAsia" w:ascii="宋体" w:hAnsi="宋体" w:eastAsia="宋体" w:cs="宋体"/>
          <w:color w:val="000000"/>
          <w:kern w:val="0"/>
          <w:sz w:val="24"/>
          <w:szCs w:val="24"/>
        </w:rPr>
        <w:t>，双方另行签订的补充协议及其他合同文件有效力顺序约定的执行其约定。</w:t>
      </w:r>
    </w:p>
    <w:p w14:paraId="2B2EAAC8">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十六、其他规定</w:t>
      </w:r>
    </w:p>
    <w:p w14:paraId="4AE63C2E">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1.本合同甲、乙双方均同意以上条款内容。合同签订后双方即直接产生权利与义务的关系，合同执行过程中出现的问题应按照民法典等有关规定办理。</w:t>
      </w:r>
    </w:p>
    <w:p w14:paraId="13CC0F67">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2.本合同的附件为本合同不可分割的部分，与合同正文具有同等的法律效力。合同附件与合同约定不一致的，以本合同的约定为准，除非双方一致同意并以书面形式表示以合同附件为准。</w:t>
      </w:r>
    </w:p>
    <w:p w14:paraId="23481BDB">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3.本合同一式六份，甲</w:t>
      </w:r>
      <w:r>
        <w:rPr>
          <w:rFonts w:hint="eastAsia" w:ascii="宋体" w:hAnsi="宋体" w:eastAsia="宋体" w:cs="宋体"/>
          <w:kern w:val="28"/>
          <w:sz w:val="24"/>
          <w:szCs w:val="24"/>
          <w:lang w:eastAsia="zh-CN"/>
        </w:rPr>
        <w:t>方四份，</w:t>
      </w:r>
      <w:r>
        <w:rPr>
          <w:rFonts w:hint="eastAsia" w:ascii="宋体" w:hAnsi="宋体" w:eastAsia="宋体" w:cs="宋体"/>
          <w:kern w:val="28"/>
          <w:sz w:val="24"/>
          <w:szCs w:val="24"/>
        </w:rPr>
        <w:t>乙方</w:t>
      </w:r>
      <w:r>
        <w:rPr>
          <w:rFonts w:hint="eastAsia" w:ascii="宋体" w:hAnsi="宋体" w:eastAsia="宋体" w:cs="宋体"/>
          <w:kern w:val="28"/>
          <w:sz w:val="24"/>
          <w:szCs w:val="24"/>
          <w:lang w:eastAsia="zh-CN"/>
        </w:rPr>
        <w:t>二</w:t>
      </w:r>
      <w:r>
        <w:rPr>
          <w:rFonts w:hint="eastAsia" w:ascii="宋体" w:hAnsi="宋体" w:eastAsia="宋体" w:cs="宋体"/>
          <w:kern w:val="28"/>
          <w:sz w:val="24"/>
          <w:szCs w:val="24"/>
        </w:rPr>
        <w:t>份。合同自甲乙双方法定代表人或者授权代表人签字并加盖公章(或合同章)之日起即行生效。合同的服务承诺、设备维修维护长期有效。本合同的订立、履行、变更、终止、解释等均适用中华人民共和国现行有效的法律。</w:t>
      </w:r>
    </w:p>
    <w:p w14:paraId="31673F9F">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4.本合同未尽事宜，由甲乙双方</w:t>
      </w:r>
      <w:r>
        <w:rPr>
          <w:rFonts w:hint="eastAsia" w:ascii="宋体" w:hAnsi="宋体" w:eastAsia="宋体" w:cs="宋体"/>
          <w:sz w:val="24"/>
          <w:szCs w:val="24"/>
        </w:rPr>
        <w:t>在不违背本合同和招、投标文件的原则下</w:t>
      </w:r>
      <w:r>
        <w:rPr>
          <w:rFonts w:hint="eastAsia" w:ascii="宋体" w:hAnsi="宋体" w:eastAsia="宋体" w:cs="宋体"/>
          <w:kern w:val="28"/>
          <w:sz w:val="24"/>
          <w:szCs w:val="24"/>
        </w:rPr>
        <w:t>共同协商</w:t>
      </w:r>
      <w:r>
        <w:rPr>
          <w:rFonts w:hint="eastAsia" w:ascii="宋体" w:hAnsi="宋体" w:eastAsia="宋体" w:cs="宋体"/>
          <w:sz w:val="24"/>
          <w:szCs w:val="24"/>
        </w:rPr>
        <w:t>解决</w:t>
      </w:r>
      <w:r>
        <w:rPr>
          <w:rFonts w:hint="eastAsia" w:ascii="宋体" w:hAnsi="宋体" w:eastAsia="宋体" w:cs="宋体"/>
          <w:kern w:val="28"/>
          <w:sz w:val="24"/>
          <w:szCs w:val="24"/>
        </w:rPr>
        <w:t>，另行订立补充协议，</w:t>
      </w:r>
      <w:r>
        <w:rPr>
          <w:rFonts w:hint="eastAsia" w:ascii="宋体" w:hAnsi="宋体" w:eastAsia="宋体" w:cs="宋体"/>
          <w:sz w:val="24"/>
          <w:szCs w:val="24"/>
        </w:rPr>
        <w:t>作为本合同的附件，</w:t>
      </w:r>
      <w:r>
        <w:rPr>
          <w:rFonts w:hint="eastAsia" w:ascii="宋体" w:hAnsi="宋体" w:eastAsia="宋体" w:cs="宋体"/>
          <w:kern w:val="28"/>
          <w:sz w:val="24"/>
          <w:szCs w:val="24"/>
        </w:rPr>
        <w:t>补充协议与</w:t>
      </w:r>
      <w:r>
        <w:rPr>
          <w:rFonts w:hint="eastAsia" w:ascii="宋体" w:hAnsi="宋体" w:eastAsia="宋体" w:cs="宋体"/>
          <w:sz w:val="24"/>
          <w:szCs w:val="24"/>
        </w:rPr>
        <w:t>本合同具有同等法律效力</w:t>
      </w:r>
      <w:r>
        <w:rPr>
          <w:rFonts w:hint="eastAsia" w:ascii="宋体" w:hAnsi="宋体" w:eastAsia="宋体" w:cs="宋体"/>
          <w:kern w:val="28"/>
          <w:sz w:val="24"/>
          <w:szCs w:val="24"/>
        </w:rPr>
        <w:t>。</w:t>
      </w:r>
      <w:r>
        <w:rPr>
          <w:rFonts w:hint="eastAsia" w:ascii="宋体" w:hAnsi="宋体" w:eastAsia="宋体" w:cs="宋体"/>
          <w:sz w:val="24"/>
          <w:szCs w:val="24"/>
        </w:rPr>
        <w:t>招、投标文件、合同附件均成为合同不可分割的部分，与本合同具有同等的法律效力。</w:t>
      </w:r>
    </w:p>
    <w:p w14:paraId="7567BCE2">
      <w:pPr>
        <w:keepNext w:val="0"/>
        <w:keepLines w:val="0"/>
        <w:pageBreakBefore w:val="0"/>
        <w:kinsoku/>
        <w:wordWrap/>
        <w:overflowPunct/>
        <w:topLinePunct w:val="0"/>
        <w:autoSpaceDE/>
        <w:autoSpaceDN/>
        <w:bidi w:val="0"/>
        <w:adjustRightInd/>
        <w:snapToGrid/>
        <w:spacing w:line="520" w:lineRule="exact"/>
        <w:textAlignment w:val="auto"/>
        <w:rPr>
          <w:rFonts w:ascii="宋体" w:hAnsi="宋体" w:cs="仿宋"/>
          <w:b/>
          <w:color w:val="000000"/>
          <w:sz w:val="24"/>
        </w:rPr>
      </w:pPr>
    </w:p>
    <w:p w14:paraId="7C2F9136">
      <w:pPr>
        <w:keepNext w:val="0"/>
        <w:keepLines w:val="0"/>
        <w:pageBreakBefore w:val="0"/>
        <w:kinsoku/>
        <w:wordWrap/>
        <w:overflowPunct/>
        <w:topLinePunct w:val="0"/>
        <w:autoSpaceDE/>
        <w:autoSpaceDN/>
        <w:bidi w:val="0"/>
        <w:adjustRightInd/>
        <w:snapToGrid/>
        <w:spacing w:line="520" w:lineRule="exact"/>
        <w:jc w:val="left"/>
        <w:textAlignment w:val="auto"/>
        <w:rPr>
          <w:rFonts w:ascii="宋体" w:hAnsi="宋体" w:cs="仿宋"/>
          <w:b/>
          <w:color w:val="000000"/>
          <w:sz w:val="24"/>
        </w:rPr>
      </w:pPr>
      <w:r>
        <w:rPr>
          <w:rFonts w:hint="eastAsia" w:ascii="宋体" w:hAnsi="宋体" w:cs="仿宋"/>
          <w:b/>
          <w:color w:val="000000"/>
          <w:sz w:val="24"/>
        </w:rPr>
        <w:t>甲方（盖章）：</w:t>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乙方（盖章）：</w:t>
      </w:r>
    </w:p>
    <w:p w14:paraId="2AE8B464">
      <w:pPr>
        <w:keepNext w:val="0"/>
        <w:keepLines w:val="0"/>
        <w:pageBreakBefore w:val="0"/>
        <w:kinsoku/>
        <w:wordWrap/>
        <w:overflowPunct/>
        <w:topLinePunct w:val="0"/>
        <w:autoSpaceDE/>
        <w:autoSpaceDN/>
        <w:bidi w:val="0"/>
        <w:adjustRightInd/>
        <w:snapToGrid/>
        <w:spacing w:line="520" w:lineRule="exact"/>
        <w:jc w:val="left"/>
        <w:textAlignment w:val="auto"/>
        <w:rPr>
          <w:rFonts w:ascii="宋体" w:hAnsi="宋体" w:cs="仿宋"/>
          <w:color w:val="000000"/>
          <w:sz w:val="24"/>
        </w:rPr>
      </w:pPr>
      <w:r>
        <w:rPr>
          <w:rFonts w:hint="eastAsia" w:ascii="宋体" w:hAnsi="宋体" w:cs="仿宋"/>
          <w:color w:val="000000"/>
          <w:sz w:val="24"/>
        </w:rPr>
        <w:t>单位：</w:t>
      </w:r>
      <w:r>
        <w:rPr>
          <w:rFonts w:hint="eastAsia" w:ascii="宋体" w:hAnsi="宋体" w:cs="仿宋"/>
          <w:sz w:val="24"/>
        </w:rPr>
        <w:t>陕西中医药大学附属医院</w:t>
      </w:r>
      <w:r>
        <w:rPr>
          <w:rFonts w:hint="eastAsia" w:ascii="宋体" w:hAnsi="宋体" w:cs="仿宋"/>
          <w:color w:val="000000"/>
          <w:sz w:val="24"/>
        </w:rPr>
        <w:t xml:space="preserve">       单位： </w:t>
      </w:r>
    </w:p>
    <w:p w14:paraId="0432971E">
      <w:pPr>
        <w:keepNext w:val="0"/>
        <w:keepLines w:val="0"/>
        <w:pageBreakBefore w:val="0"/>
        <w:kinsoku/>
        <w:wordWrap/>
        <w:overflowPunct/>
        <w:topLinePunct w:val="0"/>
        <w:autoSpaceDE/>
        <w:autoSpaceDN/>
        <w:bidi w:val="0"/>
        <w:adjustRightInd/>
        <w:snapToGrid/>
        <w:spacing w:line="520" w:lineRule="exact"/>
        <w:ind w:right="-1352" w:rightChars="-644"/>
        <w:jc w:val="left"/>
        <w:textAlignment w:val="auto"/>
        <w:rPr>
          <w:rFonts w:ascii="宋体" w:hAnsi="宋体" w:cs="仿宋"/>
          <w:color w:val="000000"/>
          <w:szCs w:val="21"/>
        </w:rPr>
      </w:pPr>
      <w:r>
        <w:rPr>
          <w:rFonts w:hint="eastAsia" w:ascii="宋体" w:hAnsi="宋体" w:cs="仿宋"/>
          <w:color w:val="000000"/>
          <w:sz w:val="24"/>
        </w:rPr>
        <w:t xml:space="preserve">地址：咸阳市渭阳西路副2号         地址：                           </w:t>
      </w:r>
    </w:p>
    <w:p w14:paraId="4ED45C88">
      <w:pPr>
        <w:keepNext w:val="0"/>
        <w:keepLines w:val="0"/>
        <w:pageBreakBefore w:val="0"/>
        <w:kinsoku/>
        <w:wordWrap/>
        <w:overflowPunct/>
        <w:topLinePunct w:val="0"/>
        <w:autoSpaceDE/>
        <w:autoSpaceDN/>
        <w:bidi w:val="0"/>
        <w:adjustRightInd/>
        <w:snapToGrid/>
        <w:spacing w:line="520" w:lineRule="exact"/>
        <w:ind w:firstLine="4080" w:firstLineChars="1700"/>
        <w:jc w:val="left"/>
        <w:textAlignment w:val="auto"/>
        <w:rPr>
          <w:rFonts w:ascii="宋体" w:hAnsi="宋体" w:cs="仿宋"/>
          <w:color w:val="000000"/>
          <w:szCs w:val="21"/>
        </w:rPr>
      </w:pPr>
      <w:r>
        <w:rPr>
          <w:rFonts w:hint="eastAsia" w:ascii="宋体" w:hAnsi="宋体" w:cs="仿宋"/>
          <w:color w:val="000000"/>
          <w:sz w:val="24"/>
        </w:rPr>
        <w:t xml:space="preserve"> 账号： </w:t>
      </w:r>
    </w:p>
    <w:p w14:paraId="3D90B6C3">
      <w:pPr>
        <w:keepNext w:val="0"/>
        <w:keepLines w:val="0"/>
        <w:pageBreakBefore w:val="0"/>
        <w:kinsoku/>
        <w:wordWrap/>
        <w:overflowPunct/>
        <w:topLinePunct w:val="0"/>
        <w:autoSpaceDE/>
        <w:autoSpaceDN/>
        <w:bidi w:val="0"/>
        <w:adjustRightInd/>
        <w:snapToGrid/>
        <w:spacing w:line="520" w:lineRule="exact"/>
        <w:ind w:left="5280" w:leftChars="800" w:right="-932" w:rightChars="-444" w:hanging="3600" w:hangingChars="1500"/>
        <w:jc w:val="left"/>
        <w:textAlignment w:val="auto"/>
        <w:rPr>
          <w:rFonts w:ascii="宋体" w:hAnsi="宋体" w:cs="仿宋"/>
          <w:sz w:val="24"/>
        </w:rPr>
      </w:pPr>
      <w:r>
        <w:rPr>
          <w:rFonts w:hint="eastAsia" w:ascii="宋体" w:hAnsi="宋体" w:cs="仿宋"/>
          <w:color w:val="000000"/>
          <w:sz w:val="24"/>
        </w:rPr>
        <w:t xml:space="preserve">                     开户行： </w:t>
      </w:r>
    </w:p>
    <w:p w14:paraId="5BC84EE9">
      <w:pPr>
        <w:keepNext w:val="0"/>
        <w:keepLines w:val="0"/>
        <w:pageBreakBefore w:val="0"/>
        <w:kinsoku/>
        <w:wordWrap/>
        <w:overflowPunct/>
        <w:topLinePunct w:val="0"/>
        <w:autoSpaceDE/>
        <w:autoSpaceDN/>
        <w:bidi w:val="0"/>
        <w:adjustRightInd/>
        <w:snapToGrid/>
        <w:spacing w:line="520" w:lineRule="exact"/>
        <w:ind w:left="5520" w:hanging="5520" w:hangingChars="2300"/>
        <w:jc w:val="left"/>
        <w:textAlignment w:val="auto"/>
        <w:rPr>
          <w:rFonts w:ascii="宋体" w:hAnsi="宋体" w:cs="仿宋"/>
          <w:color w:val="000000"/>
          <w:sz w:val="24"/>
        </w:rPr>
      </w:pPr>
      <w:r>
        <w:rPr>
          <w:rFonts w:hint="eastAsia" w:ascii="宋体" w:hAnsi="宋体" w:cs="仿宋"/>
          <w:color w:val="000000"/>
          <w:sz w:val="24"/>
        </w:rPr>
        <w:t xml:space="preserve">授权代表：                         授权代表：                           </w:t>
      </w:r>
    </w:p>
    <w:p w14:paraId="5613B0CA">
      <w:pPr>
        <w:keepNext w:val="0"/>
        <w:keepLines w:val="0"/>
        <w:pageBreakBefore w:val="0"/>
        <w:kinsoku/>
        <w:wordWrap/>
        <w:overflowPunct/>
        <w:topLinePunct w:val="0"/>
        <w:autoSpaceDE/>
        <w:autoSpaceDN/>
        <w:bidi w:val="0"/>
        <w:adjustRightInd/>
        <w:snapToGrid/>
        <w:spacing w:line="520" w:lineRule="exact"/>
        <w:jc w:val="left"/>
        <w:textAlignment w:val="auto"/>
        <w:rPr>
          <w:rFonts w:ascii="宋体" w:hAnsi="宋体" w:cs="仿宋"/>
          <w:color w:val="000000"/>
          <w:sz w:val="24"/>
        </w:rPr>
      </w:pPr>
      <w:r>
        <w:rPr>
          <w:rFonts w:hint="eastAsia" w:ascii="宋体" w:hAnsi="宋体" w:cs="仿宋"/>
          <w:color w:val="000000"/>
          <w:sz w:val="24"/>
        </w:rPr>
        <w:t xml:space="preserve">签订时间：      年   月   日       签订时间：      年   月   日  </w:t>
      </w:r>
    </w:p>
    <w:p w14:paraId="66736ED5">
      <w:pPr>
        <w:pStyle w:val="8"/>
        <w:keepNext w:val="0"/>
        <w:keepLines w:val="0"/>
        <w:pageBreakBefore w:val="0"/>
        <w:kinsoku/>
        <w:wordWrap/>
        <w:overflowPunct/>
        <w:topLinePunct w:val="0"/>
        <w:autoSpaceDE/>
        <w:autoSpaceDN/>
        <w:bidi w:val="0"/>
        <w:adjustRightInd/>
        <w:snapToGrid/>
        <w:spacing w:line="520" w:lineRule="exact"/>
        <w:textAlignment w:val="auto"/>
        <w:rPr>
          <w:rFonts w:hint="default"/>
        </w:rPr>
      </w:pPr>
    </w:p>
    <w:p w14:paraId="2314315B">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6C59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5EEF118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93A45">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E3B7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5EEF2">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2658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D1A89">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1225603B"/>
    <w:rsid w:val="28EA4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paragraph" w:customStyle="1" w:styleId="7">
    <w:name w:val="列出段落1"/>
    <w:basedOn w:val="1"/>
    <w:qFormat/>
    <w:uiPriority w:val="34"/>
    <w:pPr>
      <w:ind w:firstLine="420" w:firstLineChars="200"/>
    </w:pPr>
    <w:rPr>
      <w:rFonts w:ascii="Calibri" w:hAnsi="Calibri"/>
      <w:szCs w:val="22"/>
    </w:rPr>
  </w:style>
  <w:style w:type="paragraph" w:customStyle="1" w:styleId="8">
    <w:name w:val="null3"/>
    <w:hidden/>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6951</Words>
  <Characters>7045</Characters>
  <Lines>0</Lines>
  <Paragraphs>0</Paragraphs>
  <TotalTime>0</TotalTime>
  <ScaleCrop>false</ScaleCrop>
  <LinksUpToDate>false</LinksUpToDate>
  <CharactersWithSpaces>7500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2024-07-16T06:00:00Z</dcterms:created>
  <dc:creator>Administrator</dc:creator>
  <cp:lastModifiedBy>admin</cp:lastModifiedBy>
  <dcterms:modified xsi:type="dcterms:W3CDTF">2024-12-11T05:38:02Z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5D99D5F940074496B6DCFC2038C3C3D3_12</vt:lpwstr>
  </property>
</Properties>
</file>