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459D6">
      <w:pPr>
        <w:pStyle w:val="3"/>
        <w:spacing w:after="0"/>
        <w:ind w:firstLine="640" w:firstLineChars="200"/>
        <w:jc w:val="center"/>
        <w:outlineLvl w:val="0"/>
        <w:rPr>
          <w:rFonts w:ascii="方正小标宋简体" w:hAnsi="方正小标宋简体" w:eastAsia="方正小标宋简体" w:cs="方正小标宋简体"/>
          <w:b/>
          <w:bCs/>
        </w:rPr>
      </w:pPr>
      <w:r>
        <w:rPr>
          <w:rFonts w:hint="eastAsia" w:ascii="方正小标宋简体" w:hAnsi="方正小标宋简体" w:eastAsia="方正小标宋简体" w:cs="方正小标宋简体"/>
          <w:sz w:val="32"/>
          <w:szCs w:val="32"/>
        </w:rPr>
        <w:t>合同管理安排</w:t>
      </w:r>
    </w:p>
    <w:tbl>
      <w:tblPr>
        <w:tblStyle w:val="5"/>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873"/>
        <w:gridCol w:w="7046"/>
      </w:tblGrid>
      <w:tr w14:paraId="7F46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4EAF1B80">
            <w:pPr>
              <w:jc w:val="center"/>
              <w:rPr>
                <w:rFonts w:ascii="仿宋_GB2312" w:hAnsi="仿宋" w:eastAsia="仿宋_GB2312"/>
                <w:szCs w:val="21"/>
              </w:rPr>
            </w:pPr>
            <w:r>
              <w:rPr>
                <w:rFonts w:hint="eastAsia" w:ascii="仿宋_GB2312" w:hAnsi="仿宋" w:eastAsia="仿宋_GB2312"/>
                <w:szCs w:val="21"/>
              </w:rPr>
              <w:t>1</w:t>
            </w:r>
          </w:p>
        </w:tc>
        <w:tc>
          <w:tcPr>
            <w:tcW w:w="1873" w:type="dxa"/>
            <w:vAlign w:val="center"/>
          </w:tcPr>
          <w:p w14:paraId="28F552F2">
            <w:pPr>
              <w:rPr>
                <w:rFonts w:ascii="仿宋_GB2312" w:hAnsi="仿宋" w:eastAsia="仿宋_GB2312"/>
                <w:szCs w:val="21"/>
              </w:rPr>
            </w:pPr>
            <w:r>
              <w:rPr>
                <w:rFonts w:hint="eastAsia" w:ascii="仿宋_GB2312" w:hAnsi="仿宋" w:eastAsia="仿宋_GB2312"/>
                <w:szCs w:val="21"/>
              </w:rPr>
              <w:t>合同类型</w:t>
            </w:r>
          </w:p>
        </w:tc>
        <w:tc>
          <w:tcPr>
            <w:tcW w:w="7046" w:type="dxa"/>
            <w:vAlign w:val="center"/>
          </w:tcPr>
          <w:p w14:paraId="6DADFD61">
            <w:pPr>
              <w:rPr>
                <w:rFonts w:ascii="仿宋_GB2312" w:hAnsi="仿宋" w:eastAsia="仿宋_GB2312"/>
                <w:szCs w:val="21"/>
              </w:rPr>
            </w:pPr>
            <w:r>
              <w:rPr>
                <w:rFonts w:hint="eastAsia" w:ascii="仿宋_GB2312" w:hAnsi="仿宋" w:eastAsia="仿宋_GB2312"/>
                <w:szCs w:val="21"/>
              </w:rPr>
              <w:t>买卖合同</w:t>
            </w:r>
          </w:p>
        </w:tc>
      </w:tr>
      <w:tr w14:paraId="7F38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39E2D21">
            <w:pPr>
              <w:jc w:val="center"/>
              <w:rPr>
                <w:rFonts w:ascii="仿宋_GB2312" w:hAnsi="仿宋" w:eastAsia="仿宋_GB2312"/>
                <w:szCs w:val="21"/>
              </w:rPr>
            </w:pPr>
            <w:r>
              <w:rPr>
                <w:rFonts w:hint="eastAsia" w:ascii="仿宋_GB2312" w:hAnsi="仿宋" w:eastAsia="仿宋_GB2312"/>
                <w:szCs w:val="21"/>
              </w:rPr>
              <w:t>2</w:t>
            </w:r>
          </w:p>
        </w:tc>
        <w:tc>
          <w:tcPr>
            <w:tcW w:w="1873" w:type="dxa"/>
            <w:vAlign w:val="center"/>
          </w:tcPr>
          <w:p w14:paraId="37BCF2A9">
            <w:pPr>
              <w:rPr>
                <w:rFonts w:ascii="仿宋_GB2312" w:hAnsi="仿宋" w:eastAsia="仿宋_GB2312"/>
                <w:szCs w:val="21"/>
              </w:rPr>
            </w:pPr>
            <w:r>
              <w:rPr>
                <w:rFonts w:hint="eastAsia" w:ascii="仿宋_GB2312" w:hAnsi="仿宋" w:eastAsia="仿宋_GB2312"/>
                <w:szCs w:val="21"/>
              </w:rPr>
              <w:t>定价方式</w:t>
            </w:r>
          </w:p>
        </w:tc>
        <w:tc>
          <w:tcPr>
            <w:tcW w:w="7046" w:type="dxa"/>
            <w:vAlign w:val="center"/>
          </w:tcPr>
          <w:p w14:paraId="55B5C2BC">
            <w:pPr>
              <w:rPr>
                <w:rFonts w:ascii="仿宋_GB2312" w:hAnsi="仿宋" w:eastAsia="仿宋_GB2312"/>
                <w:szCs w:val="21"/>
              </w:rPr>
            </w:pPr>
            <w:r>
              <w:rPr>
                <w:rFonts w:hint="eastAsia" w:ascii="仿宋_GB2312" w:hAnsi="仿宋" w:eastAsia="仿宋_GB2312"/>
                <w:szCs w:val="21"/>
              </w:rPr>
              <w:t>固定总价/</w:t>
            </w:r>
            <w:r>
              <w:rPr>
                <w:rFonts w:hint="eastAsia" w:ascii="仿宋_GB2312" w:eastAsia="仿宋_GB2312"/>
                <w:szCs w:val="21"/>
              </w:rPr>
              <w:t>固定单价</w:t>
            </w:r>
          </w:p>
        </w:tc>
      </w:tr>
      <w:tr w14:paraId="0830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0660FC6A">
            <w:pPr>
              <w:jc w:val="center"/>
              <w:rPr>
                <w:rFonts w:ascii="仿宋_GB2312" w:hAnsi="仿宋" w:eastAsia="仿宋_GB2312"/>
                <w:szCs w:val="21"/>
              </w:rPr>
            </w:pPr>
            <w:r>
              <w:rPr>
                <w:rFonts w:hint="eastAsia" w:ascii="仿宋_GB2312" w:hAnsi="仿宋" w:eastAsia="仿宋_GB2312"/>
                <w:szCs w:val="21"/>
              </w:rPr>
              <w:t>3</w:t>
            </w:r>
          </w:p>
        </w:tc>
        <w:tc>
          <w:tcPr>
            <w:tcW w:w="8919" w:type="dxa"/>
            <w:gridSpan w:val="2"/>
            <w:vAlign w:val="center"/>
          </w:tcPr>
          <w:p w14:paraId="2241D44F">
            <w:pPr>
              <w:rPr>
                <w:rFonts w:ascii="仿宋_GB2312" w:hAnsi="仿宋" w:eastAsia="仿宋_GB2312"/>
                <w:szCs w:val="21"/>
              </w:rPr>
            </w:pPr>
            <w:r>
              <w:rPr>
                <w:rFonts w:hint="eastAsia" w:ascii="仿宋_GB2312" w:hAnsi="仿宋" w:eastAsia="仿宋_GB2312"/>
                <w:szCs w:val="21"/>
              </w:rPr>
              <w:t>合同文本主要条款</w:t>
            </w:r>
          </w:p>
        </w:tc>
      </w:tr>
      <w:tr w14:paraId="461E0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21084DF8">
            <w:pPr>
              <w:jc w:val="center"/>
              <w:rPr>
                <w:rFonts w:ascii="仿宋_GB2312" w:hAnsi="仿宋" w:eastAsia="仿宋_GB2312"/>
                <w:szCs w:val="21"/>
              </w:rPr>
            </w:pPr>
          </w:p>
        </w:tc>
        <w:tc>
          <w:tcPr>
            <w:tcW w:w="8919" w:type="dxa"/>
            <w:gridSpan w:val="2"/>
            <w:vAlign w:val="center"/>
          </w:tcPr>
          <w:p w14:paraId="0E2D46A4">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需方(甲方)：西安医学院第一附属医院</w:t>
            </w:r>
          </w:p>
          <w:p w14:paraId="7F7B5AD8">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地      址：西安市莲湖区丰镐西路48号</w:t>
            </w:r>
          </w:p>
          <w:p w14:paraId="2B4CFAC7">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电      话：029-84277733</w:t>
            </w:r>
          </w:p>
          <w:p w14:paraId="59B64420">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编：710077</w:t>
            </w:r>
          </w:p>
          <w:p w14:paraId="701879AF">
            <w:pPr>
              <w:tabs>
                <w:tab w:val="left" w:pos="840"/>
              </w:tabs>
              <w:ind w:firstLine="422" w:firstLineChars="200"/>
              <w:jc w:val="left"/>
              <w:rPr>
                <w:rFonts w:ascii="仿宋_GB2312" w:hAnsi="仿宋" w:eastAsia="仿宋_GB2312" w:cs="Arial"/>
                <w:b/>
                <w:bCs/>
                <w:color w:val="000000"/>
                <w:kern w:val="28"/>
                <w:szCs w:val="21"/>
              </w:rPr>
            </w:pPr>
            <w:r>
              <w:rPr>
                <w:rFonts w:hint="eastAsia" w:ascii="仿宋_GB2312" w:hAnsi="仿宋" w:eastAsia="仿宋_GB2312" w:cs="Arial"/>
                <w:b/>
                <w:bCs/>
                <w:color w:val="000000"/>
                <w:kern w:val="28"/>
                <w:szCs w:val="21"/>
              </w:rPr>
              <w:t xml:space="preserve">供方(乙方)： </w:t>
            </w:r>
          </w:p>
          <w:p w14:paraId="5E1F0B0F">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地      址： </w:t>
            </w:r>
          </w:p>
          <w:p w14:paraId="447486CB">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 xml:space="preserve">电      话：    </w:t>
            </w:r>
          </w:p>
          <w:p w14:paraId="12B87E9A">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邮      编：</w:t>
            </w:r>
          </w:p>
          <w:p w14:paraId="65BBD9EB">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cs="Arial"/>
                <w:color w:val="000000"/>
                <w:kern w:val="28"/>
                <w:szCs w:val="21"/>
              </w:rPr>
              <w:t>联  系  人：</w:t>
            </w:r>
          </w:p>
          <w:p w14:paraId="01CB2428">
            <w:pPr>
              <w:tabs>
                <w:tab w:val="left" w:pos="840"/>
              </w:tabs>
              <w:ind w:firstLine="420" w:firstLineChars="200"/>
              <w:jc w:val="left"/>
              <w:rPr>
                <w:rFonts w:ascii="仿宋_GB2312" w:hAnsi="仿宋" w:eastAsia="仿宋_GB2312" w:cs="Arial"/>
                <w:color w:val="000000"/>
                <w:kern w:val="28"/>
                <w:szCs w:val="21"/>
                <w:u w:val="single"/>
              </w:rPr>
            </w:pPr>
            <w:r>
              <w:rPr>
                <w:rFonts w:hint="eastAsia" w:ascii="仿宋_GB2312" w:hAnsi="仿宋" w:eastAsia="仿宋_GB2312" w:cs="Arial"/>
                <w:color w:val="000000"/>
                <w:kern w:val="28"/>
                <w:szCs w:val="21"/>
              </w:rPr>
              <w:t>联系人手机：</w:t>
            </w:r>
          </w:p>
          <w:p w14:paraId="4CC83753">
            <w:pPr>
              <w:tabs>
                <w:tab w:val="left" w:pos="840"/>
              </w:tabs>
              <w:ind w:firstLine="420" w:firstLineChars="200"/>
              <w:jc w:val="left"/>
              <w:rPr>
                <w:rFonts w:ascii="仿宋_GB2312" w:hAnsi="仿宋" w:eastAsia="仿宋_GB2312" w:cs="Arial"/>
                <w:b/>
                <w:bCs/>
                <w:color w:val="000000"/>
                <w:kern w:val="28"/>
                <w:szCs w:val="21"/>
              </w:rPr>
            </w:pPr>
            <w:r>
              <w:rPr>
                <w:rFonts w:hint="eastAsia" w:ascii="仿宋_GB2312" w:hAnsi="仿宋" w:eastAsia="仿宋_GB2312" w:cs="Arial"/>
                <w:color w:val="000000"/>
                <w:kern w:val="28"/>
                <w:szCs w:val="21"/>
              </w:rPr>
              <w:t xml:space="preserve"> </w:t>
            </w:r>
            <w:r>
              <w:rPr>
                <w:rFonts w:hint="eastAsia" w:ascii="仿宋_GB2312" w:hAnsi="仿宋" w:eastAsia="仿宋_GB2312" w:cs="Arial"/>
                <w:b/>
                <w:bCs/>
                <w:color w:val="000000"/>
                <w:kern w:val="28"/>
                <w:szCs w:val="21"/>
              </w:rPr>
              <w:t>签约地点：西安市莲湖区</w:t>
            </w:r>
          </w:p>
          <w:p w14:paraId="232CBC9F">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根据《中华人民共和国民法典》的规定和</w:t>
            </w:r>
            <w:r>
              <w:rPr>
                <w:rFonts w:hint="eastAsia" w:ascii="仿宋_GB2312" w:hAnsi="仿宋" w:eastAsia="仿宋_GB2312" w:cs="Arial"/>
                <w:kern w:val="28"/>
                <w:szCs w:val="21"/>
              </w:rPr>
              <w:t>西安医学院第一附属医院</w:t>
            </w:r>
            <w:r>
              <w:rPr>
                <w:rFonts w:hint="eastAsia" w:ascii="仿宋_GB2312" w:hAnsi="仿宋" w:eastAsia="仿宋_GB2312"/>
                <w:szCs w:val="21"/>
              </w:rPr>
              <w:t>需求，本着平等互利、协商一致的原则，经甲乙双方友好协商，特订立本合同，共同遵守。</w:t>
            </w:r>
          </w:p>
          <w:p w14:paraId="0D49F763">
            <w:pPr>
              <w:pStyle w:val="4"/>
              <w:spacing w:line="240" w:lineRule="auto"/>
              <w:ind w:left="590" w:leftChars="0" w:firstLine="0" w:firstLineChars="0"/>
              <w:rPr>
                <w:rFonts w:ascii="仿宋_GB2312" w:hAnsi="仿宋" w:eastAsia="仿宋_GB2312"/>
                <w:b/>
                <w:bCs/>
                <w:szCs w:val="21"/>
              </w:rPr>
            </w:pPr>
            <w:r>
              <w:rPr>
                <w:rFonts w:hint="eastAsia" w:ascii="仿宋_GB2312" w:hAnsi="仿宋" w:eastAsia="仿宋_GB2312"/>
                <w:b/>
                <w:bCs/>
                <w:szCs w:val="21"/>
              </w:rPr>
              <w:t>一、</w:t>
            </w:r>
            <w:r>
              <w:rPr>
                <w:rFonts w:hint="eastAsia" w:ascii="仿宋_GB2312" w:hAnsi="仿宋" w:eastAsia="仿宋_GB2312"/>
                <w:szCs w:val="21"/>
              </w:rPr>
              <w:t>标的</w:t>
            </w:r>
            <w:r>
              <w:rPr>
                <w:rFonts w:hint="eastAsia" w:ascii="仿宋_GB2312" w:hAnsi="仿宋" w:eastAsia="仿宋_GB2312"/>
                <w:b/>
                <w:bCs/>
                <w:szCs w:val="21"/>
              </w:rPr>
              <w:t>名称、规格型号、</w:t>
            </w:r>
            <w:r>
              <w:rPr>
                <w:rFonts w:hint="eastAsia" w:ascii="仿宋_GB2312" w:hAnsi="仿宋" w:eastAsia="仿宋_GB2312"/>
                <w:szCs w:val="21"/>
              </w:rPr>
              <w:t>注册证号、</w:t>
            </w:r>
            <w:r>
              <w:rPr>
                <w:rFonts w:hint="eastAsia" w:ascii="仿宋_GB2312" w:hAnsi="仿宋" w:eastAsia="仿宋_GB2312"/>
                <w:b/>
                <w:bCs/>
                <w:szCs w:val="21"/>
              </w:rPr>
              <w:t>制造厂商、数量、价款</w:t>
            </w:r>
          </w:p>
          <w:tbl>
            <w:tblPr>
              <w:tblStyle w:val="5"/>
              <w:tblpPr w:leftFromText="180" w:rightFromText="180" w:vertAnchor="text" w:horzAnchor="margin" w:tblpY="12"/>
              <w:tblOverlap w:val="never"/>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26"/>
              <w:gridCol w:w="736"/>
              <w:gridCol w:w="1138"/>
              <w:gridCol w:w="1207"/>
              <w:gridCol w:w="974"/>
              <w:gridCol w:w="1030"/>
              <w:gridCol w:w="942"/>
              <w:gridCol w:w="1108"/>
            </w:tblGrid>
            <w:tr w14:paraId="7CA68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084" w:type="dxa"/>
                  <w:vAlign w:val="center"/>
                </w:tcPr>
                <w:p w14:paraId="13B5C01A">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标的名称</w:t>
                  </w:r>
                </w:p>
              </w:tc>
              <w:tc>
                <w:tcPr>
                  <w:tcW w:w="1262" w:type="dxa"/>
                  <w:gridSpan w:val="2"/>
                  <w:vAlign w:val="center"/>
                </w:tcPr>
                <w:p w14:paraId="47EC8A1F">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品牌及规格型号</w:t>
                  </w:r>
                </w:p>
              </w:tc>
              <w:tc>
                <w:tcPr>
                  <w:tcW w:w="1138" w:type="dxa"/>
                  <w:vAlign w:val="center"/>
                </w:tcPr>
                <w:p w14:paraId="094A4B2A">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注册证号</w:t>
                  </w:r>
                </w:p>
              </w:tc>
              <w:tc>
                <w:tcPr>
                  <w:tcW w:w="1207" w:type="dxa"/>
                  <w:vAlign w:val="center"/>
                </w:tcPr>
                <w:p w14:paraId="4C60557B">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产地及制造厂商</w:t>
                  </w:r>
                </w:p>
              </w:tc>
              <w:tc>
                <w:tcPr>
                  <w:tcW w:w="974" w:type="dxa"/>
                  <w:vAlign w:val="center"/>
                </w:tcPr>
                <w:p w14:paraId="15816F5B">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数量</w:t>
                  </w:r>
                </w:p>
              </w:tc>
              <w:tc>
                <w:tcPr>
                  <w:tcW w:w="1030" w:type="dxa"/>
                  <w:vAlign w:val="center"/>
                </w:tcPr>
                <w:p w14:paraId="110C0820">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单位</w:t>
                  </w:r>
                </w:p>
              </w:tc>
              <w:tc>
                <w:tcPr>
                  <w:tcW w:w="942" w:type="dxa"/>
                  <w:vAlign w:val="center"/>
                </w:tcPr>
                <w:p w14:paraId="6B1B9C50">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单价</w:t>
                  </w:r>
                </w:p>
              </w:tc>
              <w:tc>
                <w:tcPr>
                  <w:tcW w:w="1108" w:type="dxa"/>
                  <w:vAlign w:val="center"/>
                </w:tcPr>
                <w:p w14:paraId="78B6ED98">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小计</w:t>
                  </w:r>
                </w:p>
              </w:tc>
            </w:tr>
            <w:tr w14:paraId="68693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trPr>
              <w:tc>
                <w:tcPr>
                  <w:tcW w:w="1084" w:type="dxa"/>
                  <w:vAlign w:val="center"/>
                </w:tcPr>
                <w:p w14:paraId="14D9B014">
                  <w:pPr>
                    <w:pStyle w:val="4"/>
                    <w:spacing w:line="240" w:lineRule="auto"/>
                    <w:ind w:left="0" w:leftChars="0" w:firstLine="0" w:firstLineChars="0"/>
                    <w:jc w:val="center"/>
                    <w:rPr>
                      <w:rFonts w:ascii="仿宋_GB2312" w:hAnsi="仿宋" w:eastAsia="仿宋_GB2312"/>
                      <w:szCs w:val="21"/>
                    </w:rPr>
                  </w:pPr>
                </w:p>
              </w:tc>
              <w:tc>
                <w:tcPr>
                  <w:tcW w:w="1262" w:type="dxa"/>
                  <w:gridSpan w:val="2"/>
                  <w:vAlign w:val="center"/>
                </w:tcPr>
                <w:p w14:paraId="59F820CA">
                  <w:pPr>
                    <w:pStyle w:val="4"/>
                    <w:spacing w:line="240" w:lineRule="auto"/>
                    <w:ind w:left="0" w:leftChars="0" w:firstLine="0" w:firstLineChars="0"/>
                    <w:jc w:val="center"/>
                    <w:rPr>
                      <w:rFonts w:ascii="仿宋_GB2312" w:hAnsi="仿宋" w:eastAsia="仿宋_GB2312"/>
                      <w:szCs w:val="21"/>
                    </w:rPr>
                  </w:pPr>
                </w:p>
              </w:tc>
              <w:tc>
                <w:tcPr>
                  <w:tcW w:w="1138" w:type="dxa"/>
                  <w:vAlign w:val="center"/>
                </w:tcPr>
                <w:p w14:paraId="6A97DA96">
                  <w:pPr>
                    <w:pStyle w:val="4"/>
                    <w:spacing w:line="240" w:lineRule="auto"/>
                    <w:ind w:left="0" w:leftChars="0" w:firstLine="0" w:firstLineChars="0"/>
                    <w:jc w:val="center"/>
                    <w:rPr>
                      <w:rFonts w:ascii="仿宋_GB2312" w:hAnsi="仿宋" w:eastAsia="仿宋_GB2312"/>
                      <w:szCs w:val="21"/>
                    </w:rPr>
                  </w:pPr>
                </w:p>
              </w:tc>
              <w:tc>
                <w:tcPr>
                  <w:tcW w:w="1207" w:type="dxa"/>
                  <w:vAlign w:val="center"/>
                </w:tcPr>
                <w:p w14:paraId="5CEF8114">
                  <w:pPr>
                    <w:pStyle w:val="4"/>
                    <w:spacing w:line="240" w:lineRule="auto"/>
                    <w:ind w:left="0" w:leftChars="0" w:firstLine="0" w:firstLineChars="0"/>
                    <w:jc w:val="center"/>
                    <w:rPr>
                      <w:rFonts w:ascii="仿宋_GB2312" w:hAnsi="仿宋" w:eastAsia="仿宋_GB2312"/>
                      <w:szCs w:val="21"/>
                    </w:rPr>
                  </w:pPr>
                </w:p>
              </w:tc>
              <w:tc>
                <w:tcPr>
                  <w:tcW w:w="974" w:type="dxa"/>
                  <w:vAlign w:val="center"/>
                </w:tcPr>
                <w:p w14:paraId="5AF5A689">
                  <w:pPr>
                    <w:pStyle w:val="4"/>
                    <w:spacing w:line="240" w:lineRule="auto"/>
                    <w:ind w:left="0" w:leftChars="0" w:firstLine="0" w:firstLineChars="0"/>
                    <w:jc w:val="center"/>
                    <w:rPr>
                      <w:rFonts w:ascii="仿宋_GB2312" w:hAnsi="仿宋" w:eastAsia="仿宋_GB2312"/>
                      <w:szCs w:val="21"/>
                    </w:rPr>
                  </w:pPr>
                </w:p>
              </w:tc>
              <w:tc>
                <w:tcPr>
                  <w:tcW w:w="1030" w:type="dxa"/>
                  <w:vAlign w:val="center"/>
                </w:tcPr>
                <w:p w14:paraId="734F9622">
                  <w:pPr>
                    <w:pStyle w:val="4"/>
                    <w:spacing w:line="240" w:lineRule="auto"/>
                    <w:ind w:left="0" w:leftChars="0" w:firstLine="0" w:firstLineChars="0"/>
                    <w:jc w:val="center"/>
                    <w:rPr>
                      <w:rFonts w:ascii="仿宋_GB2312" w:hAnsi="仿宋" w:eastAsia="仿宋_GB2312"/>
                      <w:szCs w:val="21"/>
                    </w:rPr>
                  </w:pPr>
                </w:p>
              </w:tc>
              <w:tc>
                <w:tcPr>
                  <w:tcW w:w="942" w:type="dxa"/>
                  <w:vAlign w:val="center"/>
                </w:tcPr>
                <w:p w14:paraId="3F8BF782">
                  <w:pPr>
                    <w:pStyle w:val="4"/>
                    <w:spacing w:line="240" w:lineRule="auto"/>
                    <w:ind w:left="0" w:leftChars="0" w:firstLine="0" w:firstLineChars="0"/>
                    <w:jc w:val="center"/>
                    <w:rPr>
                      <w:rFonts w:ascii="仿宋_GB2312" w:hAnsi="仿宋" w:eastAsia="仿宋_GB2312"/>
                      <w:szCs w:val="21"/>
                    </w:rPr>
                  </w:pPr>
                </w:p>
              </w:tc>
              <w:tc>
                <w:tcPr>
                  <w:tcW w:w="1108" w:type="dxa"/>
                  <w:vAlign w:val="center"/>
                </w:tcPr>
                <w:p w14:paraId="50EC4AE9">
                  <w:pPr>
                    <w:pStyle w:val="4"/>
                    <w:spacing w:line="240" w:lineRule="auto"/>
                    <w:ind w:left="0" w:leftChars="0" w:firstLine="0" w:firstLineChars="0"/>
                    <w:jc w:val="center"/>
                    <w:rPr>
                      <w:rFonts w:ascii="仿宋_GB2312" w:hAnsi="仿宋" w:eastAsia="仿宋_GB2312"/>
                      <w:szCs w:val="21"/>
                    </w:rPr>
                  </w:pPr>
                </w:p>
              </w:tc>
            </w:tr>
            <w:tr w14:paraId="491B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1084" w:type="dxa"/>
                  <w:vMerge w:val="restart"/>
                  <w:vAlign w:val="center"/>
                </w:tcPr>
                <w:p w14:paraId="174C6EF9">
                  <w:pPr>
                    <w:pStyle w:val="4"/>
                    <w:spacing w:line="240" w:lineRule="auto"/>
                    <w:ind w:left="0" w:leftChars="0" w:firstLine="0" w:firstLineChars="0"/>
                    <w:jc w:val="center"/>
                    <w:rPr>
                      <w:rFonts w:ascii="仿宋_GB2312" w:hAnsi="仿宋" w:eastAsia="仿宋_GB2312"/>
                      <w:szCs w:val="21"/>
                    </w:rPr>
                  </w:pPr>
                  <w:r>
                    <w:rPr>
                      <w:rFonts w:hint="eastAsia" w:ascii="仿宋_GB2312" w:hAnsi="仿宋" w:eastAsia="仿宋_GB2312"/>
                      <w:szCs w:val="21"/>
                    </w:rPr>
                    <w:t>总价</w:t>
                  </w:r>
                </w:p>
              </w:tc>
              <w:tc>
                <w:tcPr>
                  <w:tcW w:w="526" w:type="dxa"/>
                </w:tcPr>
                <w:p w14:paraId="7258F93A">
                  <w:pPr>
                    <w:pStyle w:val="4"/>
                    <w:spacing w:line="240" w:lineRule="auto"/>
                    <w:ind w:left="0" w:leftChars="0" w:firstLine="0" w:firstLineChars="0"/>
                    <w:rPr>
                      <w:rFonts w:ascii="仿宋_GB2312" w:hAnsi="仿宋" w:eastAsia="仿宋_GB2312"/>
                      <w:szCs w:val="21"/>
                    </w:rPr>
                  </w:pPr>
                </w:p>
              </w:tc>
              <w:tc>
                <w:tcPr>
                  <w:tcW w:w="7135" w:type="dxa"/>
                  <w:gridSpan w:val="7"/>
                </w:tcPr>
                <w:p w14:paraId="39F78AD5">
                  <w:pPr>
                    <w:pStyle w:val="4"/>
                    <w:spacing w:line="240" w:lineRule="auto"/>
                    <w:ind w:left="0" w:leftChars="0" w:firstLine="0" w:firstLineChars="0"/>
                    <w:rPr>
                      <w:rFonts w:ascii="仿宋_GB2312" w:hAnsi="仿宋" w:eastAsia="仿宋_GB2312"/>
                      <w:szCs w:val="21"/>
                      <w:u w:val="single"/>
                    </w:rPr>
                  </w:pPr>
                  <w:r>
                    <w:rPr>
                      <w:rFonts w:hint="eastAsia" w:ascii="仿宋_GB2312" w:hAnsi="仿宋" w:eastAsia="仿宋_GB2312"/>
                      <w:szCs w:val="21"/>
                    </w:rPr>
                    <w:t>（小写）</w:t>
                  </w:r>
                  <w:r>
                    <w:rPr>
                      <w:rFonts w:hint="eastAsia" w:ascii="仿宋_GB2312" w:hAnsi="仿宋" w:eastAsia="仿宋_GB2312"/>
                      <w:szCs w:val="21"/>
                      <w:u w:val="single"/>
                    </w:rPr>
                    <w:t>￥     元</w:t>
                  </w:r>
                </w:p>
              </w:tc>
            </w:tr>
            <w:tr w14:paraId="3CEB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1084" w:type="dxa"/>
                  <w:vMerge w:val="continue"/>
                </w:tcPr>
                <w:p w14:paraId="47BB307C">
                  <w:pPr>
                    <w:pStyle w:val="4"/>
                    <w:spacing w:line="240" w:lineRule="auto"/>
                    <w:ind w:left="0" w:leftChars="0" w:firstLine="0" w:firstLineChars="0"/>
                    <w:rPr>
                      <w:rFonts w:ascii="仿宋_GB2312" w:hAnsi="仿宋" w:eastAsia="仿宋_GB2312"/>
                      <w:szCs w:val="21"/>
                    </w:rPr>
                  </w:pPr>
                </w:p>
              </w:tc>
              <w:tc>
                <w:tcPr>
                  <w:tcW w:w="526" w:type="dxa"/>
                </w:tcPr>
                <w:p w14:paraId="02DCF100">
                  <w:pPr>
                    <w:pStyle w:val="4"/>
                    <w:spacing w:line="240" w:lineRule="auto"/>
                    <w:ind w:left="0" w:leftChars="0" w:firstLine="0" w:firstLineChars="0"/>
                    <w:rPr>
                      <w:rFonts w:ascii="仿宋_GB2312" w:hAnsi="仿宋" w:eastAsia="仿宋_GB2312"/>
                      <w:b/>
                      <w:bCs/>
                      <w:szCs w:val="21"/>
                    </w:rPr>
                  </w:pPr>
                </w:p>
              </w:tc>
              <w:tc>
                <w:tcPr>
                  <w:tcW w:w="7135" w:type="dxa"/>
                  <w:gridSpan w:val="7"/>
                </w:tcPr>
                <w:p w14:paraId="455B17FA">
                  <w:pPr>
                    <w:pStyle w:val="4"/>
                    <w:spacing w:line="240" w:lineRule="auto"/>
                    <w:ind w:left="0" w:leftChars="0" w:firstLine="0" w:firstLineChars="0"/>
                    <w:rPr>
                      <w:rFonts w:ascii="仿宋_GB2312" w:hAnsi="仿宋" w:eastAsia="仿宋_GB2312"/>
                      <w:b/>
                      <w:bCs/>
                      <w:szCs w:val="21"/>
                      <w:u w:val="single"/>
                    </w:rPr>
                  </w:pPr>
                  <w:r>
                    <w:rPr>
                      <w:rFonts w:hint="eastAsia" w:ascii="仿宋_GB2312" w:hAnsi="仿宋" w:eastAsia="仿宋_GB2312"/>
                      <w:b/>
                      <w:bCs/>
                      <w:szCs w:val="21"/>
                    </w:rPr>
                    <w:t>（大写）</w:t>
                  </w:r>
                  <w:r>
                    <w:rPr>
                      <w:rFonts w:hint="eastAsia" w:ascii="仿宋_GB2312" w:hAnsi="仿宋" w:eastAsia="仿宋_GB2312"/>
                      <w:b/>
                      <w:bCs/>
                      <w:szCs w:val="21"/>
                      <w:u w:val="single"/>
                    </w:rPr>
                    <w:t xml:space="preserve">               </w:t>
                  </w:r>
                </w:p>
              </w:tc>
            </w:tr>
          </w:tbl>
          <w:p w14:paraId="7E2E916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说明：1、本合同价格为最终结算价格，包括安装、</w:t>
            </w:r>
            <w:r>
              <w:rPr>
                <w:rFonts w:hint="eastAsia" w:ascii="仿宋_GB2312" w:hAnsi="仿宋" w:eastAsia="仿宋_GB2312"/>
                <w:color w:val="auto"/>
                <w:szCs w:val="21"/>
              </w:rPr>
              <w:t>调试正常运行、验</w:t>
            </w:r>
            <w:r>
              <w:rPr>
                <w:rFonts w:hint="eastAsia" w:ascii="仿宋_GB2312" w:hAnsi="仿宋" w:eastAsia="仿宋_GB2312"/>
                <w:szCs w:val="21"/>
              </w:rPr>
              <w:t xml:space="preserve">收合格后的价格（含保修费、零备件和运杂费、保险费、安装费、验收费、人员培训费、关税及进口环节增值税等所有税费及其它一切费用）。   </w:t>
            </w:r>
          </w:p>
          <w:p w14:paraId="69E19BC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2、设备配置：详见招标文件、设备配置清单、装箱单及产品彩页（含增配件）。</w:t>
            </w:r>
          </w:p>
          <w:p w14:paraId="2DD2E071">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二、交货、安装的期限和地点</w:t>
            </w:r>
          </w:p>
          <w:p w14:paraId="6D7CC181">
            <w:pPr>
              <w:pStyle w:val="4"/>
              <w:spacing w:line="240" w:lineRule="auto"/>
              <w:ind w:left="0" w:leftChars="0" w:firstLine="420" w:firstLineChars="200"/>
              <w:rPr>
                <w:rFonts w:ascii="仿宋_GB2312" w:hAnsi="仿宋" w:eastAsia="仿宋_GB2312"/>
                <w:color w:val="FF0000"/>
                <w:szCs w:val="21"/>
                <w:lang w:val="en-GB"/>
              </w:rPr>
            </w:pPr>
            <w:r>
              <w:rPr>
                <w:rFonts w:hint="eastAsia" w:ascii="仿宋_GB2312" w:hAnsi="仿宋" w:eastAsia="仿宋_GB2312"/>
                <w:szCs w:val="21"/>
              </w:rPr>
              <w:t>（一）交货期：</w:t>
            </w:r>
            <w:r>
              <w:rPr>
                <w:rFonts w:hint="eastAsia" w:ascii="仿宋_GB2312" w:hAnsi="仿宋" w:eastAsia="仿宋_GB2312"/>
                <w:szCs w:val="21"/>
                <w:lang w:val="en-GB"/>
              </w:rPr>
              <w:t>合同签订之日起</w:t>
            </w:r>
            <w:r>
              <w:rPr>
                <w:rFonts w:hint="eastAsia" w:ascii="仿宋_GB2312" w:hAnsi="仿宋" w:eastAsia="仿宋_GB2312"/>
                <w:color w:val="auto"/>
                <w:szCs w:val="21"/>
                <w:u w:val="single"/>
              </w:rPr>
              <w:t xml:space="preserve">    </w:t>
            </w:r>
            <w:r>
              <w:rPr>
                <w:rFonts w:hint="eastAsia" w:ascii="仿宋_GB2312" w:hAnsi="仿宋" w:eastAsia="仿宋_GB2312"/>
                <w:color w:val="auto"/>
                <w:szCs w:val="21"/>
                <w:lang w:val="en-GB"/>
              </w:rPr>
              <w:t>个日历日内。</w:t>
            </w:r>
          </w:p>
          <w:p w14:paraId="7A58DEE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（二）交货及安装地点：西安医学院第一附属医院内。</w:t>
            </w:r>
          </w:p>
          <w:p w14:paraId="486F090B">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（三）安装完成时间：接甲方通知后</w:t>
            </w:r>
            <w:r>
              <w:rPr>
                <w:rFonts w:hint="eastAsia" w:ascii="仿宋_GB2312" w:hAnsi="仿宋" w:eastAsia="仿宋_GB2312"/>
                <w:szCs w:val="21"/>
                <w:u w:val="single"/>
              </w:rPr>
              <w:t xml:space="preserve">    </w:t>
            </w:r>
            <w:r>
              <w:rPr>
                <w:rFonts w:hint="eastAsia" w:ascii="仿宋_GB2312" w:hAnsi="仿宋" w:eastAsia="仿宋_GB2312"/>
                <w:szCs w:val="21"/>
              </w:rPr>
              <w:t>个工作日内全部调试完成，并可正常使用。</w:t>
            </w:r>
          </w:p>
          <w:p w14:paraId="155B984B">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三、验收标准和方法</w:t>
            </w:r>
          </w:p>
          <w:p w14:paraId="78087004">
            <w:pPr>
              <w:pStyle w:val="4"/>
              <w:spacing w:line="240" w:lineRule="auto"/>
              <w:ind w:left="0" w:leftChars="0" w:firstLine="420" w:firstLineChars="0"/>
              <w:rPr>
                <w:rFonts w:hint="eastAsia" w:ascii="仿宋" w:hAnsi="仿宋" w:eastAsia="仿宋" w:cs="仿宋"/>
                <w:szCs w:val="21"/>
              </w:rPr>
            </w:pPr>
            <w:r>
              <w:rPr>
                <w:rFonts w:hint="eastAsia" w:ascii="仿宋" w:hAnsi="仿宋" w:eastAsia="仿宋" w:cs="仿宋"/>
                <w:szCs w:val="21"/>
              </w:rPr>
              <w:t>（一）验收标准</w:t>
            </w:r>
          </w:p>
          <w:p w14:paraId="3603E640">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1、包装：符合出厂规范及符合《商品包装政府采购需求标准（试行）》、《快递包装政府采购需求标准（试行）》,包装完整无破损，防雨、防潮等各种符号标识清楚，进口设备应具有原产国标识且标识清楚。</w:t>
            </w:r>
          </w:p>
          <w:p w14:paraId="505C9498">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2、安装：符合本合同项下产品的全部相关国家安全技术标准及甲方要求。</w:t>
            </w:r>
          </w:p>
          <w:p w14:paraId="1F038664">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3、产品：</w:t>
            </w:r>
          </w:p>
          <w:p w14:paraId="2B22D77A">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（1）必须为原装、全新、合格产品，渠道合法</w:t>
            </w:r>
          </w:p>
          <w:p w14:paraId="3A64E330">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（2）符合供方与需方签订的合同</w:t>
            </w:r>
          </w:p>
          <w:p w14:paraId="5875E63C">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（3）符合招、投标文件的技术要求</w:t>
            </w:r>
          </w:p>
          <w:p w14:paraId="61B1C68B">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（4）符合产品原样本技术数据</w:t>
            </w:r>
          </w:p>
          <w:p w14:paraId="28FF3688">
            <w:pPr>
              <w:ind w:firstLine="304" w:firstLineChars="145"/>
              <w:rPr>
                <w:rFonts w:hint="eastAsia" w:ascii="仿宋" w:hAnsi="仿宋" w:eastAsia="仿宋" w:cs="仿宋"/>
                <w:szCs w:val="21"/>
              </w:rPr>
            </w:pPr>
            <w:r>
              <w:rPr>
                <w:rFonts w:hint="eastAsia" w:ascii="仿宋" w:hAnsi="仿宋" w:eastAsia="仿宋" w:cs="仿宋"/>
                <w:szCs w:val="21"/>
              </w:rPr>
              <w:t>（5）符合国家有关技术规范要求和安全、环保、节能等强制性标准, 验收的手续及费用由投标单位自行办理和承担，招标单位提供相关辅助。</w:t>
            </w:r>
          </w:p>
          <w:p w14:paraId="6227F742">
            <w:pPr>
              <w:pStyle w:val="4"/>
              <w:spacing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（6）产品单证齐全（质量合格证、装箱清单、操作手册和维修手册等，如为进口产品，交货前须提供原产地证明、原厂生产检验合格证和海关手续等）。</w:t>
            </w:r>
          </w:p>
          <w:p w14:paraId="2E361E3A">
            <w:pPr>
              <w:pStyle w:val="4"/>
              <w:spacing w:line="240" w:lineRule="auto"/>
              <w:ind w:left="0" w:leftChars="0" w:firstLine="420" w:firstLineChars="200"/>
              <w:rPr>
                <w:rFonts w:hint="eastAsia" w:ascii="楷体_GB2312" w:hAnsi="仿宋" w:eastAsia="楷体_GB2312"/>
                <w:szCs w:val="21"/>
              </w:rPr>
            </w:pPr>
            <w:r>
              <w:rPr>
                <w:rFonts w:hint="eastAsia" w:ascii="仿宋" w:hAnsi="仿宋" w:eastAsia="仿宋" w:cs="仿宋"/>
                <w:szCs w:val="21"/>
                <w:lang w:eastAsia="zh-CN"/>
              </w:rPr>
              <w:t>（</w:t>
            </w:r>
            <w:r>
              <w:rPr>
                <w:rFonts w:hint="eastAsia" w:ascii="仿宋" w:hAnsi="仿宋" w:eastAsia="仿宋" w:cs="仿宋"/>
                <w:szCs w:val="21"/>
                <w:lang w:val="en-US" w:eastAsia="zh-CN"/>
              </w:rPr>
              <w:t>7</w:t>
            </w:r>
            <w:r>
              <w:rPr>
                <w:rFonts w:hint="eastAsia" w:ascii="仿宋" w:hAnsi="仿宋" w:eastAsia="仿宋" w:cs="仿宋"/>
                <w:szCs w:val="21"/>
                <w:lang w:eastAsia="zh-CN"/>
              </w:rPr>
              <w:t>）</w:t>
            </w:r>
            <w:r>
              <w:rPr>
                <w:rFonts w:hint="eastAsia" w:ascii="仿宋" w:hAnsi="仿宋" w:eastAsia="仿宋" w:cs="仿宋"/>
                <w:szCs w:val="21"/>
                <w:lang w:val="en-US" w:eastAsia="zh-CN"/>
              </w:rPr>
              <w:t>国产产品到货安装时生产日期应在6个月以内，进口产品到货安装时生产日期应在1年以内。</w:t>
            </w:r>
          </w:p>
          <w:p w14:paraId="0250A8B3">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（二）验收方法</w:t>
            </w:r>
          </w:p>
          <w:p w14:paraId="324B6F56">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w:t>
            </w:r>
          </w:p>
          <w:p w14:paraId="0158C680">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验收过程中发现设备存在瑕疵或质量问题的，乙方应无条件配合甲方进行维修、更换或退货工作，因此给甲方造成损失的，乙方就全部损失承担赔偿责任。</w:t>
            </w:r>
          </w:p>
          <w:p w14:paraId="2A8B09FF">
            <w:pPr>
              <w:pStyle w:val="4"/>
              <w:tabs>
                <w:tab w:val="left" w:pos="360"/>
              </w:tabs>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在履约验收环节，乙方须按照《商品包装政府采购需求标准（试行）》、《快递包装政府采购需求标准（试行）》的环保要求出具检测报告。</w:t>
            </w:r>
          </w:p>
          <w:p w14:paraId="78C152E1">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四、售后服务及保修</w:t>
            </w:r>
          </w:p>
          <w:p w14:paraId="7038D9A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（一）到货及安装：所有设备均由乙方免费送货上门并安装调试。</w:t>
            </w:r>
          </w:p>
          <w:p w14:paraId="5A88F9EA">
            <w:pPr>
              <w:ind w:firstLine="420" w:firstLineChars="200"/>
              <w:rPr>
                <w:rFonts w:hint="eastAsia" w:ascii="仿宋" w:hAnsi="仿宋" w:eastAsia="仿宋" w:cs="仿宋"/>
                <w:color w:val="auto"/>
                <w:sz w:val="21"/>
                <w:szCs w:val="21"/>
              </w:rPr>
            </w:pPr>
            <w:r>
              <w:rPr>
                <w:rFonts w:hint="eastAsia" w:ascii="仿宋_GB2312" w:hAnsi="仿宋" w:eastAsia="仿宋_GB2312"/>
                <w:szCs w:val="21"/>
              </w:rPr>
              <w:t>（二）</w:t>
            </w:r>
            <w:r>
              <w:rPr>
                <w:rFonts w:hint="eastAsia" w:ascii="仿宋" w:hAnsi="仿宋" w:eastAsia="仿宋" w:cs="仿宋"/>
                <w:color w:val="auto"/>
                <w:sz w:val="21"/>
                <w:szCs w:val="21"/>
              </w:rPr>
              <w:t>厂家承诺整机</w:t>
            </w:r>
            <w:r>
              <w:rPr>
                <w:rFonts w:hint="eastAsia" w:ascii="仿宋" w:hAnsi="仿宋" w:eastAsia="仿宋" w:cs="仿宋"/>
                <w:color w:val="auto"/>
                <w:sz w:val="21"/>
                <w:szCs w:val="21"/>
                <w:lang w:val="en-US" w:eastAsia="zh-CN"/>
              </w:rPr>
              <w:t>自设备验收合格之日起</w:t>
            </w:r>
            <w:r>
              <w:rPr>
                <w:rFonts w:hint="eastAsia" w:ascii="仿宋" w:hAnsi="仿宋" w:eastAsia="仿宋" w:cs="仿宋"/>
                <w:color w:val="auto"/>
                <w:sz w:val="21"/>
                <w:szCs w:val="21"/>
                <w:u w:val="single"/>
              </w:rPr>
              <w:t>2</w:t>
            </w:r>
            <w:r>
              <w:rPr>
                <w:rFonts w:hint="eastAsia" w:ascii="仿宋" w:hAnsi="仿宋" w:eastAsia="仿宋" w:cs="仿宋"/>
                <w:color w:val="auto"/>
                <w:sz w:val="21"/>
                <w:szCs w:val="21"/>
              </w:rPr>
              <w:t>年保修，</w:t>
            </w:r>
            <w:r>
              <w:rPr>
                <w:rFonts w:hint="eastAsia" w:ascii="仿宋" w:hAnsi="仿宋" w:eastAsia="仿宋" w:cs="仿宋"/>
                <w:color w:val="auto"/>
                <w:sz w:val="21"/>
                <w:szCs w:val="21"/>
                <w:lang w:val="en-US" w:eastAsia="zh-CN"/>
              </w:rPr>
              <w:t>在验收前需由中标单位向采购人提供与生产厂家签订的原厂维保协议备案。</w:t>
            </w:r>
            <w:r>
              <w:rPr>
                <w:rFonts w:hint="eastAsia" w:ascii="仿宋" w:hAnsi="仿宋" w:eastAsia="仿宋" w:cs="仿宋"/>
                <w:color w:val="auto"/>
                <w:sz w:val="21"/>
                <w:szCs w:val="21"/>
              </w:rPr>
              <w:t>终身维修,保修期满后免费维修，只收取材料成本费并保证零配件供应</w:t>
            </w:r>
            <w:r>
              <w:rPr>
                <w:rFonts w:hint="eastAsia" w:ascii="仿宋" w:hAnsi="仿宋" w:eastAsia="仿宋" w:cs="仿宋"/>
                <w:color w:val="auto"/>
                <w:sz w:val="21"/>
                <w:szCs w:val="21"/>
                <w:u w:val="single"/>
              </w:rPr>
              <w:t xml:space="preserve"> 10 </w:t>
            </w:r>
            <w:r>
              <w:rPr>
                <w:rFonts w:hint="eastAsia" w:ascii="仿宋" w:hAnsi="仿宋" w:eastAsia="仿宋" w:cs="仿宋"/>
                <w:color w:val="auto"/>
                <w:sz w:val="21"/>
                <w:szCs w:val="21"/>
              </w:rPr>
              <w:t>年。保修期内维修必须由生产厂家而非经销商负责维修服务，且负责提供技术服务与技术支持，所有设备配套软件免费升级至最新版本。</w:t>
            </w:r>
          </w:p>
          <w:p w14:paraId="1621D8BC">
            <w:pPr>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主机</w:t>
            </w:r>
            <w:r>
              <w:rPr>
                <w:rFonts w:hint="eastAsia" w:ascii="仿宋" w:hAnsi="仿宋" w:eastAsia="仿宋" w:cs="仿宋"/>
                <w:color w:val="auto"/>
                <w:sz w:val="21"/>
                <w:szCs w:val="21"/>
                <w:u w:val="single"/>
              </w:rPr>
              <w:t>2年</w:t>
            </w:r>
            <w:r>
              <w:rPr>
                <w:rFonts w:hint="eastAsia" w:ascii="仿宋" w:hAnsi="仿宋" w:eastAsia="仿宋" w:cs="仿宋"/>
                <w:color w:val="auto"/>
                <w:sz w:val="21"/>
                <w:szCs w:val="21"/>
              </w:rPr>
              <w:t>保修指：由厂家工程师安装完成，经医院或第三方检测、验收合格之日起的</w:t>
            </w:r>
            <w:r>
              <w:rPr>
                <w:rFonts w:hint="eastAsia" w:ascii="仿宋" w:hAnsi="仿宋" w:eastAsia="仿宋" w:cs="仿宋"/>
                <w:color w:val="auto"/>
                <w:sz w:val="21"/>
                <w:szCs w:val="21"/>
                <w:u w:val="single"/>
              </w:rPr>
              <w:t>2年</w:t>
            </w:r>
            <w:r>
              <w:rPr>
                <w:rFonts w:hint="eastAsia" w:ascii="仿宋" w:hAnsi="仿宋" w:eastAsia="仿宋" w:cs="仿宋"/>
                <w:color w:val="auto"/>
                <w:sz w:val="21"/>
                <w:szCs w:val="21"/>
              </w:rPr>
              <w:t>之内为保修期。在保修期内，任何由于机器质量原因或正常使用引起的故障及损坏，除人为因素损坏外，由厂家提供原厂配件更换。保修期过后，按合同约定执行。</w:t>
            </w:r>
          </w:p>
          <w:p w14:paraId="7A90FDE8">
            <w:pPr>
              <w:pStyle w:val="4"/>
              <w:spacing w:line="240" w:lineRule="auto"/>
              <w:ind w:left="0" w:leftChars="0" w:firstLine="420" w:firstLineChars="200"/>
              <w:rPr>
                <w:rFonts w:ascii="仿宋_GB2312" w:hAnsi="仿宋" w:eastAsia="仿宋_GB2312"/>
                <w:szCs w:val="21"/>
                <w:u w:val="single"/>
              </w:rPr>
            </w:pPr>
            <w:r>
              <w:rPr>
                <w:rFonts w:hint="eastAsia" w:ascii="仿宋" w:hAnsi="仿宋" w:eastAsia="仿宋" w:cs="仿宋"/>
                <w:color w:val="auto"/>
                <w:sz w:val="21"/>
                <w:szCs w:val="21"/>
              </w:rPr>
              <w:t>终身维修指：厂家对所售产品提供终身维修服务。如果因为该产品生产年限过长，零配件无法供应，维修方案将与用户协商解决。</w:t>
            </w:r>
          </w:p>
          <w:p w14:paraId="3A5A4DF4">
            <w:pPr>
              <w:pStyle w:val="4"/>
              <w:spacing w:line="240" w:lineRule="auto"/>
              <w:ind w:left="0" w:leftChars="0" w:firstLine="420" w:firstLineChars="200"/>
              <w:rPr>
                <w:rFonts w:ascii="仿宋_GB2312" w:hAnsi="仿宋" w:eastAsia="仿宋_GB2312"/>
                <w:color w:val="auto"/>
                <w:szCs w:val="21"/>
              </w:rPr>
            </w:pPr>
            <w:r>
              <w:rPr>
                <w:rFonts w:hint="eastAsia" w:ascii="仿宋_GB2312" w:hAnsi="仿宋" w:eastAsia="仿宋_GB2312"/>
                <w:szCs w:val="21"/>
              </w:rPr>
              <w:t>（三）维修服务：响应时间</w:t>
            </w:r>
            <w:r>
              <w:rPr>
                <w:rFonts w:hint="eastAsia" w:ascii="仿宋_GB2312" w:hAnsi="仿宋" w:eastAsia="仿宋_GB2312"/>
                <w:szCs w:val="21"/>
                <w:u w:val="single"/>
              </w:rPr>
              <w:t xml:space="preserve"> 1 </w:t>
            </w:r>
            <w:r>
              <w:rPr>
                <w:rFonts w:hint="eastAsia" w:ascii="仿宋_GB2312" w:hAnsi="仿宋" w:eastAsia="仿宋_GB2312"/>
                <w:szCs w:val="21"/>
              </w:rPr>
              <w:t>小时，</w:t>
            </w:r>
            <w:r>
              <w:rPr>
                <w:rFonts w:hint="eastAsia" w:ascii="仿宋_GB2312" w:hAnsi="仿宋" w:eastAsia="仿宋_GB2312"/>
                <w:szCs w:val="21"/>
                <w:u w:val="single"/>
              </w:rPr>
              <w:t>4</w:t>
            </w:r>
            <w:r>
              <w:rPr>
                <w:rFonts w:hint="eastAsia" w:ascii="仿宋_GB2312" w:hAnsi="仿宋" w:eastAsia="仿宋_GB2312"/>
                <w:szCs w:val="21"/>
              </w:rPr>
              <w:t>小时内到场进行维修，</w:t>
            </w:r>
            <w:r>
              <w:rPr>
                <w:rFonts w:hint="eastAsia" w:ascii="仿宋_GB2312" w:hAnsi="仿宋" w:eastAsia="仿宋_GB2312"/>
                <w:szCs w:val="21"/>
                <w:u w:val="single"/>
              </w:rPr>
              <w:t>24</w:t>
            </w:r>
            <w:r>
              <w:rPr>
                <w:rFonts w:hint="eastAsia" w:ascii="仿宋_GB2312" w:hAnsi="仿宋" w:eastAsia="仿宋_GB2312"/>
                <w:szCs w:val="21"/>
              </w:rPr>
              <w:t>小时内修复，如果超过</w:t>
            </w:r>
            <w:r>
              <w:rPr>
                <w:rFonts w:hint="eastAsia" w:ascii="仿宋_GB2312" w:hAnsi="仿宋" w:eastAsia="仿宋_GB2312"/>
                <w:szCs w:val="21"/>
                <w:u w:val="single"/>
              </w:rPr>
              <w:t>48</w:t>
            </w:r>
            <w:r>
              <w:rPr>
                <w:rFonts w:hint="eastAsia" w:ascii="仿宋_GB2312" w:hAnsi="仿宋" w:eastAsia="仿宋_GB2312"/>
                <w:szCs w:val="21"/>
              </w:rPr>
              <w:t>小时不能修复，提供同档次的备用机。质保期间，若同一硬件壹个月内连续2次出现同一故障（非人为情况），</w:t>
            </w:r>
            <w:r>
              <w:rPr>
                <w:rFonts w:hint="eastAsia" w:ascii="仿宋_GB2312" w:hAnsi="仿宋" w:eastAsia="仿宋_GB2312"/>
                <w:color w:val="auto"/>
                <w:szCs w:val="21"/>
              </w:rPr>
              <w:t>乙方无条件为甲方无偿更换为同一档次机器。</w:t>
            </w:r>
          </w:p>
          <w:p w14:paraId="00937FFB">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（四）每</w:t>
            </w:r>
            <w:r>
              <w:rPr>
                <w:rFonts w:hint="eastAsia" w:ascii="仿宋_GB2312" w:hAnsi="仿宋" w:eastAsia="仿宋_GB2312"/>
                <w:szCs w:val="21"/>
                <w:lang w:val="en-US" w:eastAsia="zh-CN"/>
              </w:rPr>
              <w:t>半年</w:t>
            </w:r>
            <w:r>
              <w:rPr>
                <w:rFonts w:hint="eastAsia" w:ascii="仿宋_GB2312" w:hAnsi="仿宋" w:eastAsia="仿宋_GB2312"/>
                <w:szCs w:val="21"/>
              </w:rPr>
              <w:t>免费上门对设备进行专业的保养和维护不少于两次。</w:t>
            </w:r>
          </w:p>
          <w:p w14:paraId="7617F3DC">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（五）售后服务部门（单位）</w:t>
            </w:r>
          </w:p>
          <w:p w14:paraId="2A6D5766">
            <w:pPr>
              <w:tabs>
                <w:tab w:val="left" w:pos="840"/>
              </w:tabs>
              <w:ind w:firstLine="420" w:firstLineChars="200"/>
              <w:jc w:val="left"/>
              <w:rPr>
                <w:rFonts w:ascii="仿宋_GB2312" w:hAnsi="仿宋" w:eastAsia="仿宋_GB2312"/>
                <w:b/>
                <w:bCs/>
                <w:szCs w:val="21"/>
                <w:u w:val="single"/>
              </w:rPr>
            </w:pPr>
            <w:r>
              <w:rPr>
                <w:rFonts w:hint="eastAsia" w:ascii="仿宋_GB2312" w:hAnsi="仿宋" w:eastAsia="仿宋_GB2312"/>
                <w:szCs w:val="21"/>
              </w:rPr>
              <w:t xml:space="preserve">名  称： </w:t>
            </w:r>
          </w:p>
          <w:p w14:paraId="1AF0B801">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 xml:space="preserve">地  址： </w:t>
            </w:r>
          </w:p>
          <w:p w14:paraId="69B9DCB8">
            <w:pPr>
              <w:tabs>
                <w:tab w:val="left" w:pos="840"/>
              </w:tabs>
              <w:ind w:firstLine="420" w:firstLineChars="200"/>
              <w:jc w:val="left"/>
              <w:rPr>
                <w:rFonts w:ascii="仿宋_GB2312" w:hAnsi="仿宋" w:eastAsia="仿宋_GB2312"/>
                <w:szCs w:val="21"/>
                <w:u w:val="single"/>
              </w:rPr>
            </w:pPr>
            <w:r>
              <w:rPr>
                <w:rFonts w:hint="eastAsia" w:ascii="仿宋_GB2312" w:hAnsi="仿宋" w:eastAsia="仿宋_GB2312"/>
                <w:szCs w:val="21"/>
              </w:rPr>
              <w:t xml:space="preserve">联系人： </w:t>
            </w:r>
          </w:p>
          <w:p w14:paraId="09EEB280">
            <w:pPr>
              <w:tabs>
                <w:tab w:val="left" w:pos="840"/>
              </w:tabs>
              <w:ind w:firstLine="420" w:firstLineChars="200"/>
              <w:jc w:val="left"/>
              <w:rPr>
                <w:rFonts w:ascii="仿宋_GB2312" w:hAnsi="仿宋" w:eastAsia="仿宋_GB2312" w:cs="Arial"/>
                <w:color w:val="000000"/>
                <w:kern w:val="28"/>
                <w:szCs w:val="21"/>
              </w:rPr>
            </w:pPr>
            <w:r>
              <w:rPr>
                <w:rFonts w:hint="eastAsia" w:ascii="仿宋_GB2312" w:hAnsi="仿宋" w:eastAsia="仿宋_GB2312"/>
                <w:szCs w:val="21"/>
              </w:rPr>
              <w:t>电  话：</w:t>
            </w:r>
            <w:r>
              <w:rPr>
                <w:rFonts w:hint="eastAsia" w:ascii="仿宋_GB2312" w:hAnsi="仿宋" w:eastAsia="仿宋_GB2312" w:cs="Arial"/>
                <w:color w:val="000000"/>
                <w:kern w:val="28"/>
                <w:szCs w:val="21"/>
              </w:rPr>
              <w:t xml:space="preserve"> </w:t>
            </w:r>
          </w:p>
          <w:p w14:paraId="2D38AC20">
            <w:pPr>
              <w:tabs>
                <w:tab w:val="left" w:pos="840"/>
              </w:tabs>
              <w:ind w:firstLine="420" w:firstLineChars="200"/>
              <w:jc w:val="left"/>
              <w:rPr>
                <w:rFonts w:ascii="仿宋_GB2312" w:hAnsi="仿宋" w:eastAsia="仿宋_GB2312"/>
                <w:szCs w:val="21"/>
              </w:rPr>
            </w:pPr>
            <w:r>
              <w:rPr>
                <w:rFonts w:hint="eastAsia" w:ascii="仿宋_GB2312" w:hAnsi="仿宋" w:eastAsia="仿宋_GB2312"/>
                <w:szCs w:val="21"/>
              </w:rPr>
              <w:t>（六）开机率：包修期内，设备年开机率达到98％，故障率低于2％。累计停机时长每满24小时一次，包修期顺延5个工作日（停机时长24小时，包修期顺延5个工作日，停机时长48小时，包修期顺延10个工作日，以此类推）。</w:t>
            </w:r>
          </w:p>
          <w:p w14:paraId="56CBB07B">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五、人员培训</w:t>
            </w:r>
          </w:p>
          <w:p w14:paraId="00BB636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装机后乙方为甲方相关医护、技术及维修人员提供培训，直至双方认证合格，培训约定如下：</w:t>
            </w:r>
          </w:p>
          <w:p w14:paraId="0D399128">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（一）培训对象及人数：</w:t>
            </w:r>
            <w:r>
              <w:rPr>
                <w:rFonts w:hint="eastAsia" w:ascii="仿宋_GB2312" w:hAnsi="仿宋" w:eastAsia="仿宋_GB2312"/>
                <w:color w:val="000000"/>
                <w:szCs w:val="21"/>
                <w:u w:val="single"/>
              </w:rPr>
              <w:t xml:space="preserve">技术操作和维修人员3-5人   </w:t>
            </w:r>
          </w:p>
          <w:p w14:paraId="1E22BF8B">
            <w:pPr>
              <w:tabs>
                <w:tab w:val="left" w:pos="360"/>
              </w:tabs>
              <w:topLinePunct/>
              <w:ind w:firstLine="420" w:firstLineChars="200"/>
              <w:rPr>
                <w:rFonts w:ascii="仿宋_GB2312" w:hAnsi="仿宋" w:eastAsia="仿宋_GB2312"/>
                <w:color w:val="000000"/>
                <w:szCs w:val="21"/>
                <w:u w:val="single"/>
              </w:rPr>
            </w:pPr>
            <w:r>
              <w:rPr>
                <w:rFonts w:hint="eastAsia" w:ascii="仿宋_GB2312" w:hAnsi="仿宋" w:eastAsia="仿宋_GB2312"/>
                <w:color w:val="000000"/>
                <w:szCs w:val="21"/>
              </w:rPr>
              <w:t>（二）培训方式及地点：</w:t>
            </w:r>
            <w:r>
              <w:rPr>
                <w:rFonts w:hint="eastAsia" w:ascii="仿宋_GB2312" w:hAnsi="仿宋" w:eastAsia="仿宋_GB2312"/>
                <w:color w:val="000000"/>
                <w:szCs w:val="21"/>
                <w:u w:val="single"/>
              </w:rPr>
              <w:t xml:space="preserve">     现场培训            </w:t>
            </w:r>
          </w:p>
          <w:p w14:paraId="69EBF265">
            <w:pPr>
              <w:pStyle w:val="4"/>
              <w:spacing w:line="240" w:lineRule="auto"/>
              <w:ind w:left="0" w:leftChars="0" w:firstLine="420" w:firstLineChars="200"/>
              <w:rPr>
                <w:rFonts w:ascii="仿宋_GB2312" w:hAnsi="仿宋" w:eastAsia="仿宋_GB2312"/>
                <w:b/>
                <w:bCs/>
                <w:szCs w:val="21"/>
              </w:rPr>
            </w:pPr>
            <w:r>
              <w:rPr>
                <w:rFonts w:hint="eastAsia" w:ascii="仿宋_GB2312" w:hAnsi="仿宋" w:eastAsia="仿宋_GB2312"/>
                <w:szCs w:val="21"/>
              </w:rPr>
              <w:t>（三）培训时间及费用：</w:t>
            </w:r>
            <w:r>
              <w:rPr>
                <w:rFonts w:hint="eastAsia" w:ascii="仿宋_GB2312" w:hAnsi="仿宋" w:eastAsia="仿宋_GB2312"/>
                <w:szCs w:val="21"/>
                <w:u w:val="single"/>
              </w:rPr>
              <w:t>免费培训，直至双方认证合格</w:t>
            </w:r>
          </w:p>
          <w:p w14:paraId="19C7B863">
            <w:pPr>
              <w:tabs>
                <w:tab w:val="left" w:pos="360"/>
              </w:tabs>
              <w:topLinePunct/>
              <w:ind w:firstLine="422" w:firstLineChars="200"/>
              <w:rPr>
                <w:rFonts w:ascii="仿宋_GB2312" w:hAnsi="仿宋" w:eastAsia="仿宋_GB2312"/>
                <w:b/>
                <w:bCs/>
                <w:szCs w:val="21"/>
              </w:rPr>
            </w:pPr>
            <w:r>
              <w:rPr>
                <w:rFonts w:hint="eastAsia" w:ascii="仿宋_GB2312" w:hAnsi="仿宋" w:eastAsia="仿宋_GB2312"/>
                <w:b/>
                <w:bCs/>
                <w:szCs w:val="21"/>
              </w:rPr>
              <w:t>六、付款方式和条件</w:t>
            </w:r>
          </w:p>
          <w:p w14:paraId="0F186C6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（一）设备安装调试验收合格（以甲方出具的书面验收合格文件为准）后支付合同总价的30%，半年期满后支付合同总价的</w:t>
            </w:r>
            <w:r>
              <w:rPr>
                <w:rFonts w:hint="eastAsia" w:ascii="仿宋_GB2312" w:hAnsi="仿宋" w:eastAsia="仿宋_GB2312"/>
                <w:szCs w:val="21"/>
                <w:lang w:val="en-US" w:eastAsia="zh-CN"/>
              </w:rPr>
              <w:t>6</w:t>
            </w:r>
            <w:r>
              <w:rPr>
                <w:rFonts w:hint="eastAsia" w:ascii="仿宋_GB2312" w:hAnsi="仿宋" w:eastAsia="仿宋_GB2312"/>
                <w:szCs w:val="21"/>
              </w:rPr>
              <w:t>0%,壹年期满后支付剩余的10%，至此货款全部结清。</w:t>
            </w:r>
          </w:p>
          <w:p w14:paraId="529A2C1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（二）支付方式</w:t>
            </w:r>
          </w:p>
          <w:p w14:paraId="113DB45E">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通过银行转帐方式将款项转入乙方银行帐户。乙方银行帐户信息如下:</w:t>
            </w:r>
          </w:p>
          <w:p w14:paraId="39C1C2E9">
            <w:pPr>
              <w:pStyle w:val="4"/>
              <w:tabs>
                <w:tab w:val="left" w:pos="180"/>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帐户全称: </w:t>
            </w:r>
          </w:p>
          <w:p w14:paraId="598F2BA0">
            <w:pPr>
              <w:pStyle w:val="4"/>
              <w:tabs>
                <w:tab w:val="left" w:pos="9360"/>
              </w:tabs>
              <w:spacing w:line="240" w:lineRule="auto"/>
              <w:ind w:left="560" w:leftChars="0" w:firstLine="0" w:firstLineChars="0"/>
              <w:rPr>
                <w:rFonts w:ascii="仿宋_GB2312" w:hAnsi="仿宋" w:eastAsia="仿宋_GB2312"/>
                <w:color w:val="auto"/>
                <w:szCs w:val="21"/>
                <w:u w:val="single"/>
              </w:rPr>
            </w:pPr>
            <w:r>
              <w:rPr>
                <w:rFonts w:hint="eastAsia" w:ascii="仿宋_GB2312" w:hAnsi="仿宋" w:eastAsia="仿宋_GB2312"/>
                <w:color w:val="auto"/>
                <w:szCs w:val="21"/>
              </w:rPr>
              <w:t xml:space="preserve">帐    号: </w:t>
            </w:r>
          </w:p>
          <w:p w14:paraId="280F7847">
            <w:pPr>
              <w:pStyle w:val="4"/>
              <w:tabs>
                <w:tab w:val="left" w:pos="9360"/>
              </w:tabs>
              <w:spacing w:line="240" w:lineRule="auto"/>
              <w:ind w:left="560" w:leftChars="0" w:firstLine="0" w:firstLineChars="0"/>
              <w:rPr>
                <w:rFonts w:ascii="仿宋_GB2312" w:hAnsi="仿宋" w:eastAsia="仿宋_GB2312"/>
                <w:color w:val="auto"/>
                <w:szCs w:val="21"/>
              </w:rPr>
            </w:pPr>
            <w:r>
              <w:rPr>
                <w:rFonts w:hint="eastAsia" w:ascii="仿宋_GB2312" w:hAnsi="仿宋" w:eastAsia="仿宋_GB2312"/>
                <w:color w:val="auto"/>
                <w:szCs w:val="21"/>
              </w:rPr>
              <w:t xml:space="preserve">开 户 行: </w:t>
            </w:r>
          </w:p>
          <w:p w14:paraId="1278E111">
            <w:pPr>
              <w:pStyle w:val="4"/>
              <w:tabs>
                <w:tab w:val="left" w:pos="9360"/>
              </w:tabs>
              <w:spacing w:line="240" w:lineRule="auto"/>
              <w:ind w:left="0" w:leftChars="0" w:firstLine="420" w:firstLineChars="200"/>
              <w:rPr>
                <w:rFonts w:ascii="仿宋_GB2312" w:hAnsi="仿宋" w:eastAsia="仿宋_GB2312"/>
                <w:szCs w:val="21"/>
                <w:u w:val="single"/>
              </w:rPr>
            </w:pPr>
            <w:r>
              <w:rPr>
                <w:rFonts w:hint="eastAsia" w:ascii="仿宋_GB2312" w:hAnsi="仿宋" w:eastAsia="仿宋_GB2312"/>
                <w:szCs w:val="21"/>
                <w:u w:val="single"/>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1304B885">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（三）结算要求：乙方应在设备验收合格后三日内，向甲方一次性开具符合要求的合同全</w:t>
            </w:r>
            <w:r>
              <w:rPr>
                <w:rFonts w:hint="eastAsia" w:ascii="仿宋_GB2312" w:hAnsi="仿宋" w:eastAsia="仿宋_GB2312"/>
                <w:color w:val="auto"/>
                <w:szCs w:val="21"/>
              </w:rPr>
              <w:t>款正式发票。</w:t>
            </w:r>
          </w:p>
          <w:p w14:paraId="540F1997">
            <w:pPr>
              <w:pStyle w:val="4"/>
              <w:spacing w:line="240" w:lineRule="auto"/>
              <w:ind w:left="0" w:leftChars="0" w:firstLine="422" w:firstLineChars="200"/>
              <w:rPr>
                <w:rFonts w:ascii="仿宋_GB2312" w:hAnsi="仿宋" w:eastAsia="仿宋_GB2312"/>
                <w:b/>
                <w:bCs/>
                <w:szCs w:val="21"/>
              </w:rPr>
            </w:pPr>
            <w:r>
              <w:rPr>
                <w:rFonts w:hint="eastAsia" w:ascii="仿宋_GB2312" w:hAnsi="仿宋" w:eastAsia="仿宋_GB2312"/>
                <w:b/>
                <w:bCs/>
                <w:szCs w:val="21"/>
              </w:rPr>
              <w:t>七、违约责任</w:t>
            </w:r>
          </w:p>
          <w:p w14:paraId="3931D02A">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w:t>
            </w:r>
          </w:p>
          <w:p w14:paraId="347C47E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w:t>
            </w:r>
          </w:p>
          <w:p w14:paraId="13E73C06">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w:t>
            </w:r>
          </w:p>
          <w:p w14:paraId="1D343744">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合同解除后，甲方有权拒收乙方货物且无需支付未交货部分货款。由此产生的全部法律责任及费用支出由乙方自行承担。</w:t>
            </w:r>
          </w:p>
          <w:p w14:paraId="44DEF68D">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（四）乙方如没有按合同规定履行售后服务承诺，甲方可另行选择第三方单位进行修复，其费用全部由乙方</w:t>
            </w:r>
            <w:bookmarkStart w:id="0" w:name="_GoBack"/>
            <w:bookmarkEnd w:id="0"/>
            <w:r>
              <w:rPr>
                <w:rFonts w:hint="eastAsia" w:ascii="仿宋_GB2312" w:hAnsi="仿宋" w:eastAsia="仿宋_GB2312"/>
                <w:szCs w:val="21"/>
              </w:rPr>
              <w:t>支付，且甲方有权追究乙方的违约责任。</w:t>
            </w:r>
          </w:p>
          <w:p w14:paraId="6C6343ED">
            <w:pPr>
              <w:pStyle w:val="4"/>
              <w:spacing w:line="240" w:lineRule="auto"/>
              <w:ind w:left="409" w:leftChars="0" w:firstLine="0" w:firstLineChars="0"/>
              <w:rPr>
                <w:rFonts w:ascii="仿宋_GB2312" w:hAnsi="仿宋" w:eastAsia="仿宋_GB2312"/>
                <w:b/>
                <w:bCs/>
                <w:szCs w:val="21"/>
              </w:rPr>
            </w:pPr>
            <w:r>
              <w:rPr>
                <w:rFonts w:hint="eastAsia" w:ascii="仿宋_GB2312" w:hAnsi="仿宋" w:eastAsia="仿宋_GB2312"/>
                <w:b/>
                <w:bCs/>
                <w:szCs w:val="21"/>
              </w:rPr>
              <w:t>八、不可抗力</w:t>
            </w:r>
          </w:p>
          <w:p w14:paraId="3D0324C5">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655C14FC">
            <w:pPr>
              <w:pStyle w:val="4"/>
              <w:spacing w:line="240" w:lineRule="auto"/>
              <w:ind w:left="562" w:leftChars="0" w:firstLine="0" w:firstLineChars="0"/>
              <w:rPr>
                <w:rFonts w:ascii="仿宋_GB2312" w:hAnsi="仿宋" w:eastAsia="仿宋_GB2312"/>
                <w:b/>
                <w:bCs/>
                <w:szCs w:val="21"/>
              </w:rPr>
            </w:pPr>
            <w:r>
              <w:rPr>
                <w:rFonts w:hint="eastAsia" w:ascii="仿宋_GB2312" w:hAnsi="仿宋" w:eastAsia="仿宋_GB2312"/>
                <w:b/>
                <w:bCs/>
                <w:szCs w:val="21"/>
              </w:rPr>
              <w:t>九、争议解决方式</w:t>
            </w:r>
          </w:p>
          <w:p w14:paraId="4962D0B8">
            <w:pPr>
              <w:pStyle w:val="4"/>
              <w:spacing w:line="240" w:lineRule="auto"/>
              <w:ind w:left="0" w:leftChars="0" w:firstLine="420" w:firstLineChars="200"/>
              <w:rPr>
                <w:rFonts w:ascii="仿宋_GB2312" w:hAnsi="仿宋" w:eastAsia="仿宋_GB2312"/>
                <w:szCs w:val="21"/>
              </w:rPr>
            </w:pPr>
            <w:r>
              <w:rPr>
                <w:rFonts w:hint="eastAsia" w:ascii="仿宋_GB2312" w:hAnsi="仿宋" w:eastAsia="仿宋_GB2312"/>
                <w:szCs w:val="21"/>
              </w:rPr>
              <w:t>因本合同而发生的争议或纠纷，甲乙双方应先协商解决，协商不成时可向甲方所在地的人民法院提请诉讼。</w:t>
            </w:r>
          </w:p>
          <w:p w14:paraId="63246875">
            <w:pPr>
              <w:pStyle w:val="4"/>
              <w:spacing w:line="240" w:lineRule="auto"/>
              <w:ind w:leftChars="0" w:firstLineChars="0"/>
              <w:rPr>
                <w:rFonts w:ascii="仿宋_GB2312" w:hAnsi="仿宋" w:eastAsia="仿宋_GB2312"/>
                <w:b/>
                <w:bCs/>
                <w:szCs w:val="21"/>
              </w:rPr>
            </w:pPr>
            <w:r>
              <w:rPr>
                <w:rFonts w:hint="eastAsia" w:ascii="仿宋_GB2312" w:hAnsi="仿宋" w:eastAsia="仿宋_GB2312"/>
                <w:b/>
                <w:bCs/>
                <w:szCs w:val="21"/>
              </w:rPr>
              <w:t>十、其他约定</w:t>
            </w:r>
          </w:p>
          <w:p w14:paraId="283ED50F">
            <w:pPr>
              <w:ind w:firstLine="367" w:firstLineChars="175"/>
              <w:rPr>
                <w:rFonts w:ascii="仿宋_GB2312" w:hAnsi="仿宋" w:eastAsia="仿宋_GB2312" w:cs="仿宋"/>
                <w:szCs w:val="21"/>
              </w:rPr>
            </w:pPr>
            <w:r>
              <w:rPr>
                <w:rFonts w:hint="eastAsia" w:ascii="仿宋" w:hAnsi="仿宋" w:eastAsia="仿宋" w:cs="仿宋"/>
                <w:sz w:val="21"/>
                <w:szCs w:val="21"/>
                <w:lang w:val="en-US" w:eastAsia="zh-CN"/>
              </w:rPr>
              <w:t>无</w:t>
            </w:r>
          </w:p>
        </w:tc>
      </w:tr>
      <w:tr w14:paraId="3AD0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28" w:type="dxa"/>
            <w:vAlign w:val="center"/>
          </w:tcPr>
          <w:p w14:paraId="301EF988">
            <w:pPr>
              <w:jc w:val="center"/>
              <w:rPr>
                <w:rFonts w:ascii="仿宋_GB2312" w:hAnsi="仿宋" w:eastAsia="仿宋_GB2312"/>
                <w:szCs w:val="21"/>
              </w:rPr>
            </w:pPr>
            <w:r>
              <w:rPr>
                <w:rFonts w:hint="eastAsia" w:ascii="仿宋_GB2312" w:hAnsi="仿宋" w:eastAsia="仿宋_GB2312"/>
                <w:szCs w:val="21"/>
              </w:rPr>
              <w:t>4</w:t>
            </w:r>
          </w:p>
        </w:tc>
        <w:tc>
          <w:tcPr>
            <w:tcW w:w="1873" w:type="dxa"/>
            <w:vAlign w:val="center"/>
          </w:tcPr>
          <w:p w14:paraId="77FB9C07">
            <w:pPr>
              <w:rPr>
                <w:rFonts w:ascii="仿宋_GB2312" w:hAnsi="仿宋" w:eastAsia="仿宋_GB2312"/>
                <w:szCs w:val="21"/>
              </w:rPr>
            </w:pPr>
            <w:r>
              <w:rPr>
                <w:rFonts w:hint="eastAsia" w:ascii="仿宋_GB2312" w:hAnsi="仿宋" w:eastAsia="仿宋_GB2312"/>
                <w:szCs w:val="21"/>
              </w:rPr>
              <w:t>履约验收方案</w:t>
            </w:r>
          </w:p>
        </w:tc>
        <w:tc>
          <w:tcPr>
            <w:tcW w:w="7046" w:type="dxa"/>
            <w:vAlign w:val="center"/>
          </w:tcPr>
          <w:p w14:paraId="6AA926E8">
            <w:pPr>
              <w:rPr>
                <w:rFonts w:ascii="仿宋_GB2312" w:hAnsi="仿宋" w:eastAsia="仿宋_GB2312"/>
                <w:szCs w:val="21"/>
              </w:rPr>
            </w:pPr>
            <w:r>
              <w:rPr>
                <w:rFonts w:hint="eastAsia" w:ascii="仿宋_GB2312" w:hAnsi="仿宋" w:eastAsia="仿宋_GB2312"/>
                <w:szCs w:val="21"/>
              </w:rPr>
              <w:t>详见“3.合同文本主要条款”第三条</w:t>
            </w:r>
            <w:r>
              <w:rPr>
                <w:rFonts w:hint="eastAsia" w:ascii="仿宋_GB2312" w:hAnsi="仿宋" w:eastAsia="仿宋_GB2312"/>
                <w:b/>
                <w:bCs/>
                <w:szCs w:val="21"/>
              </w:rPr>
              <w:t>验收标准和方法。</w:t>
            </w:r>
          </w:p>
        </w:tc>
      </w:tr>
    </w:tbl>
    <w:p w14:paraId="4DF43B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600000000000000"/>
    <w:charset w:val="86"/>
    <w:family w:val="auto"/>
    <w:pitch w:val="default"/>
    <w:sig w:usb0="00000000" w:usb1="00000000" w:usb2="00000012" w:usb3="00000000" w:csb0="0016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9779F"/>
    <w:rsid w:val="2AF6743C"/>
    <w:rsid w:val="63C8071D"/>
    <w:rsid w:val="70B7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iPriority w:val="7"/>
    <w:pPr>
      <w:ind w:firstLine="420"/>
    </w:pPr>
    <w:rPr>
      <w:kern w:val="1"/>
    </w:rPr>
  </w:style>
  <w:style w:type="paragraph" w:styleId="3">
    <w:name w:val="Body Text"/>
    <w:basedOn w:val="1"/>
    <w:next w:val="1"/>
    <w:qFormat/>
    <w:uiPriority w:val="6"/>
    <w:rPr>
      <w:b/>
      <w:kern w:val="1"/>
      <w:sz w:val="28"/>
    </w:rPr>
  </w:style>
  <w:style w:type="paragraph" w:styleId="4">
    <w:name w:val="Body Text Indent 3"/>
    <w:basedOn w:val="1"/>
    <w:qFormat/>
    <w:uiPriority w:val="0"/>
    <w:pPr>
      <w:topLinePunct/>
      <w:spacing w:line="360" w:lineRule="auto"/>
      <w:ind w:left="199" w:leftChars="95" w:firstLine="210" w:firstLineChars="100"/>
    </w:pPr>
    <w:rPr>
      <w:color w:val="000000"/>
    </w:rPr>
  </w:style>
  <w:style w:type="paragraph" w:styleId="7">
    <w:name w:val="List Paragraph"/>
    <w:basedOn w:val="1"/>
    <w:qFormat/>
    <w:uiPriority w:val="7"/>
    <w:pPr>
      <w:ind w:firstLine="420"/>
    </w:pPr>
    <w:rPr>
      <w:kern w:val="1"/>
      <w:szCs w:val="21"/>
    </w:rPr>
  </w:style>
  <w:style w:type="paragraph" w:customStyle="1" w:styleId="8">
    <w:name w:val="列出段落1"/>
    <w:basedOn w:val="1"/>
    <w:qFormat/>
    <w:uiPriority w:val="1723"/>
    <w:pPr>
      <w:ind w:firstLine="420"/>
    </w:pPr>
    <w:rPr>
      <w:rFonts w:ascii="Calibri" w:hAnsi="Calibri" w:cs="Calibri"/>
      <w:kern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2883</Words>
  <Characters>2922</Characters>
  <Lines>0</Lines>
  <Paragraphs>0</Paragraphs>
  <TotalTime>0</TotalTime>
  <ScaleCrop>false</ScaleCrop>
  <LinksUpToDate>false</LinksUpToDate>
  <CharactersWithSpaces>3044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2024-11-26T06:36:00Z</dcterms:created>
  <dc:creator>Administrator</dc:creator>
  <cp:lastModifiedBy>wangx</cp:lastModifiedBy>
  <cp:lastPrinted>2024-12-30T02:40:13Z</cp:lastPrinted>
  <dcterms:modified xsi:type="dcterms:W3CDTF">2024-12-30T02:40:57Z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E6750166082B4B97A2586EC6E3C7BCA6_12</vt:lpwstr>
  </property>
  <property fmtid="{D5CDD505-2E9C-101B-9397-08002B2CF9AE}" pid="4" name="KSOTemplateDocerSaveRecord">
    <vt:lpwstr>eyJoZGlkIjoiZTQ5ZWY0NzI1YzM2ZGRkNzQ5Zjg2YjFkZTNiNDRiZDgiLCJ1c2VySWQiOiIxMTM2NjQzNDU4In0=</vt:lpwstr>
  </property>
</Properties>
</file>