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86023"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磋商报价表</w:t>
      </w:r>
    </w:p>
    <w:p w14:paraId="16C9737C">
      <w:pPr>
        <w:rPr>
          <w:rFonts w:hint="eastAsia" w:ascii="仿宋" w:hAnsi="仿宋" w:eastAsia="仿宋" w:cs="仿宋"/>
          <w:b/>
        </w:rPr>
      </w:pPr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5380CE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79A647E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7B03283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8FF7F5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5AAF5E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4BD922BF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858E08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7E6F79B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7DBB58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73855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262EAB36">
            <w:pPr>
              <w:jc w:val="center"/>
              <w:rPr>
                <w:rFonts w:hint="default" w:ascii="仿宋" w:hAnsi="仿宋" w:eastAsia="仿宋" w:cs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磋商报价</w:t>
            </w:r>
          </w:p>
          <w:p w14:paraId="1CD29BD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0935CBD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23FAF9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66826C2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653916B2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期是否响应：是/否</w:t>
            </w:r>
          </w:p>
        </w:tc>
      </w:tr>
      <w:tr w14:paraId="13529DE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20A62A7A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529C1F8C">
      <w:pPr>
        <w:ind w:right="480"/>
        <w:rPr>
          <w:rFonts w:hint="eastAsia" w:ascii="仿宋" w:hAnsi="仿宋" w:eastAsia="仿宋" w:cs="仿宋"/>
          <w:sz w:val="28"/>
        </w:rPr>
      </w:pPr>
    </w:p>
    <w:p w14:paraId="2F2F6C16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000EEE5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6C79C2D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7493854D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 w14:paraId="0995CB2F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9AD646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73137B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9246198"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9"/>
        <w:tblW w:w="97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2131"/>
        <w:gridCol w:w="762"/>
        <w:gridCol w:w="934"/>
        <w:gridCol w:w="2123"/>
        <w:gridCol w:w="1468"/>
        <w:gridCol w:w="1651"/>
      </w:tblGrid>
      <w:tr w14:paraId="5AC74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CA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990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名称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AE44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6424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预估</w:t>
            </w:r>
          </w:p>
          <w:p w14:paraId="3B79740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E0DD7"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AF3D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AD00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（元）</w:t>
            </w:r>
          </w:p>
        </w:tc>
      </w:tr>
      <w:tr w14:paraId="2EBE6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2FA32D4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2131" w:type="dxa"/>
            <w:noWrap w:val="0"/>
            <w:vAlign w:val="center"/>
          </w:tcPr>
          <w:p w14:paraId="657462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4.2米箱式货车</w:t>
            </w:r>
          </w:p>
        </w:tc>
        <w:tc>
          <w:tcPr>
            <w:tcW w:w="762" w:type="dxa"/>
            <w:noWrap w:val="0"/>
            <w:vAlign w:val="center"/>
          </w:tcPr>
          <w:p w14:paraId="2ED7C8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趟</w:t>
            </w:r>
          </w:p>
        </w:tc>
        <w:tc>
          <w:tcPr>
            <w:tcW w:w="934" w:type="dxa"/>
            <w:noWrap w:val="0"/>
            <w:vAlign w:val="center"/>
          </w:tcPr>
          <w:p w14:paraId="2F18C98D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500</w:t>
            </w:r>
          </w:p>
        </w:tc>
        <w:tc>
          <w:tcPr>
            <w:tcW w:w="2123" w:type="dxa"/>
            <w:noWrap w:val="0"/>
            <w:vAlign w:val="center"/>
          </w:tcPr>
          <w:p w14:paraId="05E50B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900</w:t>
            </w:r>
          </w:p>
        </w:tc>
        <w:tc>
          <w:tcPr>
            <w:tcW w:w="1468" w:type="dxa"/>
            <w:noWrap w:val="0"/>
            <w:vAlign w:val="center"/>
          </w:tcPr>
          <w:p w14:paraId="3B06E25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51" w:type="dxa"/>
            <w:noWrap w:val="0"/>
            <w:vAlign w:val="center"/>
          </w:tcPr>
          <w:p w14:paraId="182A8C8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70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086FA8F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2131" w:type="dxa"/>
            <w:noWrap w:val="0"/>
            <w:vAlign w:val="center"/>
          </w:tcPr>
          <w:p w14:paraId="7E5E86D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2.7米中型面包车</w:t>
            </w:r>
          </w:p>
        </w:tc>
        <w:tc>
          <w:tcPr>
            <w:tcW w:w="762" w:type="dxa"/>
            <w:noWrap w:val="0"/>
            <w:vAlign w:val="center"/>
          </w:tcPr>
          <w:p w14:paraId="1919CB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趟</w:t>
            </w:r>
          </w:p>
        </w:tc>
        <w:tc>
          <w:tcPr>
            <w:tcW w:w="934" w:type="dxa"/>
            <w:noWrap w:val="0"/>
            <w:vAlign w:val="center"/>
          </w:tcPr>
          <w:p w14:paraId="2123661C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100</w:t>
            </w:r>
          </w:p>
        </w:tc>
        <w:tc>
          <w:tcPr>
            <w:tcW w:w="2123" w:type="dxa"/>
            <w:noWrap w:val="0"/>
            <w:vAlign w:val="center"/>
          </w:tcPr>
          <w:p w14:paraId="561AAB5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500</w:t>
            </w:r>
          </w:p>
        </w:tc>
        <w:tc>
          <w:tcPr>
            <w:tcW w:w="1468" w:type="dxa"/>
            <w:noWrap w:val="0"/>
            <w:vAlign w:val="center"/>
          </w:tcPr>
          <w:p w14:paraId="7A8B05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51" w:type="dxa"/>
            <w:noWrap w:val="0"/>
            <w:vAlign w:val="center"/>
          </w:tcPr>
          <w:p w14:paraId="601145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6BA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34" w:type="dxa"/>
            <w:gridSpan w:val="7"/>
            <w:noWrap w:val="0"/>
            <w:vAlign w:val="center"/>
          </w:tcPr>
          <w:p w14:paraId="075FC2DE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27EF66FE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331B2E2B">
      <w:pPr>
        <w:rPr>
          <w:rFonts w:hint="eastAsia" w:ascii="仿宋" w:hAnsi="仿宋" w:eastAsia="仿宋" w:cs="仿宋"/>
          <w:color w:val="auto"/>
          <w:sz w:val="24"/>
        </w:rPr>
      </w:pPr>
    </w:p>
    <w:p w14:paraId="583F0EDE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单价合计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16C1528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70B6545D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4.2米箱式货车按照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</w:rPr>
        <w:t>00趟预估（石油大学雁塔校区—鄠邑校区），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最高限价900元/趟；</w:t>
      </w:r>
    </w:p>
    <w:p w14:paraId="3D3BC01B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</w:rPr>
        <w:t>2.7米中型面包车按照100趟预估（石油大学雁塔校区—鄠邑校区），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最高限价500元/趟；</w:t>
      </w:r>
    </w:p>
    <w:p w14:paraId="17E07710">
      <w:pPr>
        <w:numPr>
          <w:ilvl w:val="0"/>
          <w:numId w:val="1"/>
        </w:numPr>
        <w:spacing w:line="360" w:lineRule="auto"/>
        <w:ind w:firstLine="484" w:firstLineChars="200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default" w:ascii="仿宋" w:hAnsi="仿宋" w:eastAsia="仿宋" w:cs="仿宋"/>
          <w:color w:val="000000"/>
          <w:spacing w:val="1"/>
          <w:sz w:val="24"/>
          <w:szCs w:val="24"/>
          <w:lang w:val="en-US" w:eastAsia="zh-CN" w:bidi="ar-SA"/>
        </w:rPr>
        <w:t>本项目签订</w:t>
      </w:r>
      <w:r>
        <w:rPr>
          <w:rFonts w:hint="eastAsia" w:ascii="仿宋" w:hAnsi="仿宋" w:eastAsia="仿宋" w:cs="仿宋"/>
          <w:color w:val="000000"/>
          <w:spacing w:val="1"/>
          <w:sz w:val="24"/>
          <w:szCs w:val="24"/>
          <w:lang w:val="en-US" w:eastAsia="zh-CN" w:bidi="ar-SA"/>
        </w:rPr>
        <w:t>固定单价合同，</w:t>
      </w:r>
      <w:r>
        <w:rPr>
          <w:rFonts w:hint="default" w:ascii="仿宋" w:hAnsi="仿宋" w:eastAsia="仿宋" w:cs="仿宋"/>
          <w:color w:val="000000"/>
          <w:spacing w:val="1"/>
          <w:sz w:val="24"/>
          <w:szCs w:val="24"/>
          <w:lang w:val="en-US" w:eastAsia="zh-CN" w:bidi="ar-SA"/>
        </w:rPr>
        <w:t>以实际发生数量×成交单价进行结算。</w:t>
      </w:r>
    </w:p>
    <w:p w14:paraId="0A53625F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31DF5847">
      <w:pPr>
        <w:pStyle w:val="8"/>
        <w:rPr>
          <w:rFonts w:hint="eastAsia" w:ascii="仿宋_GB2312" w:hAnsi="仿宋_GB2312" w:eastAsia="仿宋_GB2312" w:cs="仿宋_GB2312"/>
          <w:szCs w:val="24"/>
        </w:rPr>
      </w:pPr>
    </w:p>
    <w:p w14:paraId="4A5BDF4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7321E258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（盖章）</w:t>
      </w:r>
    </w:p>
    <w:p w14:paraId="70C9A98D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F2A1AB1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4A727BF0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A07F94"/>
    <w:multiLevelType w:val="singleLevel"/>
    <w:tmpl w:val="6CA07F94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3653D23"/>
    <w:rsid w:val="04527D74"/>
    <w:rsid w:val="0651463B"/>
    <w:rsid w:val="088A413E"/>
    <w:rsid w:val="08E51EFB"/>
    <w:rsid w:val="09AB2ECF"/>
    <w:rsid w:val="11ED7499"/>
    <w:rsid w:val="127124B6"/>
    <w:rsid w:val="12BF0549"/>
    <w:rsid w:val="130D077E"/>
    <w:rsid w:val="13BC05EC"/>
    <w:rsid w:val="144954F9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0C23B73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2D330B7"/>
    <w:rsid w:val="556E1BAD"/>
    <w:rsid w:val="55AA541D"/>
    <w:rsid w:val="578F3B8E"/>
    <w:rsid w:val="57CF672F"/>
    <w:rsid w:val="58836A51"/>
    <w:rsid w:val="59442FAA"/>
    <w:rsid w:val="596F497E"/>
    <w:rsid w:val="61725F67"/>
    <w:rsid w:val="62FC4DBC"/>
    <w:rsid w:val="64A9386B"/>
    <w:rsid w:val="655479FC"/>
    <w:rsid w:val="67196001"/>
    <w:rsid w:val="6881028B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305</Words>
  <Characters>320</Characters>
  <Lines>0</Lines>
  <Paragraphs>0</Paragraphs>
  <TotalTime>0</TotalTime>
  <ScaleCrop>false</ScaleCrop>
  <LinksUpToDate>false</LinksUpToDate>
  <CharactersWithSpaces>555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cp:lastPrinted>2025-03-27T07:02:34Z</cp:lastPrinted>
  <dcterms:modified xsi:type="dcterms:W3CDTF">2025-03-27T07:18:45Z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