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版本号：SZT2025-SN-SC-ZC-FW-006920250415001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主院区（干部体检）CT球管更换及体外膜肺氧合仪维保服务采购项目(二次)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SZT2025-SN-SC-ZC-FW-0069</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主院区（干部体检）CT球管更换及体外膜肺氧合仪维保服务采购项目(二次)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SZT2025-SN-SC-ZC-FW-0069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主院区（干部体检）CT球管更换及体外膜肺氧合仪维保服务采购项目(二次)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体外膜肺氧合仪维保</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2、单一授权：供应商需提供原设备厂商针对本项目出具的授权；</w:t>
      </w:r>
    </w:p>
    <w:p>
      <w:pPr>
        <w:pStyle w:val="null3"/>
      </w:pPr>
      <w:r>
        <w:rPr>
          <w:rFonts w:ascii="仿宋_GB2312" w:hAnsi="仿宋_GB2312" w:cs="仿宋_GB2312" w:eastAsia="仿宋_GB2312"/>
        </w:rPr>
        <w:t>3、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按照成交金额差额定率累进法计算（成交金额100万以下按规定收取，100万-500万按下浮20%收取，500万-1000万按下浮25%收取，1000 万以上按下浮30%收取），不足叁仟元按叁仟元计取。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⑴本合同及附件文本所约定的验收标准； ⑵谈判文件、响应文件、澄清表（函）； ⑶国家相应的标准、规范。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体外膜肺氧合仪维保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体外膜肺氧合仪维保服务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标的名称：体外膜肺氧合仪维保服务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体外膜肺氧合仪维保</w:t>
            </w:r>
          </w:p>
        </w:tc>
        <w:tc>
          <w:tcPr>
            <w:tcW w:type="dxa" w:w="2076"/>
          </w:tcPr>
          <w:p>
            <w:pPr>
              <w:pStyle w:val="null3"/>
              <w:jc w:val="both"/>
            </w:pPr>
            <w:r>
              <w:rPr>
                <w:rFonts w:ascii="仿宋_GB2312" w:hAnsi="仿宋_GB2312" w:cs="仿宋_GB2312" w:eastAsia="仿宋_GB2312"/>
                <w:sz w:val="20"/>
              </w:rPr>
              <w:t>设备名称：体外膜肺氧合仪</w:t>
            </w:r>
            <w:r>
              <w:rPr>
                <w:rFonts w:ascii="仿宋_GB2312" w:hAnsi="仿宋_GB2312" w:cs="仿宋_GB2312" w:eastAsia="仿宋_GB2312"/>
                <w:sz w:val="20"/>
              </w:rPr>
              <w:t>(ECMO)</w:t>
            </w:r>
          </w:p>
          <w:p>
            <w:pPr>
              <w:pStyle w:val="null3"/>
              <w:jc w:val="both"/>
            </w:pPr>
            <w:r>
              <w:rPr>
                <w:rFonts w:ascii="仿宋_GB2312" w:hAnsi="仿宋_GB2312" w:cs="仿宋_GB2312" w:eastAsia="仿宋_GB2312"/>
                <w:sz w:val="20"/>
              </w:rPr>
              <w:t>设备型号：</w:t>
            </w:r>
            <w:r>
              <w:rPr>
                <w:rFonts w:ascii="仿宋_GB2312" w:hAnsi="仿宋_GB2312" w:cs="仿宋_GB2312" w:eastAsia="仿宋_GB2312"/>
                <w:sz w:val="20"/>
              </w:rPr>
              <w:t>Rotaflow</w:t>
            </w:r>
          </w:p>
          <w:p>
            <w:pPr>
              <w:pStyle w:val="null3"/>
              <w:jc w:val="both"/>
            </w:pPr>
            <w:r>
              <w:rPr>
                <w:rFonts w:ascii="仿宋_GB2312" w:hAnsi="仿宋_GB2312" w:cs="仿宋_GB2312" w:eastAsia="仿宋_GB2312"/>
                <w:sz w:val="20"/>
              </w:rPr>
              <w:t>设备序列号：</w:t>
            </w:r>
            <w:r>
              <w:rPr>
                <w:rFonts w:ascii="仿宋_GB2312" w:hAnsi="仿宋_GB2312" w:cs="仿宋_GB2312" w:eastAsia="仿宋_GB2312"/>
                <w:sz w:val="20"/>
              </w:rPr>
              <w:t>94175805</w:t>
            </w:r>
          </w:p>
          <w:p>
            <w:pPr>
              <w:pStyle w:val="null3"/>
              <w:jc w:val="both"/>
            </w:pPr>
            <w:r>
              <w:rPr>
                <w:rFonts w:ascii="仿宋_GB2312" w:hAnsi="仿宋_GB2312" w:cs="仿宋_GB2312" w:eastAsia="仿宋_GB2312"/>
                <w:sz w:val="20"/>
              </w:rPr>
              <w:t>维保服务内容：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整机保修壹年，保修期内</w:t>
            </w:r>
            <w:r>
              <w:rPr>
                <w:rFonts w:ascii="仿宋_GB2312" w:hAnsi="仿宋_GB2312" w:cs="仿宋_GB2312" w:eastAsia="仿宋_GB2312"/>
                <w:sz w:val="20"/>
              </w:rPr>
              <w:t>2小时响应，24小时到现场服务。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维保内免费提供原厂配件，且享有配件优先供应权。</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保证</w:t>
            </w:r>
            <w:r>
              <w:rPr>
                <w:rFonts w:ascii="仿宋_GB2312" w:hAnsi="仿宋_GB2312" w:cs="仿宋_GB2312" w:eastAsia="仿宋_GB2312"/>
                <w:sz w:val="20"/>
              </w:rPr>
              <w:t>95%的开机率（按365天计算）。</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保修期内免费保养一次（含保养套件）。</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所有维保内容由西安驻地具有维修资质原厂工程师提供服务。</w:t>
            </w:r>
          </w:p>
          <w:p>
            <w:pPr>
              <w:pStyle w:val="null3"/>
              <w:jc w:val="both"/>
            </w:pPr>
            <w:r>
              <w:rPr>
                <w:rFonts w:ascii="仿宋_GB2312" w:hAnsi="仿宋_GB2312" w:cs="仿宋_GB2312" w:eastAsia="仿宋_GB2312"/>
                <w:sz w:val="20"/>
              </w:rPr>
              <w:t>技术内容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若因故障维修后保证设备各类安全报警齐全：</w:t>
            </w:r>
          </w:p>
          <w:p>
            <w:pPr>
              <w:pStyle w:val="null3"/>
              <w:jc w:val="both"/>
            </w:pPr>
            <w:r>
              <w:rPr>
                <w:rFonts w:ascii="仿宋_GB2312" w:hAnsi="仿宋_GB2312" w:cs="仿宋_GB2312" w:eastAsia="仿宋_GB2312"/>
                <w:sz w:val="20"/>
              </w:rPr>
              <w:t>1.具有生理报警13种</w:t>
            </w:r>
          </w:p>
          <w:p>
            <w:pPr>
              <w:pStyle w:val="null3"/>
              <w:jc w:val="both"/>
            </w:pPr>
            <w:r>
              <w:rPr>
                <w:rFonts w:ascii="仿宋_GB2312" w:hAnsi="仿宋_GB2312" w:cs="仿宋_GB2312" w:eastAsia="仿宋_GB2312"/>
                <w:sz w:val="20"/>
              </w:rPr>
              <w:t>2.技术报警38种</w:t>
            </w:r>
          </w:p>
          <w:p>
            <w:pPr>
              <w:pStyle w:val="null3"/>
              <w:jc w:val="both"/>
            </w:pPr>
            <w:r>
              <w:rPr>
                <w:rFonts w:ascii="仿宋_GB2312" w:hAnsi="仿宋_GB2312" w:cs="仿宋_GB2312" w:eastAsia="仿宋_GB2312"/>
                <w:sz w:val="20"/>
              </w:rPr>
              <w:t>3.自检报警5种</w:t>
            </w:r>
          </w:p>
          <w:p>
            <w:pPr>
              <w:pStyle w:val="null3"/>
              <w:jc w:val="left"/>
            </w:pPr>
            <w:r>
              <w:rPr>
                <w:rFonts w:ascii="仿宋_GB2312" w:hAnsi="仿宋_GB2312" w:cs="仿宋_GB2312" w:eastAsia="仿宋_GB2312"/>
                <w:sz w:val="20"/>
              </w:rPr>
              <w:t>若因故障维修后测量的数据和显示的数据需要达到以下精度：</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354"/>
              <w:gridCol w:w="240"/>
              <w:gridCol w:w="108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参数</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测量范围</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分辨率</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测量精度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速度</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0-5000 rpm</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 rpm</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流量</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0-9.99lpm</w:t>
                  </w:r>
                </w:p>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流量</w:t>
                  </w:r>
                  <w:r>
                    <w:rPr>
                      <w:rFonts w:ascii="仿宋_GB2312" w:hAnsi="仿宋_GB2312" w:cs="仿宋_GB2312" w:eastAsia="仿宋_GB2312"/>
                      <w:sz w:val="20"/>
                    </w:rPr>
                    <w:t>0-2lpm：±0.3lpm偏置漂移；</w:t>
                  </w:r>
                </w:p>
                <w:p>
                  <w:pPr>
                    <w:pStyle w:val="null3"/>
                    <w:jc w:val="left"/>
                  </w:pPr>
                  <w:r>
                    <w:rPr>
                      <w:rFonts w:ascii="仿宋_GB2312" w:hAnsi="仿宋_GB2312" w:cs="仿宋_GB2312" w:eastAsia="仿宋_GB2312"/>
                      <w:sz w:val="20"/>
                    </w:rPr>
                    <w:t>流量</w:t>
                  </w:r>
                  <w:r>
                    <w:rPr>
                      <w:rFonts w:ascii="仿宋_GB2312" w:hAnsi="仿宋_GB2312" w:cs="仿宋_GB2312" w:eastAsia="仿宋_GB2312"/>
                      <w:sz w:val="20"/>
                    </w:rPr>
                    <w:t>&gt;2lpm：测量值的±15%偏置漂移。</w:t>
                  </w:r>
                </w:p>
                <w:p>
                  <w:pPr>
                    <w:pStyle w:val="null3"/>
                    <w:jc w:val="left"/>
                  </w:pPr>
                  <w:r>
                    <w:rPr>
                      <w:rFonts w:ascii="仿宋_GB2312" w:hAnsi="仿宋_GB2312" w:cs="仿宋_GB2312" w:eastAsia="仿宋_GB2312"/>
                      <w:sz w:val="20"/>
                    </w:rPr>
                    <w:t>4天内偏置漂移最大0.05lpm。</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装完成后1周内验收。2、本合同下交付的服务必须等同或优于本项目谈判文件“技术要求”所述的标准。若乙方在其响应文件中承诺的技术标准优于本项目谈判文件“技术要求”所述标准的，按响应文件的承诺执行。3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因履行本合同发生的争议，由采购人和中标供应商协商解决，协商不成的，任何一方均可向采购人住所地人民法院提起诉讼，通过诉讼途径解决。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 壹 份、副本 贰 套、电子版壹套（U盘一套标明供应商名称，随正本密封）。若系统电子响应文件与纸质响应文件不一致的，以系统电子响应文件为准。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供应商需提供原设备厂商针对本项目出具的授权；</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验收合格并经甲方盖章确认，达到付款条件起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整机保修壹年，保修期内2小时响应，24小时到现场服务。</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合同签订后一年。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响应内容满足谈判文件要求，无重大偏离；服务内容明确，满足采购人使用需求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