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版本号：SZT2025-SN-SC-ZC-FW-006820250407001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主院区门诊3.0T磁共振成像系统维修服务采购项目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SZT2025-SN-SC-ZC-FW-0068</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主院区门诊3.0T磁共振成像系统维修服务采购项目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SZT2025-SN-SC-ZC-FW-0068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主院区门诊3.0T磁共振成像系统维修服务采购项目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3.0T磁共振成像系统维修服务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2、单一授权：供应商需提供原设备厂商针对本项目出具的授权；</w:t>
      </w:r>
    </w:p>
    <w:p>
      <w:pPr>
        <w:pStyle w:val="null3"/>
      </w:pPr>
      <w:r>
        <w:rPr>
          <w:rFonts w:ascii="仿宋_GB2312" w:hAnsi="仿宋_GB2312" w:cs="仿宋_GB2312" w:eastAsia="仿宋_GB2312"/>
        </w:rPr>
        <w:t>3、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按照成交金额差额定率累进法计算（成交金额100万以下按规定收取，100万-500万按下浮20%收取，500万-1000万按下浮25%收取，1000 万以上按下浮30%收取）。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⑵谈判文件、响应文件、澄清表（函）；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3.0T磁共振成像系统维修服务采购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更换射频放大器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标的名称：更换射频放大器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3.0T磁共振成像系统维修服务采购</w:t>
            </w:r>
          </w:p>
        </w:tc>
        <w:tc>
          <w:tcPr>
            <w:tcW w:type="dxa" w:w="2076"/>
          </w:tcPr>
          <w:p>
            <w:pPr>
              <w:pStyle w:val="null3"/>
              <w:ind w:left="420"/>
            </w:pPr>
            <w:r>
              <w:rPr>
                <w:rFonts w:ascii="仿宋_GB2312" w:hAnsi="仿宋_GB2312" w:cs="仿宋_GB2312" w:eastAsia="仿宋_GB2312"/>
                <w:sz w:val="20"/>
              </w:rPr>
              <w:t>一、</w:t>
            </w:r>
            <w:r>
              <w:rPr>
                <w:rFonts w:ascii="仿宋_GB2312" w:hAnsi="仿宋_GB2312" w:cs="仿宋_GB2312" w:eastAsia="仿宋_GB2312"/>
                <w:sz w:val="20"/>
              </w:rPr>
              <w:t>设备名称：</w:t>
            </w:r>
            <w:r>
              <w:rPr>
                <w:rFonts w:ascii="仿宋_GB2312" w:hAnsi="仿宋_GB2312" w:cs="仿宋_GB2312" w:eastAsia="仿宋_GB2312"/>
                <w:sz w:val="20"/>
              </w:rPr>
              <w:t>3.0T核磁共振</w:t>
            </w:r>
          </w:p>
          <w:p>
            <w:pPr>
              <w:pStyle w:val="null3"/>
              <w:ind w:left="420"/>
            </w:pPr>
            <w:r>
              <w:rPr>
                <w:rFonts w:ascii="仿宋_GB2312" w:hAnsi="仿宋_GB2312" w:cs="仿宋_GB2312" w:eastAsia="仿宋_GB2312"/>
                <w:sz w:val="20"/>
              </w:rPr>
              <w:t>型号：</w:t>
            </w:r>
            <w:r>
              <w:rPr>
                <w:rFonts w:ascii="仿宋_GB2312" w:hAnsi="仿宋_GB2312" w:cs="仿宋_GB2312" w:eastAsia="仿宋_GB2312"/>
                <w:sz w:val="20"/>
              </w:rPr>
              <w:t>Ingenia 3.0T CX</w:t>
            </w:r>
          </w:p>
          <w:p>
            <w:pPr>
              <w:pStyle w:val="null3"/>
              <w:ind w:left="420"/>
            </w:pPr>
            <w:r>
              <w:rPr>
                <w:rFonts w:ascii="仿宋_GB2312" w:hAnsi="仿宋_GB2312" w:cs="仿宋_GB2312" w:eastAsia="仿宋_GB2312"/>
                <w:sz w:val="20"/>
              </w:rPr>
              <w:t>序列号：</w:t>
            </w:r>
            <w:r>
              <w:rPr>
                <w:rFonts w:ascii="仿宋_GB2312" w:hAnsi="仿宋_GB2312" w:cs="仿宋_GB2312" w:eastAsia="仿宋_GB2312"/>
                <w:sz w:val="20"/>
              </w:rPr>
              <w:t>82449502</w:t>
            </w:r>
          </w:p>
          <w:p>
            <w:pPr>
              <w:pStyle w:val="null3"/>
              <w:ind w:left="420"/>
            </w:pPr>
            <w:r>
              <w:rPr>
                <w:rFonts w:ascii="仿宋_GB2312" w:hAnsi="仿宋_GB2312" w:cs="仿宋_GB2312" w:eastAsia="仿宋_GB2312"/>
                <w:sz w:val="20"/>
              </w:rPr>
              <w:t>二、</w:t>
            </w:r>
            <w:r>
              <w:rPr>
                <w:rFonts w:ascii="仿宋_GB2312" w:hAnsi="仿宋_GB2312" w:cs="仿宋_GB2312" w:eastAsia="仿宋_GB2312"/>
                <w:sz w:val="20"/>
              </w:rPr>
              <w:t>故障说明：不能扫描</w:t>
            </w:r>
            <w:r>
              <w:rPr>
                <w:rFonts w:ascii="仿宋_GB2312" w:hAnsi="仿宋_GB2312" w:cs="仿宋_GB2312" w:eastAsia="仿宋_GB2312"/>
                <w:sz w:val="20"/>
              </w:rPr>
              <w:t>，</w:t>
            </w:r>
            <w:r>
              <w:rPr>
                <w:rFonts w:ascii="仿宋_GB2312" w:hAnsi="仿宋_GB2312" w:cs="仿宋_GB2312" w:eastAsia="仿宋_GB2312"/>
                <w:sz w:val="20"/>
              </w:rPr>
              <w:t>射频放大器故障</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三、</w:t>
            </w:r>
            <w:r>
              <w:rPr>
                <w:rFonts w:ascii="仿宋_GB2312" w:hAnsi="仿宋_GB2312" w:cs="仿宋_GB2312" w:eastAsia="仿宋_GB2312"/>
                <w:sz w:val="20"/>
              </w:rPr>
              <w:t>解决方案：更换射频放大器</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四、</w:t>
            </w:r>
            <w:r>
              <w:rPr>
                <w:rFonts w:ascii="仿宋_GB2312" w:hAnsi="仿宋_GB2312" w:cs="仿宋_GB2312" w:eastAsia="仿宋_GB2312"/>
                <w:sz w:val="20"/>
              </w:rPr>
              <w:t>需采购配件的名称及型号数量</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备件名称：射频放大器</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数量：</w:t>
            </w:r>
            <w:r>
              <w:rPr>
                <w:rFonts w:ascii="仿宋_GB2312" w:hAnsi="仿宋_GB2312" w:cs="仿宋_GB2312" w:eastAsia="仿宋_GB2312"/>
                <w:sz w:val="20"/>
              </w:rPr>
              <w:t>1</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型号：</w:t>
            </w:r>
            <w:r>
              <w:rPr>
                <w:rFonts w:ascii="仿宋_GB2312" w:hAnsi="仿宋_GB2312" w:cs="仿宋_GB2312" w:eastAsia="仿宋_GB2312"/>
                <w:sz w:val="20"/>
              </w:rPr>
              <w:t>AN8137</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射频功率：</w:t>
            </w:r>
            <w:r>
              <w:rPr>
                <w:rFonts w:ascii="仿宋_GB2312" w:hAnsi="仿宋_GB2312" w:cs="仿宋_GB2312" w:eastAsia="仿宋_GB2312"/>
                <w:sz w:val="20"/>
              </w:rPr>
              <w:t>18KW</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射频类型：双源</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匹配类型：</w:t>
            </w:r>
            <w:r>
              <w:rPr>
                <w:rFonts w:ascii="仿宋_GB2312" w:hAnsi="仿宋_GB2312" w:cs="仿宋_GB2312" w:eastAsia="仿宋_GB2312"/>
                <w:sz w:val="20"/>
              </w:rPr>
              <w:t>3.0T</w:t>
            </w:r>
          </w:p>
          <w:p>
            <w:pPr>
              <w:pStyle w:val="null3"/>
              <w:jc w:val="both"/>
            </w:pPr>
            <w:r>
              <w:rPr>
                <w:rFonts w:ascii="仿宋_GB2312" w:hAnsi="仿宋_GB2312" w:cs="仿宋_GB2312" w:eastAsia="仿宋_GB2312"/>
                <w:sz w:val="20"/>
              </w:rPr>
              <w:t>质保期：</w:t>
            </w:r>
            <w:r>
              <w:rPr>
                <w:rFonts w:ascii="仿宋_GB2312" w:hAnsi="仿宋_GB2312" w:cs="仿宋_GB2312" w:eastAsia="仿宋_GB2312"/>
                <w:sz w:val="20"/>
              </w:rPr>
              <w:t>12个月</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自合同签订之日起7个工作日内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装完成后1周内验收。2、本合同下交付的服务必须等同或优于本项目谈判文件“技术要求”所述的标准。若乙方在其响应文件中承诺的技术标准优于本项目谈判文件“技术要求”所述标准的，按响应文件的承诺执行。3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因履行本合同发生的争议，由采购人和中标供应商协商解决，协商不成的，任何一方均可向采购人住所地人民法院提起诉讼，通过诉讼途径解决。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 壹 份、副本 贰 套、电子版壹套（U盘一套标明供应商名称，随正本密封）。若系统电子响应文件与纸质响应文件不一致的，以系统电子响应文件为准。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供应商需提供原设备厂商针对本项目出具的授权；</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验收合格并经甲方盖章确认，达到付款条件起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12个月。</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自合同签订之日起7个工作日内。</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